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87F09">
      <w:pPr>
        <w:spacing w:after="0" w:line="560" w:lineRule="exact"/>
        <w:jc w:val="left"/>
        <w:rPr>
          <w:rFonts w:hint="eastAsia" w:ascii="黑体" w:hAnsi="黑体" w:eastAsia="黑体" w:cs="黑体"/>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黑体" w:hAnsi="黑体" w:eastAsia="黑体" w:cs="黑体"/>
          <w:sz w:val="32"/>
          <w:szCs w:val="32"/>
          <w:lang w:val="en-US" w:eastAsia="zh-CN"/>
        </w:rPr>
        <w:t>1</w:t>
      </w:r>
    </w:p>
    <w:p w14:paraId="79E059A7">
      <w:pPr>
        <w:spacing w:after="0" w:line="560" w:lineRule="exact"/>
        <w:jc w:val="left"/>
        <w:rPr>
          <w:rFonts w:hint="eastAsia" w:ascii="黑体" w:hAnsi="黑体" w:eastAsia="黑体" w:cs="黑体"/>
          <w:sz w:val="32"/>
          <w:szCs w:val="32"/>
          <w:lang w:val="en-US" w:eastAsia="zh-CN"/>
        </w:rPr>
      </w:pPr>
    </w:p>
    <w:p w14:paraId="1D8EAB6B">
      <w:pPr>
        <w:spacing w:after="0"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医疗器械生产质量管理规范</w:t>
      </w:r>
    </w:p>
    <w:p w14:paraId="6ACBE76D">
      <w:pPr>
        <w:spacing w:after="0" w:line="560" w:lineRule="exact"/>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体外诊断试剂检查指导原则</w:t>
      </w:r>
    </w:p>
    <w:p w14:paraId="02B309FA">
      <w:pPr>
        <w:spacing w:line="560" w:lineRule="exact"/>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征求意见稿</w:t>
      </w:r>
      <w:r>
        <w:rPr>
          <w:rFonts w:hint="eastAsia" w:ascii="楷体_GB2312" w:hAnsi="楷体_GB2312" w:eastAsia="楷体_GB2312" w:cs="楷体_GB2312"/>
          <w:sz w:val="32"/>
          <w:szCs w:val="32"/>
        </w:rPr>
        <w:t>）</w:t>
      </w:r>
    </w:p>
    <w:p w14:paraId="4EC7D852">
      <w:pPr>
        <w:widowControl/>
        <w:spacing w:line="560" w:lineRule="exact"/>
        <w:jc w:val="left"/>
        <w:rPr>
          <w:rFonts w:ascii="Times New Roman" w:hAnsi="Times New Roman" w:eastAsia="黑体" w:cs="Times New Roman"/>
          <w:sz w:val="32"/>
          <w:szCs w:val="32"/>
        </w:rPr>
      </w:pPr>
    </w:p>
    <w:p w14:paraId="4E744A13">
      <w:pPr>
        <w:widowControl/>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为加强医疗器械生产监督管理，指导药品监督管理部门对</w:t>
      </w:r>
      <w:r>
        <w:rPr>
          <w:rFonts w:hint="eastAsia" w:ascii="Times New Roman" w:hAnsi="Times New Roman" w:eastAsia="仿宋_GB2312" w:cs="Times New Roman"/>
          <w:sz w:val="32"/>
          <w:szCs w:val="32"/>
          <w:lang w:eastAsia="zh-CN"/>
        </w:rPr>
        <w:t>体外诊断试剂</w:t>
      </w:r>
      <w:r>
        <w:rPr>
          <w:rFonts w:ascii="Times New Roman" w:hAnsi="Times New Roman" w:eastAsia="仿宋_GB2312" w:cs="Times New Roman"/>
          <w:sz w:val="32"/>
          <w:szCs w:val="32"/>
        </w:rPr>
        <w:t>注册人、</w:t>
      </w:r>
      <w:r>
        <w:rPr>
          <w:rFonts w:hint="eastAsia" w:ascii="Times New Roman" w:hAnsi="Times New Roman" w:eastAsia="仿宋_GB2312" w:cs="Times New Roman"/>
          <w:sz w:val="32"/>
          <w:szCs w:val="32"/>
          <w:lang w:eastAsia="zh-CN"/>
        </w:rPr>
        <w:t>备案人、</w:t>
      </w:r>
      <w:r>
        <w:rPr>
          <w:rFonts w:ascii="Times New Roman" w:hAnsi="Times New Roman" w:eastAsia="仿宋_GB2312" w:cs="Times New Roman"/>
          <w:sz w:val="32"/>
          <w:szCs w:val="32"/>
        </w:rPr>
        <w:t>受托生产企业（以下简称企业）开展生产检查工作，根据《医疗器械生产质量管理规范》（以下简称《规范》）</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sz w:val="32"/>
          <w:szCs w:val="32"/>
        </w:rPr>
        <w:t>《医疗器械生产质量管理规范附录</w:t>
      </w:r>
      <w:r>
        <w:rPr>
          <w:rFonts w:hint="eastAsia" w:ascii="Times New Roman" w:hAnsi="Times New Roman" w:eastAsia="仿宋_GB2312" w:cs="Times New Roman"/>
          <w:sz w:val="32"/>
          <w:szCs w:val="32"/>
          <w:lang w:eastAsia="zh-CN"/>
        </w:rPr>
        <w:t>体外诊断试剂</w:t>
      </w:r>
      <w:r>
        <w:rPr>
          <w:rFonts w:hint="eastAsia" w:ascii="Times New Roman" w:hAnsi="Times New Roman" w:eastAsia="仿宋_GB2312" w:cs="Times New Roman"/>
          <w:sz w:val="32"/>
          <w:szCs w:val="32"/>
        </w:rPr>
        <w:t>》（以下简称《</w:t>
      </w:r>
      <w:r>
        <w:rPr>
          <w:rFonts w:hint="eastAsia" w:ascii="Times New Roman" w:hAnsi="Times New Roman" w:eastAsia="仿宋_GB2312" w:cs="Times New Roman"/>
          <w:sz w:val="32"/>
          <w:szCs w:val="32"/>
          <w:lang w:eastAsia="zh-CN"/>
        </w:rPr>
        <w:t>体外诊断试剂</w:t>
      </w:r>
      <w:r>
        <w:rPr>
          <w:rFonts w:hint="eastAsia" w:ascii="Times New Roman" w:hAnsi="Times New Roman" w:eastAsia="仿宋_GB2312" w:cs="Times New Roman"/>
          <w:sz w:val="32"/>
          <w:szCs w:val="32"/>
        </w:rPr>
        <w:t>附录》）</w:t>
      </w:r>
      <w:r>
        <w:rPr>
          <w:rFonts w:ascii="Times New Roman" w:hAnsi="Times New Roman" w:eastAsia="仿宋_GB2312" w:cs="Times New Roman"/>
          <w:sz w:val="32"/>
          <w:szCs w:val="32"/>
        </w:rPr>
        <w:t>，制定本指导原则。</w:t>
      </w:r>
    </w:p>
    <w:p w14:paraId="2687073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本指导原则基于《规范》《</w:t>
      </w:r>
      <w:r>
        <w:rPr>
          <w:rFonts w:hint="eastAsia" w:ascii="Times New Roman" w:hAnsi="Times New Roman" w:eastAsia="仿宋_GB2312" w:cs="Times New Roman"/>
          <w:sz w:val="32"/>
          <w:szCs w:val="32"/>
          <w:lang w:eastAsia="zh-CN"/>
        </w:rPr>
        <w:t>体外诊断试剂</w:t>
      </w:r>
      <w:r>
        <w:rPr>
          <w:rFonts w:hint="eastAsia" w:ascii="Times New Roman" w:hAnsi="Times New Roman" w:eastAsia="仿宋_GB2312" w:cs="Times New Roman"/>
          <w:sz w:val="32"/>
          <w:szCs w:val="32"/>
        </w:rPr>
        <w:t>附录》</w:t>
      </w:r>
      <w:r>
        <w:rPr>
          <w:rFonts w:hint="default" w:ascii="Times New Roman" w:hAnsi="Times New Roman" w:eastAsia="仿宋_GB2312" w:cs="Times New Roman"/>
          <w:sz w:val="32"/>
          <w:szCs w:val="32"/>
        </w:rPr>
        <w:t>各条款在质量管理体系中的重要性及其不符合带来的质量安全风险程度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将《</w:t>
      </w:r>
      <w:r>
        <w:rPr>
          <w:rFonts w:hint="eastAsia" w:ascii="Times New Roman" w:hAnsi="Times New Roman" w:eastAsia="仿宋_GB2312" w:cs="Times New Roman"/>
          <w:sz w:val="32"/>
          <w:szCs w:val="32"/>
          <w:lang w:eastAsia="zh-CN"/>
        </w:rPr>
        <w:t>体外诊断试剂</w:t>
      </w:r>
      <w:r>
        <w:rPr>
          <w:rFonts w:ascii="Times New Roman" w:hAnsi="Times New Roman" w:eastAsia="仿宋_GB2312" w:cs="Times New Roman"/>
          <w:sz w:val="32"/>
          <w:szCs w:val="32"/>
        </w:rPr>
        <w:t>附录》内容与《规范》融合衔接，转化为</w:t>
      </w:r>
      <w:r>
        <w:rPr>
          <w:rFonts w:hint="eastAsia" w:ascii="Times New Roman" w:hAnsi="Times New Roman" w:eastAsia="仿宋_GB2312" w:cs="Times New Roman"/>
          <w:sz w:val="32"/>
          <w:szCs w:val="32"/>
          <w:lang w:eastAsia="zh-CN"/>
        </w:rPr>
        <w:t>体外诊断试剂</w:t>
      </w:r>
      <w:r>
        <w:rPr>
          <w:rFonts w:ascii="Times New Roman" w:hAnsi="Times New Roman" w:eastAsia="仿宋_GB2312" w:cs="Times New Roman"/>
          <w:sz w:val="32"/>
          <w:szCs w:val="32"/>
        </w:rPr>
        <w:t>检查项目，并</w:t>
      </w:r>
      <w:r>
        <w:rPr>
          <w:rFonts w:hint="default" w:ascii="Times New Roman" w:hAnsi="Times New Roman" w:eastAsia="仿宋_GB2312" w:cs="Times New Roman"/>
          <w:sz w:val="32"/>
          <w:szCs w:val="32"/>
        </w:rPr>
        <w:t>划分为关键项目（</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）、主要项目（**）和一般项目（*）三个等级。</w:t>
      </w:r>
      <w:r>
        <w:rPr>
          <w:rFonts w:hint="eastAsia" w:ascii="Times New Roman" w:hAnsi="Times New Roman" w:eastAsia="仿宋_GB2312" w:cs="Times New Roman"/>
          <w:sz w:val="32"/>
          <w:szCs w:val="32"/>
          <w:lang w:eastAsia="zh-CN"/>
        </w:rPr>
        <w:t>体外诊断试剂</w:t>
      </w:r>
      <w:r>
        <w:rPr>
          <w:rFonts w:hint="default" w:ascii="Times New Roman" w:hAnsi="Times New Roman" w:eastAsia="仿宋_GB2312" w:cs="Times New Roman"/>
          <w:sz w:val="32"/>
          <w:szCs w:val="32"/>
        </w:rPr>
        <w:t>检查项目共</w:t>
      </w:r>
      <w:r>
        <w:rPr>
          <w:rFonts w:hint="eastAsia" w:ascii="Times New Roman" w:hAnsi="Times New Roman" w:eastAsia="仿宋_GB2312" w:cs="Times New Roman"/>
          <w:sz w:val="32"/>
          <w:szCs w:val="32"/>
          <w:lang w:val="en-US" w:eastAsia="zh-CN"/>
        </w:rPr>
        <w:t>212</w:t>
      </w:r>
      <w:r>
        <w:rPr>
          <w:rFonts w:hint="default" w:ascii="Times New Roman" w:hAnsi="Times New Roman" w:eastAsia="仿宋_GB2312" w:cs="Times New Roman"/>
          <w:sz w:val="32"/>
          <w:szCs w:val="32"/>
        </w:rPr>
        <w:t>项，其中</w:t>
      </w:r>
      <w:r>
        <w:rPr>
          <w:rFonts w:ascii="Times New Roman" w:hAnsi="Times New Roman" w:eastAsia="仿宋_GB2312" w:cs="Times New Roman"/>
          <w:sz w:val="32"/>
          <w:szCs w:val="32"/>
        </w:rPr>
        <w:t>关键</w:t>
      </w:r>
      <w:r>
        <w:rPr>
          <w:rFonts w:hint="default" w:ascii="Times New Roman" w:hAnsi="Times New Roman" w:eastAsia="仿宋_GB2312" w:cs="Times New Roman"/>
          <w:sz w:val="32"/>
          <w:szCs w:val="32"/>
        </w:rPr>
        <w:t>项目</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项，主要</w:t>
      </w:r>
      <w:r>
        <w:rPr>
          <w:rFonts w:hint="default" w:ascii="Times New Roman" w:hAnsi="Times New Roman" w:eastAsia="仿宋_GB2312" w:cs="Times New Roman"/>
          <w:sz w:val="32"/>
          <w:szCs w:val="32"/>
        </w:rPr>
        <w:t>项目</w:t>
      </w:r>
      <w:r>
        <w:rPr>
          <w:rFonts w:hint="eastAsia" w:ascii="Times New Roman" w:hAnsi="Times New Roman" w:eastAsia="仿宋_GB2312" w:cs="Times New Roman"/>
          <w:sz w:val="32"/>
          <w:szCs w:val="32"/>
          <w:lang w:val="en-US" w:eastAsia="zh-CN"/>
        </w:rPr>
        <w:t>93</w:t>
      </w:r>
      <w:r>
        <w:rPr>
          <w:rFonts w:ascii="Times New Roman" w:hAnsi="Times New Roman" w:eastAsia="仿宋_GB2312" w:cs="Times New Roman"/>
          <w:sz w:val="32"/>
          <w:szCs w:val="32"/>
        </w:rPr>
        <w:t>项，一般</w:t>
      </w:r>
      <w:r>
        <w:rPr>
          <w:rFonts w:hint="default" w:ascii="Times New Roman" w:hAnsi="Times New Roman" w:eastAsia="仿宋_GB2312" w:cs="Times New Roman"/>
          <w:sz w:val="32"/>
          <w:szCs w:val="32"/>
        </w:rPr>
        <w:t>项目</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项</w:t>
      </w:r>
      <w:r>
        <w:rPr>
          <w:rFonts w:hint="default" w:ascii="Times New Roman" w:hAnsi="Times New Roman" w:eastAsia="仿宋_GB2312" w:cs="Times New Roman"/>
          <w:sz w:val="32"/>
          <w:szCs w:val="32"/>
        </w:rPr>
        <w:t>。</w:t>
      </w:r>
    </w:p>
    <w:p w14:paraId="2D59E45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检查类型及结果判定遵循《医疗器械生产质量管理规范检查指导原则》。</w:t>
      </w:r>
    </w:p>
    <w:p w14:paraId="4E5E22A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14:paraId="1782D1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_GB2312" w:cs="Times New Roman"/>
          <w:sz w:val="32"/>
          <w:szCs w:val="32"/>
        </w:rPr>
      </w:pPr>
      <w:r>
        <w:rPr>
          <w:rFonts w:hint="default" w:ascii="Times New Roman" w:hAnsi="Times New Roman" w:eastAsia="仿宋_GB2312" w:cs="Times New Roman"/>
          <w:sz w:val="32"/>
          <w:szCs w:val="32"/>
        </w:rPr>
        <w:t>附：</w:t>
      </w:r>
      <w:r>
        <w:rPr>
          <w:rFonts w:hint="eastAsia" w:ascii="Times New Roman" w:hAnsi="Times New Roman" w:eastAsia="仿宋_GB2312" w:cs="Times New Roman"/>
          <w:sz w:val="32"/>
          <w:szCs w:val="32"/>
        </w:rPr>
        <w:t>体外诊断试剂</w:t>
      </w:r>
      <w:r>
        <w:rPr>
          <w:rFonts w:ascii="Times New Roman" w:hAnsi="Times New Roman" w:eastAsia="仿宋_GB2312" w:cs="Times New Roman"/>
          <w:sz w:val="32"/>
          <w:szCs w:val="32"/>
        </w:rPr>
        <w:t>检查项目</w:t>
      </w:r>
    </w:p>
    <w:p w14:paraId="33542513">
      <w:pPr>
        <w:widowControl/>
        <w:spacing w:line="600" w:lineRule="exact"/>
        <w:ind w:firstLine="640" w:firstLineChars="200"/>
        <w:rPr>
          <w:rFonts w:ascii="Times New Roman" w:hAnsi="Times New Roman" w:eastAsia="仿宋_GB2312" w:cs="Times New Roman"/>
          <w:sz w:val="32"/>
          <w:szCs w:val="32"/>
        </w:rPr>
      </w:pPr>
    </w:p>
    <w:p w14:paraId="748C2727">
      <w:pPr>
        <w:widowControl/>
        <w:jc w:val="left"/>
        <w:rPr>
          <w:rFonts w:hint="default" w:ascii="Times New Roman" w:hAnsi="Times New Roman" w:eastAsia="黑体" w:cs="Times New Roman"/>
          <w:sz w:val="32"/>
          <w:szCs w:val="32"/>
        </w:rPr>
      </w:pPr>
      <w:r>
        <w:rPr>
          <w:rFonts w:ascii="Times New Roman" w:hAnsi="Times New Roman" w:eastAsia="黑体" w:cs="Times New Roman"/>
          <w:sz w:val="32"/>
          <w:szCs w:val="32"/>
        </w:rPr>
        <w:br w:type="page"/>
      </w:r>
      <w:r>
        <w:rPr>
          <w:rFonts w:ascii="Times New Roman" w:hAnsi="Times New Roman" w:eastAsia="黑体" w:cs="Times New Roman"/>
          <w:sz w:val="32"/>
          <w:szCs w:val="32"/>
        </w:rPr>
        <w:t>附</w:t>
      </w:r>
    </w:p>
    <w:p w14:paraId="051D4E0E">
      <w:pPr>
        <w:jc w:val="center"/>
        <w:rPr>
          <w:rFonts w:ascii="Times New Roman" w:hAnsi="Times New Roman" w:eastAsia="方正小标宋简体" w:cs="Times New Roman"/>
          <w:bCs/>
          <w:kern w:val="0"/>
          <w:sz w:val="44"/>
          <w:szCs w:val="44"/>
          <w:lang w:bidi="ar"/>
        </w:rPr>
      </w:pPr>
      <w:r>
        <w:rPr>
          <w:rFonts w:hint="eastAsia" w:ascii="Times New Roman" w:hAnsi="Times New Roman" w:eastAsia="方正小标宋简体" w:cs="Times New Roman"/>
          <w:bCs/>
          <w:kern w:val="0"/>
          <w:sz w:val="44"/>
          <w:szCs w:val="44"/>
          <w:lang w:bidi="ar"/>
        </w:rPr>
        <w:t>体外诊断试剂</w:t>
      </w:r>
      <w:r>
        <w:rPr>
          <w:rFonts w:ascii="Times New Roman" w:hAnsi="Times New Roman" w:eastAsia="方正小标宋简体" w:cs="Times New Roman"/>
          <w:bCs/>
          <w:kern w:val="0"/>
          <w:sz w:val="44"/>
          <w:szCs w:val="44"/>
          <w:lang w:bidi="ar"/>
        </w:rPr>
        <w:t>检查项目</w:t>
      </w:r>
    </w:p>
    <w:tbl>
      <w:tblPr>
        <w:tblStyle w:val="2"/>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708"/>
        <w:gridCol w:w="907"/>
        <w:gridCol w:w="4046"/>
        <w:gridCol w:w="776"/>
        <w:gridCol w:w="1643"/>
      </w:tblGrid>
      <w:tr w14:paraId="4DDE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blHeader/>
        </w:trPr>
        <w:tc>
          <w:tcPr>
            <w:tcW w:w="1116" w:type="dxa"/>
            <w:noWrap w:val="0"/>
            <w:vAlign w:val="center"/>
          </w:tcPr>
          <w:p w14:paraId="731B0F08">
            <w:pPr>
              <w:widowControl/>
              <w:jc w:val="center"/>
              <w:textAlignment w:val="center"/>
              <w:rPr>
                <w:rFonts w:ascii="Times New Roman" w:hAnsi="Times New Roman" w:eastAsia="黑体" w:cs="Times New Roman"/>
                <w:kern w:val="0"/>
                <w:szCs w:val="21"/>
                <w:lang w:bidi="ar"/>
              </w:rPr>
            </w:pPr>
            <w:r>
              <w:rPr>
                <w:rFonts w:ascii="Times New Roman" w:hAnsi="Times New Roman" w:eastAsia="黑体" w:cs="Times New Roman"/>
                <w:kern w:val="0"/>
                <w:szCs w:val="21"/>
                <w:lang w:bidi="ar"/>
              </w:rPr>
              <w:t>章节</w:t>
            </w:r>
          </w:p>
        </w:tc>
        <w:tc>
          <w:tcPr>
            <w:tcW w:w="708" w:type="dxa"/>
            <w:noWrap w:val="0"/>
            <w:vAlign w:val="center"/>
          </w:tcPr>
          <w:p w14:paraId="3A6CF436">
            <w:pPr>
              <w:widowControl/>
              <w:jc w:val="center"/>
              <w:textAlignment w:val="center"/>
              <w:rPr>
                <w:rFonts w:ascii="Times New Roman" w:hAnsi="Times New Roman" w:eastAsia="黑体" w:cs="Times New Roman"/>
                <w:kern w:val="0"/>
                <w:szCs w:val="21"/>
                <w:lang w:bidi="ar"/>
              </w:rPr>
            </w:pPr>
            <w:r>
              <w:rPr>
                <w:rFonts w:ascii="Times New Roman" w:hAnsi="Times New Roman" w:eastAsia="黑体" w:cs="Times New Roman"/>
                <w:kern w:val="0"/>
                <w:szCs w:val="21"/>
                <w:lang w:bidi="ar"/>
              </w:rPr>
              <w:t>序号</w:t>
            </w:r>
          </w:p>
        </w:tc>
        <w:tc>
          <w:tcPr>
            <w:tcW w:w="907" w:type="dxa"/>
            <w:noWrap w:val="0"/>
            <w:vAlign w:val="center"/>
          </w:tcPr>
          <w:p w14:paraId="1EAF3BA4">
            <w:pPr>
              <w:widowControl/>
              <w:jc w:val="center"/>
              <w:textAlignment w:val="center"/>
              <w:rPr>
                <w:rFonts w:ascii="Times New Roman" w:hAnsi="Times New Roman" w:eastAsia="黑体" w:cs="Times New Roman"/>
                <w:kern w:val="0"/>
                <w:szCs w:val="21"/>
                <w:lang w:bidi="ar"/>
              </w:rPr>
            </w:pPr>
            <w:r>
              <w:rPr>
                <w:rFonts w:ascii="Times New Roman" w:hAnsi="Times New Roman" w:eastAsia="黑体" w:cs="Times New Roman"/>
                <w:kern w:val="0"/>
                <w:szCs w:val="21"/>
                <w:lang w:bidi="ar"/>
              </w:rPr>
              <w:t>条款</w:t>
            </w:r>
          </w:p>
        </w:tc>
        <w:tc>
          <w:tcPr>
            <w:tcW w:w="4046" w:type="dxa"/>
            <w:noWrap w:val="0"/>
            <w:vAlign w:val="center"/>
          </w:tcPr>
          <w:p w14:paraId="65F218F8">
            <w:pPr>
              <w:widowControl/>
              <w:spacing w:line="300" w:lineRule="exact"/>
              <w:jc w:val="center"/>
              <w:textAlignment w:val="center"/>
              <w:rPr>
                <w:rFonts w:ascii="Times New Roman" w:hAnsi="Times New Roman" w:eastAsia="黑体" w:cs="Times New Roman"/>
                <w:kern w:val="0"/>
                <w:szCs w:val="21"/>
                <w:lang w:bidi="ar"/>
              </w:rPr>
            </w:pPr>
            <w:r>
              <w:rPr>
                <w:rFonts w:ascii="Times New Roman" w:hAnsi="Times New Roman" w:eastAsia="黑体" w:cs="Times New Roman"/>
                <w:kern w:val="0"/>
                <w:szCs w:val="21"/>
                <w:lang w:bidi="ar"/>
              </w:rPr>
              <w:t>内容</w:t>
            </w:r>
          </w:p>
        </w:tc>
        <w:tc>
          <w:tcPr>
            <w:tcW w:w="776" w:type="dxa"/>
            <w:noWrap w:val="0"/>
            <w:vAlign w:val="center"/>
          </w:tcPr>
          <w:p w14:paraId="32E3CEE8">
            <w:pPr>
              <w:widowControl/>
              <w:jc w:val="center"/>
              <w:textAlignment w:val="center"/>
              <w:rPr>
                <w:rFonts w:ascii="Times New Roman" w:hAnsi="Times New Roman" w:eastAsia="黑体" w:cs="Times New Roman"/>
                <w:kern w:val="0"/>
                <w:szCs w:val="21"/>
                <w:lang w:bidi="ar"/>
              </w:rPr>
            </w:pPr>
            <w:r>
              <w:rPr>
                <w:rFonts w:ascii="Times New Roman" w:hAnsi="Times New Roman" w:eastAsia="黑体" w:cs="Times New Roman"/>
                <w:kern w:val="0"/>
                <w:szCs w:val="21"/>
                <w:lang w:bidi="ar"/>
              </w:rPr>
              <w:t>风险等级</w:t>
            </w:r>
          </w:p>
        </w:tc>
        <w:tc>
          <w:tcPr>
            <w:tcW w:w="1643" w:type="dxa"/>
            <w:noWrap w:val="0"/>
            <w:vAlign w:val="center"/>
          </w:tcPr>
          <w:p w14:paraId="35330948">
            <w:pPr>
              <w:widowControl/>
              <w:jc w:val="center"/>
              <w:textAlignment w:val="center"/>
              <w:rPr>
                <w:rFonts w:ascii="Times New Roman" w:hAnsi="Times New Roman" w:eastAsia="黑体" w:cs="Times New Roman"/>
                <w:kern w:val="0"/>
                <w:szCs w:val="21"/>
                <w:lang w:bidi="ar"/>
              </w:rPr>
            </w:pPr>
            <w:r>
              <w:rPr>
                <w:rFonts w:ascii="Times New Roman" w:hAnsi="Times New Roman" w:eastAsia="黑体" w:cs="Times New Roman"/>
                <w:kern w:val="0"/>
                <w:szCs w:val="21"/>
                <w:lang w:bidi="ar"/>
              </w:rPr>
              <w:t>规范条款/</w:t>
            </w:r>
          </w:p>
          <w:p w14:paraId="04C13008">
            <w:pPr>
              <w:widowControl/>
              <w:jc w:val="center"/>
              <w:textAlignment w:val="center"/>
              <w:rPr>
                <w:rFonts w:ascii="Times New Roman" w:hAnsi="Times New Roman" w:eastAsia="黑体" w:cs="Times New Roman"/>
                <w:kern w:val="0"/>
                <w:szCs w:val="21"/>
                <w:lang w:bidi="ar"/>
              </w:rPr>
            </w:pPr>
            <w:r>
              <w:rPr>
                <w:rFonts w:ascii="Times New Roman" w:hAnsi="Times New Roman" w:eastAsia="黑体" w:cs="Times New Roman"/>
                <w:kern w:val="0"/>
                <w:szCs w:val="21"/>
                <w:lang w:bidi="ar"/>
              </w:rPr>
              <w:t>附录条款</w:t>
            </w:r>
          </w:p>
        </w:tc>
      </w:tr>
      <w:tr w14:paraId="60D1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restart"/>
            <w:noWrap w:val="0"/>
            <w:vAlign w:val="center"/>
          </w:tcPr>
          <w:p w14:paraId="2C99E98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第一章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总则</w:t>
            </w:r>
          </w:p>
        </w:tc>
        <w:tc>
          <w:tcPr>
            <w:tcW w:w="708" w:type="dxa"/>
            <w:noWrap w:val="0"/>
            <w:vAlign w:val="center"/>
          </w:tcPr>
          <w:p w14:paraId="09E79B1B">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1</w:t>
            </w:r>
          </w:p>
        </w:tc>
        <w:tc>
          <w:tcPr>
            <w:tcW w:w="907" w:type="dxa"/>
            <w:noWrap w:val="0"/>
            <w:vAlign w:val="center"/>
          </w:tcPr>
          <w:p w14:paraId="0AD9F710">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1.1.1</w:t>
            </w:r>
          </w:p>
        </w:tc>
        <w:tc>
          <w:tcPr>
            <w:tcW w:w="4046" w:type="dxa"/>
            <w:noWrap w:val="0"/>
            <w:vAlign w:val="center"/>
          </w:tcPr>
          <w:p w14:paraId="7E4709A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企业应当按照本规范的要求，结合产品特点，建立健全与所生产医疗器械相适应的质量管理体系，并保证其有效运行。质量管理体系涵盖委托研发、委托生产、外协加工以及委托检验等。</w:t>
            </w:r>
          </w:p>
        </w:tc>
        <w:tc>
          <w:tcPr>
            <w:tcW w:w="776" w:type="dxa"/>
            <w:noWrap w:val="0"/>
            <w:vAlign w:val="center"/>
          </w:tcPr>
          <w:p w14:paraId="48DE4F4F">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1A8A3CAA">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《规范》第三条</w:t>
            </w:r>
          </w:p>
        </w:tc>
      </w:tr>
      <w:tr w14:paraId="58D8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63F80C62">
            <w:pPr>
              <w:widowControl/>
              <w:spacing w:line="300" w:lineRule="exact"/>
              <w:jc w:val="center"/>
              <w:textAlignment w:val="center"/>
              <w:rPr>
                <w:rFonts w:ascii="Times New Roman" w:hAnsi="Times New Roman" w:eastAsia="仿宋_GB2312" w:cs="Times New Roman"/>
                <w:kern w:val="0"/>
                <w:szCs w:val="21"/>
                <w:lang w:bidi="ar"/>
              </w:rPr>
            </w:pPr>
          </w:p>
        </w:tc>
        <w:tc>
          <w:tcPr>
            <w:tcW w:w="708" w:type="dxa"/>
            <w:noWrap w:val="0"/>
            <w:vAlign w:val="center"/>
          </w:tcPr>
          <w:p w14:paraId="6697F7C9">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2</w:t>
            </w:r>
          </w:p>
        </w:tc>
        <w:tc>
          <w:tcPr>
            <w:tcW w:w="907" w:type="dxa"/>
            <w:noWrap w:val="0"/>
            <w:vAlign w:val="center"/>
          </w:tcPr>
          <w:p w14:paraId="05469D48">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1.2.1</w:t>
            </w:r>
          </w:p>
        </w:tc>
        <w:tc>
          <w:tcPr>
            <w:tcW w:w="4046" w:type="dxa"/>
            <w:noWrap w:val="0"/>
            <w:vAlign w:val="center"/>
          </w:tcPr>
          <w:p w14:paraId="6BE1BC5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企业应当将风险管理理念贯穿于质量管理体系运行全过程，所采取的控制措施应当与产品存在的风险相适应。</w:t>
            </w:r>
          </w:p>
        </w:tc>
        <w:tc>
          <w:tcPr>
            <w:tcW w:w="776" w:type="dxa"/>
            <w:noWrap w:val="0"/>
            <w:vAlign w:val="center"/>
          </w:tcPr>
          <w:p w14:paraId="2BB3A1CB">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7DD89689">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《规范》第四条</w:t>
            </w:r>
          </w:p>
        </w:tc>
      </w:tr>
      <w:tr w14:paraId="179F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116" w:type="dxa"/>
            <w:vMerge w:val="restart"/>
            <w:noWrap w:val="0"/>
            <w:vAlign w:val="center"/>
          </w:tcPr>
          <w:p w14:paraId="70608598">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第二章</w:t>
            </w:r>
          </w:p>
          <w:p w14:paraId="3D746FC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质量保证</w:t>
            </w:r>
          </w:p>
        </w:tc>
        <w:tc>
          <w:tcPr>
            <w:tcW w:w="708" w:type="dxa"/>
            <w:noWrap w:val="0"/>
            <w:vAlign w:val="center"/>
          </w:tcPr>
          <w:p w14:paraId="1BAFA2EA">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3</w:t>
            </w:r>
          </w:p>
        </w:tc>
        <w:tc>
          <w:tcPr>
            <w:tcW w:w="907" w:type="dxa"/>
            <w:noWrap w:val="0"/>
            <w:vAlign w:val="center"/>
          </w:tcPr>
          <w:p w14:paraId="150DA883">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2.1.1</w:t>
            </w:r>
          </w:p>
        </w:tc>
        <w:tc>
          <w:tcPr>
            <w:tcW w:w="4046" w:type="dxa"/>
            <w:noWrap w:val="0"/>
            <w:vAlign w:val="center"/>
          </w:tcPr>
          <w:p w14:paraId="17990D3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776" w:type="dxa"/>
            <w:noWrap w:val="0"/>
            <w:vAlign w:val="center"/>
          </w:tcPr>
          <w:p w14:paraId="3C7575EA">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7DC996B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《规范》第七条</w:t>
            </w:r>
          </w:p>
        </w:tc>
      </w:tr>
      <w:tr w14:paraId="518F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61470744">
            <w:pPr>
              <w:widowControl/>
              <w:spacing w:line="300" w:lineRule="exact"/>
              <w:jc w:val="center"/>
              <w:textAlignment w:val="center"/>
              <w:rPr>
                <w:rFonts w:ascii="Times New Roman" w:hAnsi="Times New Roman" w:eastAsia="仿宋_GB2312" w:cs="Times New Roman"/>
                <w:kern w:val="0"/>
                <w:szCs w:val="21"/>
                <w:lang w:bidi="ar"/>
              </w:rPr>
            </w:pPr>
          </w:p>
        </w:tc>
        <w:tc>
          <w:tcPr>
            <w:tcW w:w="708" w:type="dxa"/>
            <w:noWrap w:val="0"/>
            <w:vAlign w:val="center"/>
          </w:tcPr>
          <w:p w14:paraId="435C3B45">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4</w:t>
            </w:r>
          </w:p>
        </w:tc>
        <w:tc>
          <w:tcPr>
            <w:tcW w:w="907" w:type="dxa"/>
            <w:noWrap w:val="0"/>
            <w:vAlign w:val="center"/>
          </w:tcPr>
          <w:p w14:paraId="50B5CA95">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2.2.1</w:t>
            </w:r>
          </w:p>
        </w:tc>
        <w:tc>
          <w:tcPr>
            <w:tcW w:w="4046" w:type="dxa"/>
            <w:noWrap w:val="0"/>
            <w:vAlign w:val="center"/>
          </w:tcPr>
          <w:p w14:paraId="6697965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企业应当为实现质量目标配备足够并符合要求的人员、厂房设施和设备等资源。</w:t>
            </w:r>
          </w:p>
        </w:tc>
        <w:tc>
          <w:tcPr>
            <w:tcW w:w="776" w:type="dxa"/>
            <w:noWrap w:val="0"/>
            <w:vAlign w:val="center"/>
          </w:tcPr>
          <w:p w14:paraId="792D2AC2">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6FF22182">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《规范》第八条</w:t>
            </w:r>
          </w:p>
        </w:tc>
      </w:tr>
      <w:tr w14:paraId="1B2D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18362EEE">
            <w:pPr>
              <w:widowControl/>
              <w:spacing w:line="300" w:lineRule="exact"/>
              <w:jc w:val="center"/>
              <w:textAlignment w:val="center"/>
              <w:rPr>
                <w:rFonts w:ascii="Times New Roman" w:hAnsi="Times New Roman" w:eastAsia="仿宋_GB2312" w:cs="Times New Roman"/>
                <w:kern w:val="0"/>
                <w:szCs w:val="21"/>
                <w:lang w:bidi="ar"/>
              </w:rPr>
            </w:pPr>
          </w:p>
        </w:tc>
        <w:tc>
          <w:tcPr>
            <w:tcW w:w="708" w:type="dxa"/>
            <w:noWrap w:val="0"/>
            <w:vAlign w:val="center"/>
          </w:tcPr>
          <w:p w14:paraId="37946E34">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5</w:t>
            </w:r>
          </w:p>
        </w:tc>
        <w:tc>
          <w:tcPr>
            <w:tcW w:w="907" w:type="dxa"/>
            <w:noWrap w:val="0"/>
            <w:vAlign w:val="center"/>
          </w:tcPr>
          <w:p w14:paraId="405337B2">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2.2.2</w:t>
            </w:r>
          </w:p>
        </w:tc>
        <w:tc>
          <w:tcPr>
            <w:tcW w:w="4046" w:type="dxa"/>
            <w:noWrap w:val="0"/>
            <w:vAlign w:val="center"/>
          </w:tcPr>
          <w:p w14:paraId="2BAACE3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企业各级人员应当共同参与实现质量目标的各项活动并承担相应责任。</w:t>
            </w:r>
          </w:p>
        </w:tc>
        <w:tc>
          <w:tcPr>
            <w:tcW w:w="776" w:type="dxa"/>
            <w:noWrap w:val="0"/>
            <w:vAlign w:val="center"/>
          </w:tcPr>
          <w:p w14:paraId="64D41474">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00FB67A6">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《规范》第八条</w:t>
            </w:r>
          </w:p>
        </w:tc>
      </w:tr>
      <w:tr w14:paraId="4D22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7" w:hRule="atLeast"/>
        </w:trPr>
        <w:tc>
          <w:tcPr>
            <w:tcW w:w="1116" w:type="dxa"/>
            <w:vMerge w:val="continue"/>
            <w:noWrap w:val="0"/>
            <w:vAlign w:val="center"/>
          </w:tcPr>
          <w:p w14:paraId="501AFA0A">
            <w:pPr>
              <w:widowControl/>
              <w:spacing w:line="300" w:lineRule="exact"/>
              <w:jc w:val="center"/>
              <w:textAlignment w:val="center"/>
              <w:rPr>
                <w:rFonts w:ascii="Times New Roman" w:hAnsi="Times New Roman" w:eastAsia="仿宋_GB2312" w:cs="Times New Roman"/>
                <w:kern w:val="0"/>
                <w:szCs w:val="21"/>
                <w:lang w:bidi="ar"/>
              </w:rPr>
            </w:pPr>
          </w:p>
        </w:tc>
        <w:tc>
          <w:tcPr>
            <w:tcW w:w="708" w:type="dxa"/>
            <w:noWrap w:val="0"/>
            <w:vAlign w:val="center"/>
          </w:tcPr>
          <w:p w14:paraId="40F2656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6</w:t>
            </w:r>
          </w:p>
        </w:tc>
        <w:tc>
          <w:tcPr>
            <w:tcW w:w="907" w:type="dxa"/>
            <w:noWrap w:val="0"/>
            <w:vAlign w:val="center"/>
          </w:tcPr>
          <w:p w14:paraId="4C4ADD07">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2.3.1</w:t>
            </w:r>
          </w:p>
        </w:tc>
        <w:tc>
          <w:tcPr>
            <w:tcW w:w="4046" w:type="dxa"/>
            <w:noWrap w:val="0"/>
            <w:vAlign w:val="center"/>
          </w:tcPr>
          <w:p w14:paraId="16246C7A">
            <w:pPr>
              <w:widowControl/>
              <w:spacing w:line="300" w:lineRule="exact"/>
              <w:textAlignment w:val="center"/>
              <w:rPr>
                <w:rFonts w:hint="eastAsia" w:ascii="Times New Roman" w:hAnsi="Times New Roman" w:eastAsia="仿宋_GB2312" w:cs="Times New Roman"/>
                <w:kern w:val="0"/>
                <w:szCs w:val="21"/>
                <w:lang w:val="en" w:eastAsia="zh-CN" w:bidi="ar"/>
              </w:rPr>
            </w:pPr>
            <w:r>
              <w:rPr>
                <w:rFonts w:ascii="Times New Roman" w:hAnsi="Times New Roman" w:eastAsia="仿宋_GB2312" w:cs="Times New Roman"/>
                <w:kern w:val="0"/>
                <w:szCs w:val="21"/>
                <w:lang w:bidi="ar"/>
              </w:rPr>
              <w:t>企业应当建立质量保证系统并有完整的质量管理体系文件，保证质量管理体系有效运行。</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质量保证系统应当确保：</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（一）医疗器械的设计开发、生产管理和质量控制活动符合本规范</w:t>
            </w:r>
            <w:r>
              <w:rPr>
                <w:rFonts w:hint="eastAsia" w:ascii="Times New Roman" w:hAnsi="Times New Roman" w:eastAsia="仿宋_GB2312" w:cs="Times New Roman"/>
                <w:kern w:val="0"/>
                <w:szCs w:val="21"/>
                <w:lang w:val="en-US"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（二）管理职责明确</w:t>
            </w:r>
            <w:r>
              <w:rPr>
                <w:rFonts w:hint="eastAsia" w:ascii="Times New Roman" w:hAnsi="Times New Roman" w:eastAsia="仿宋_GB2312" w:cs="Times New Roman"/>
                <w:kern w:val="0"/>
                <w:szCs w:val="21"/>
                <w:lang w:val="en-US"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（三）采购和使用的原材料正确无误</w:t>
            </w:r>
            <w:r>
              <w:rPr>
                <w:rFonts w:hint="eastAsia" w:ascii="Times New Roman" w:hAnsi="Times New Roman" w:eastAsia="仿宋_GB2312" w:cs="Times New Roman"/>
                <w:kern w:val="0"/>
                <w:szCs w:val="21"/>
                <w:lang w:val="en-US"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（四）中间产品得到有效控制</w:t>
            </w:r>
            <w:r>
              <w:rPr>
                <w:rFonts w:hint="eastAsia" w:ascii="Times New Roman" w:hAnsi="Times New Roman" w:eastAsia="仿宋_GB2312" w:cs="Times New Roman"/>
                <w:kern w:val="0"/>
                <w:szCs w:val="21"/>
                <w:lang w:val="en" w:eastAsia="zh-CN" w:bidi="ar"/>
              </w:rPr>
              <w:t>；</w:t>
            </w:r>
          </w:p>
          <w:p w14:paraId="2DE9128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（五）验证、确认活动符合要求</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（六）严格按照规程进行生产和检验</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（七）每批（台）产品经审核批准后放行</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（八）贮存、运输以及安装等环节有保证产品质量的措施</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（九）委托研发、委托生产、外协加工和委托检验等活动处于受控状态。</w:t>
            </w:r>
          </w:p>
        </w:tc>
        <w:tc>
          <w:tcPr>
            <w:tcW w:w="776" w:type="dxa"/>
            <w:noWrap w:val="0"/>
            <w:vAlign w:val="center"/>
          </w:tcPr>
          <w:p w14:paraId="65D9FF4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1C4290F3">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《规范》第九条</w:t>
            </w:r>
          </w:p>
        </w:tc>
      </w:tr>
      <w:tr w14:paraId="15EA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2FDE8402">
            <w:pPr>
              <w:widowControl/>
              <w:spacing w:line="300" w:lineRule="exact"/>
              <w:jc w:val="center"/>
              <w:textAlignment w:val="center"/>
              <w:rPr>
                <w:rFonts w:ascii="Times New Roman" w:hAnsi="Times New Roman" w:eastAsia="仿宋_GB2312" w:cs="Times New Roman"/>
                <w:kern w:val="0"/>
                <w:szCs w:val="21"/>
                <w:lang w:bidi="ar"/>
              </w:rPr>
            </w:pPr>
          </w:p>
        </w:tc>
        <w:tc>
          <w:tcPr>
            <w:tcW w:w="708" w:type="dxa"/>
            <w:noWrap w:val="0"/>
            <w:vAlign w:val="center"/>
          </w:tcPr>
          <w:p w14:paraId="7A079E0D">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7</w:t>
            </w:r>
          </w:p>
        </w:tc>
        <w:tc>
          <w:tcPr>
            <w:tcW w:w="907" w:type="dxa"/>
            <w:noWrap w:val="0"/>
            <w:vAlign w:val="center"/>
          </w:tcPr>
          <w:p w14:paraId="6D879D10">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2.4.1</w:t>
            </w:r>
          </w:p>
        </w:tc>
        <w:tc>
          <w:tcPr>
            <w:tcW w:w="4046" w:type="dxa"/>
            <w:noWrap w:val="0"/>
            <w:vAlign w:val="center"/>
          </w:tcPr>
          <w:p w14:paraId="5C61B618">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776" w:type="dxa"/>
            <w:noWrap w:val="0"/>
            <w:vAlign w:val="center"/>
          </w:tcPr>
          <w:p w14:paraId="1D016B7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03A87846">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《规范》第十条</w:t>
            </w:r>
          </w:p>
        </w:tc>
      </w:tr>
      <w:tr w14:paraId="1C3E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116" w:type="dxa"/>
            <w:vMerge w:val="continue"/>
            <w:noWrap w:val="0"/>
            <w:vAlign w:val="center"/>
          </w:tcPr>
          <w:p w14:paraId="3006CA9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8EE7D0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w:t>
            </w:r>
          </w:p>
        </w:tc>
        <w:tc>
          <w:tcPr>
            <w:tcW w:w="907" w:type="dxa"/>
            <w:noWrap w:val="0"/>
            <w:vAlign w:val="center"/>
          </w:tcPr>
          <w:p w14:paraId="367EC60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2.5.1</w:t>
            </w:r>
          </w:p>
        </w:tc>
        <w:tc>
          <w:tcPr>
            <w:tcW w:w="4046" w:type="dxa"/>
            <w:noWrap w:val="0"/>
            <w:vAlign w:val="center"/>
          </w:tcPr>
          <w:p w14:paraId="0D63FBB8">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企业应当通过质量数据监控、变更管理、不良事件监测、质量风险管理回顾、纠正预防措施、内部审核以及管理评审等方式，实现质量管理体系、工艺和产品质量的持续改进。</w:t>
            </w:r>
          </w:p>
        </w:tc>
        <w:tc>
          <w:tcPr>
            <w:tcW w:w="776" w:type="dxa"/>
            <w:noWrap w:val="0"/>
            <w:vAlign w:val="center"/>
          </w:tcPr>
          <w:p w14:paraId="6FBBA1E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F3A82E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《规范》第十一条</w:t>
            </w:r>
          </w:p>
        </w:tc>
      </w:tr>
      <w:tr w14:paraId="2C143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continue"/>
            <w:noWrap w:val="0"/>
            <w:vAlign w:val="center"/>
          </w:tcPr>
          <w:p w14:paraId="75A1B69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F5CBBD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w:t>
            </w:r>
          </w:p>
        </w:tc>
        <w:tc>
          <w:tcPr>
            <w:tcW w:w="907" w:type="dxa"/>
            <w:noWrap w:val="0"/>
            <w:vAlign w:val="center"/>
          </w:tcPr>
          <w:p w14:paraId="75273E6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2.6.1</w:t>
            </w:r>
          </w:p>
        </w:tc>
        <w:tc>
          <w:tcPr>
            <w:tcW w:w="4046" w:type="dxa"/>
            <w:noWrap w:val="0"/>
            <w:vAlign w:val="center"/>
          </w:tcPr>
          <w:p w14:paraId="6781C4C2">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企业应当建立质量风险管理制度，基于法律、法规、规章、标准、科学知识和经验等，评估产品实现全过程的质量风险，验证和实施质量风险控制措施，确保产品质量风险得到有效控制。</w:t>
            </w:r>
          </w:p>
        </w:tc>
        <w:tc>
          <w:tcPr>
            <w:tcW w:w="776" w:type="dxa"/>
            <w:noWrap w:val="0"/>
            <w:vAlign w:val="center"/>
          </w:tcPr>
          <w:p w14:paraId="230BE7A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23C73C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《规范》第十二条</w:t>
            </w:r>
          </w:p>
        </w:tc>
      </w:tr>
      <w:tr w14:paraId="5975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7371E76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308CDE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w:t>
            </w:r>
          </w:p>
        </w:tc>
        <w:tc>
          <w:tcPr>
            <w:tcW w:w="907" w:type="dxa"/>
            <w:noWrap w:val="0"/>
            <w:vAlign w:val="center"/>
          </w:tcPr>
          <w:p w14:paraId="41A329E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2.7.1</w:t>
            </w:r>
          </w:p>
        </w:tc>
        <w:tc>
          <w:tcPr>
            <w:tcW w:w="4046" w:type="dxa"/>
            <w:noWrap w:val="0"/>
            <w:vAlign w:val="center"/>
          </w:tcPr>
          <w:p w14:paraId="14F4EB3D">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企业应当收集产品全生命周期质量风险信息，定期实施质量风险管理回顾，确保质量风险管理措施持续有效。</w:t>
            </w:r>
          </w:p>
        </w:tc>
        <w:tc>
          <w:tcPr>
            <w:tcW w:w="776" w:type="dxa"/>
            <w:noWrap w:val="0"/>
            <w:vAlign w:val="center"/>
          </w:tcPr>
          <w:p w14:paraId="173BECF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DC79A5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《规范》第十三条</w:t>
            </w:r>
          </w:p>
        </w:tc>
      </w:tr>
      <w:tr w14:paraId="47DF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restart"/>
            <w:noWrap w:val="0"/>
            <w:vAlign w:val="center"/>
          </w:tcPr>
          <w:p w14:paraId="2EAF6D1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第三章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机构与人员</w:t>
            </w:r>
          </w:p>
        </w:tc>
        <w:tc>
          <w:tcPr>
            <w:tcW w:w="708" w:type="dxa"/>
            <w:noWrap w:val="0"/>
            <w:vAlign w:val="center"/>
          </w:tcPr>
          <w:p w14:paraId="62BFA6A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w:t>
            </w:r>
          </w:p>
        </w:tc>
        <w:tc>
          <w:tcPr>
            <w:tcW w:w="907" w:type="dxa"/>
            <w:noWrap w:val="0"/>
            <w:vAlign w:val="center"/>
          </w:tcPr>
          <w:p w14:paraId="5CF71AE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3.1.1</w:t>
            </w:r>
          </w:p>
        </w:tc>
        <w:tc>
          <w:tcPr>
            <w:tcW w:w="4046" w:type="dxa"/>
            <w:noWrap w:val="0"/>
            <w:vAlign w:val="center"/>
          </w:tcPr>
          <w:p w14:paraId="052D401C">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企业应当建立与医疗器械生产相适应的组织机构，明确各部门的职责和权限，明确质量管理职能。</w:t>
            </w:r>
          </w:p>
        </w:tc>
        <w:tc>
          <w:tcPr>
            <w:tcW w:w="776" w:type="dxa"/>
            <w:noWrap w:val="0"/>
            <w:vAlign w:val="center"/>
          </w:tcPr>
          <w:p w14:paraId="07C342F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3159FF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《规范》第十四条</w:t>
            </w:r>
          </w:p>
        </w:tc>
      </w:tr>
      <w:tr w14:paraId="6849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3009C9B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D8F0FE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w:t>
            </w:r>
          </w:p>
        </w:tc>
        <w:tc>
          <w:tcPr>
            <w:tcW w:w="907" w:type="dxa"/>
            <w:noWrap w:val="0"/>
            <w:vAlign w:val="center"/>
          </w:tcPr>
          <w:p w14:paraId="4568456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3.1.2</w:t>
            </w:r>
          </w:p>
        </w:tc>
        <w:tc>
          <w:tcPr>
            <w:tcW w:w="4046" w:type="dxa"/>
            <w:noWrap w:val="0"/>
            <w:vAlign w:val="center"/>
          </w:tcPr>
          <w:p w14:paraId="707D3244">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生产管理部门和质量管理部门负责人不得互相兼任。</w:t>
            </w:r>
          </w:p>
        </w:tc>
        <w:tc>
          <w:tcPr>
            <w:tcW w:w="776" w:type="dxa"/>
            <w:noWrap w:val="0"/>
            <w:vAlign w:val="center"/>
          </w:tcPr>
          <w:p w14:paraId="5D42CE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D05418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《规范》第十四条</w:t>
            </w:r>
          </w:p>
        </w:tc>
      </w:tr>
      <w:tr w14:paraId="7CB5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760F6000">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866F4E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w:t>
            </w:r>
          </w:p>
        </w:tc>
        <w:tc>
          <w:tcPr>
            <w:tcW w:w="907" w:type="dxa"/>
            <w:noWrap w:val="0"/>
            <w:vAlign w:val="center"/>
          </w:tcPr>
          <w:p w14:paraId="1164E68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3.2.1</w:t>
            </w:r>
          </w:p>
        </w:tc>
        <w:tc>
          <w:tcPr>
            <w:tcW w:w="4046" w:type="dxa"/>
            <w:noWrap w:val="0"/>
            <w:vAlign w:val="center"/>
          </w:tcPr>
          <w:p w14:paraId="374B3EDC">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企业应当设立与所生产产品相适应的质量管理部门。</w:t>
            </w:r>
          </w:p>
        </w:tc>
        <w:tc>
          <w:tcPr>
            <w:tcW w:w="776" w:type="dxa"/>
            <w:noWrap w:val="0"/>
            <w:vAlign w:val="center"/>
          </w:tcPr>
          <w:p w14:paraId="5340769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1918B4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《规范》第十五条</w:t>
            </w:r>
          </w:p>
        </w:tc>
      </w:tr>
      <w:tr w14:paraId="0F12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16" w:type="dxa"/>
            <w:vMerge w:val="continue"/>
            <w:noWrap w:val="0"/>
            <w:vAlign w:val="center"/>
          </w:tcPr>
          <w:p w14:paraId="7A54FDB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760D2A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w:t>
            </w:r>
          </w:p>
        </w:tc>
        <w:tc>
          <w:tcPr>
            <w:tcW w:w="907" w:type="dxa"/>
            <w:noWrap w:val="0"/>
            <w:vAlign w:val="center"/>
          </w:tcPr>
          <w:p w14:paraId="25B561B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3.2.2</w:t>
            </w:r>
          </w:p>
        </w:tc>
        <w:tc>
          <w:tcPr>
            <w:tcW w:w="4046" w:type="dxa"/>
            <w:noWrap w:val="0"/>
            <w:vAlign w:val="center"/>
          </w:tcPr>
          <w:p w14:paraId="20B5691E">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质量管理部门应当参与和产品质量相关的各项活动，负责审核与本规范有关的文件。</w:t>
            </w:r>
          </w:p>
        </w:tc>
        <w:tc>
          <w:tcPr>
            <w:tcW w:w="776" w:type="dxa"/>
            <w:noWrap w:val="0"/>
            <w:vAlign w:val="center"/>
          </w:tcPr>
          <w:p w14:paraId="7A9356C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54489D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《规范》第十五条</w:t>
            </w:r>
          </w:p>
        </w:tc>
      </w:tr>
      <w:tr w14:paraId="3D4E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594EBB5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B6A551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w:t>
            </w:r>
          </w:p>
        </w:tc>
        <w:tc>
          <w:tcPr>
            <w:tcW w:w="907" w:type="dxa"/>
            <w:noWrap w:val="0"/>
            <w:vAlign w:val="center"/>
          </w:tcPr>
          <w:p w14:paraId="1E95C09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3.2.3</w:t>
            </w:r>
          </w:p>
        </w:tc>
        <w:tc>
          <w:tcPr>
            <w:tcW w:w="4046" w:type="dxa"/>
            <w:noWrap w:val="0"/>
            <w:vAlign w:val="center"/>
          </w:tcPr>
          <w:p w14:paraId="6E6A382E">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质量管理部门应当独立履行质量保证和质量控制职责，并对产品质量有否决权。</w:t>
            </w:r>
          </w:p>
        </w:tc>
        <w:tc>
          <w:tcPr>
            <w:tcW w:w="776" w:type="dxa"/>
            <w:noWrap w:val="0"/>
            <w:vAlign w:val="center"/>
          </w:tcPr>
          <w:p w14:paraId="66317ED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931918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《规范》第十五条</w:t>
            </w:r>
          </w:p>
        </w:tc>
      </w:tr>
      <w:tr w14:paraId="70AB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16" w:type="dxa"/>
            <w:vMerge w:val="continue"/>
            <w:noWrap w:val="0"/>
            <w:vAlign w:val="center"/>
          </w:tcPr>
          <w:p w14:paraId="2C92A7F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147863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w:t>
            </w:r>
          </w:p>
        </w:tc>
        <w:tc>
          <w:tcPr>
            <w:tcW w:w="907" w:type="dxa"/>
            <w:noWrap w:val="0"/>
            <w:vAlign w:val="center"/>
          </w:tcPr>
          <w:p w14:paraId="1390D9B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3.3.1</w:t>
            </w:r>
          </w:p>
        </w:tc>
        <w:tc>
          <w:tcPr>
            <w:tcW w:w="4046" w:type="dxa"/>
            <w:noWrap w:val="0"/>
            <w:vAlign w:val="center"/>
          </w:tcPr>
          <w:p w14:paraId="1B6B529C">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企业应当配备足够数量并具有相应资质（含学历、培训和实践经验）的专业技术人员、管理人员、生产操作人员和专职检验人员。</w:t>
            </w:r>
          </w:p>
        </w:tc>
        <w:tc>
          <w:tcPr>
            <w:tcW w:w="776" w:type="dxa"/>
            <w:noWrap w:val="0"/>
            <w:vAlign w:val="center"/>
          </w:tcPr>
          <w:p w14:paraId="11C6891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516893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《规范》第十六条</w:t>
            </w:r>
          </w:p>
        </w:tc>
      </w:tr>
      <w:tr w14:paraId="0D8F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16" w:type="dxa"/>
            <w:vMerge w:val="continue"/>
            <w:noWrap w:val="0"/>
            <w:vAlign w:val="center"/>
          </w:tcPr>
          <w:p w14:paraId="1DECD8D0">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76184C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w:t>
            </w:r>
          </w:p>
        </w:tc>
        <w:tc>
          <w:tcPr>
            <w:tcW w:w="907" w:type="dxa"/>
            <w:noWrap w:val="0"/>
            <w:vAlign w:val="center"/>
          </w:tcPr>
          <w:p w14:paraId="1756267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3.3.2</w:t>
            </w:r>
          </w:p>
        </w:tc>
        <w:tc>
          <w:tcPr>
            <w:tcW w:w="4046" w:type="dxa"/>
            <w:noWrap w:val="0"/>
            <w:vAlign w:val="center"/>
          </w:tcPr>
          <w:p w14:paraId="2F94D03E">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szCs w:val="21"/>
              </w:rPr>
              <w:t>企业</w:t>
            </w:r>
            <w:r>
              <w:rPr>
                <w:rFonts w:ascii="Times New Roman" w:hAnsi="Times New Roman" w:eastAsia="仿宋_GB2312" w:cs="Times New Roman"/>
                <w:kern w:val="0"/>
                <w:szCs w:val="21"/>
                <w:lang w:bidi="ar"/>
              </w:rPr>
              <w:t>应当明确规定每个岗位的职责，岗位职责不得遗漏，交叉的职责应当有明确规定。</w:t>
            </w:r>
          </w:p>
        </w:tc>
        <w:tc>
          <w:tcPr>
            <w:tcW w:w="776" w:type="dxa"/>
            <w:noWrap w:val="0"/>
            <w:vAlign w:val="center"/>
          </w:tcPr>
          <w:p w14:paraId="1AA5085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97B0BA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《规范》第十六条</w:t>
            </w:r>
          </w:p>
        </w:tc>
      </w:tr>
      <w:tr w14:paraId="07C8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116" w:type="dxa"/>
            <w:vMerge w:val="continue"/>
            <w:noWrap w:val="0"/>
            <w:vAlign w:val="center"/>
          </w:tcPr>
          <w:p w14:paraId="0F4CE91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D223C2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w:t>
            </w:r>
          </w:p>
        </w:tc>
        <w:tc>
          <w:tcPr>
            <w:tcW w:w="907" w:type="dxa"/>
            <w:noWrap w:val="0"/>
            <w:vAlign w:val="center"/>
          </w:tcPr>
          <w:p w14:paraId="4AD7CC1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3.4.1</w:t>
            </w:r>
          </w:p>
        </w:tc>
        <w:tc>
          <w:tcPr>
            <w:tcW w:w="4046" w:type="dxa"/>
            <w:noWrap w:val="0"/>
            <w:vAlign w:val="center"/>
          </w:tcPr>
          <w:p w14:paraId="1CF0E0D5">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776" w:type="dxa"/>
            <w:noWrap w:val="0"/>
            <w:vAlign w:val="center"/>
          </w:tcPr>
          <w:p w14:paraId="10408FB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5F6C9C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《规范》第十七条</w:t>
            </w:r>
          </w:p>
        </w:tc>
      </w:tr>
      <w:tr w14:paraId="50FF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116" w:type="dxa"/>
            <w:vMerge w:val="continue"/>
            <w:noWrap w:val="0"/>
            <w:vAlign w:val="center"/>
          </w:tcPr>
          <w:p w14:paraId="5BA4E1E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B1AD4B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w:t>
            </w:r>
          </w:p>
        </w:tc>
        <w:tc>
          <w:tcPr>
            <w:tcW w:w="907" w:type="dxa"/>
            <w:noWrap w:val="0"/>
            <w:vAlign w:val="center"/>
          </w:tcPr>
          <w:p w14:paraId="7AAA3AA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3.4.2</w:t>
            </w:r>
          </w:p>
        </w:tc>
        <w:tc>
          <w:tcPr>
            <w:tcW w:w="4046" w:type="dxa"/>
            <w:noWrap w:val="0"/>
            <w:vAlign w:val="center"/>
          </w:tcPr>
          <w:p w14:paraId="4EC2D05F">
            <w:pPr>
              <w:widowControl/>
              <w:spacing w:line="300" w:lineRule="exact"/>
              <w:textAlignment w:val="center"/>
              <w:rPr>
                <w:rFonts w:ascii="Times New Roman" w:hAnsi="Times New Roman" w:eastAsia="仿宋_GB2312" w:cs="Times New Roman"/>
                <w:szCs w:val="21"/>
              </w:rPr>
            </w:pPr>
            <w:r>
              <w:rPr>
                <w:rStyle w:val="4"/>
                <w:rFonts w:hint="default" w:ascii="Times New Roman" w:hAnsi="Times New Roman" w:eastAsia="仿宋_GB2312" w:cs="Times New Roman"/>
                <w:color w:val="auto"/>
                <w:sz w:val="21"/>
                <w:szCs w:val="21"/>
                <w:lang w:bidi="ar"/>
              </w:rPr>
              <w:t>关键岗位人员应当熟悉医疗器械相关法律法规，具有质量管理的实践经验，有能力对生产管理和质量管理中的实际问题作出正确的判断和处理。</w:t>
            </w:r>
            <w:r>
              <w:rPr>
                <w:rStyle w:val="5"/>
                <w:rFonts w:hint="default" w:ascii="Times New Roman" w:hAnsi="Times New Roman" w:eastAsia="仿宋_GB2312" w:cs="Times New Roman"/>
                <w:color w:val="auto"/>
                <w:sz w:val="21"/>
                <w:szCs w:val="21"/>
                <w:lang w:bidi="ar"/>
              </w:rPr>
              <w:t>生产、技术和质量管理人员应当具有医学、检验学、生物学、免疫学或药学等与所生产产品相关的专业知识。</w:t>
            </w:r>
          </w:p>
        </w:tc>
        <w:tc>
          <w:tcPr>
            <w:tcW w:w="776" w:type="dxa"/>
            <w:noWrap w:val="0"/>
            <w:vAlign w:val="center"/>
          </w:tcPr>
          <w:p w14:paraId="128E392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A1C520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《规范》第十七条</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2.1.1</w:t>
            </w:r>
          </w:p>
        </w:tc>
      </w:tr>
      <w:tr w14:paraId="5562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3BA9BCE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87521D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w:t>
            </w:r>
          </w:p>
        </w:tc>
        <w:tc>
          <w:tcPr>
            <w:tcW w:w="907" w:type="dxa"/>
            <w:noWrap w:val="0"/>
            <w:vAlign w:val="center"/>
          </w:tcPr>
          <w:p w14:paraId="2D26AA1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3.5.1</w:t>
            </w:r>
          </w:p>
        </w:tc>
        <w:tc>
          <w:tcPr>
            <w:tcW w:w="4046" w:type="dxa"/>
            <w:noWrap w:val="0"/>
            <w:vAlign w:val="center"/>
          </w:tcPr>
          <w:p w14:paraId="476A04B8">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企业法定代表人、主要负责人负责组织制定企业的质量方针和质量目标，并确保质量管理体系有效运行所需的人力资源、基础设施和工作环境等。</w:t>
            </w:r>
          </w:p>
        </w:tc>
        <w:tc>
          <w:tcPr>
            <w:tcW w:w="776" w:type="dxa"/>
            <w:noWrap w:val="0"/>
            <w:vAlign w:val="center"/>
          </w:tcPr>
          <w:p w14:paraId="0EA9BE1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FBA083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《规范》第十八条</w:t>
            </w:r>
          </w:p>
        </w:tc>
      </w:tr>
      <w:tr w14:paraId="3AB3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3590845E">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750CF7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21</w:t>
            </w:r>
          </w:p>
        </w:tc>
        <w:tc>
          <w:tcPr>
            <w:tcW w:w="907" w:type="dxa"/>
            <w:noWrap w:val="0"/>
            <w:vAlign w:val="center"/>
          </w:tcPr>
          <w:p w14:paraId="6CB7871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3.5.2</w:t>
            </w:r>
          </w:p>
        </w:tc>
        <w:tc>
          <w:tcPr>
            <w:tcW w:w="4046" w:type="dxa"/>
            <w:noWrap w:val="0"/>
            <w:vAlign w:val="center"/>
          </w:tcPr>
          <w:p w14:paraId="653B1B30">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企业法定代表人、主要负责人负责组织实施管理评审，定期对质量管理体系运行情况进行评估，并持续改进。</w:t>
            </w:r>
          </w:p>
        </w:tc>
        <w:tc>
          <w:tcPr>
            <w:tcW w:w="776" w:type="dxa"/>
            <w:noWrap w:val="0"/>
            <w:vAlign w:val="center"/>
          </w:tcPr>
          <w:p w14:paraId="6F18F92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F008CF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《规范》第十八条</w:t>
            </w:r>
          </w:p>
        </w:tc>
      </w:tr>
      <w:tr w14:paraId="5C1C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16" w:type="dxa"/>
            <w:vMerge w:val="continue"/>
            <w:noWrap w:val="0"/>
            <w:vAlign w:val="center"/>
          </w:tcPr>
          <w:p w14:paraId="0D48B3D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479935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22</w:t>
            </w:r>
          </w:p>
        </w:tc>
        <w:tc>
          <w:tcPr>
            <w:tcW w:w="907" w:type="dxa"/>
            <w:noWrap w:val="0"/>
            <w:vAlign w:val="center"/>
          </w:tcPr>
          <w:p w14:paraId="55EB913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3.5.3</w:t>
            </w:r>
          </w:p>
        </w:tc>
        <w:tc>
          <w:tcPr>
            <w:tcW w:w="4046" w:type="dxa"/>
            <w:noWrap w:val="0"/>
            <w:vAlign w:val="center"/>
          </w:tcPr>
          <w:p w14:paraId="5F02B08F">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企业法定代表人、主要负责人应当确保管理者代表、质量管理部门负责人和产品放行审核人独立履行职责，不受企业内部因素干扰。</w:t>
            </w:r>
          </w:p>
        </w:tc>
        <w:tc>
          <w:tcPr>
            <w:tcW w:w="776" w:type="dxa"/>
            <w:noWrap w:val="0"/>
            <w:vAlign w:val="center"/>
          </w:tcPr>
          <w:p w14:paraId="45CFFEF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365AFF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《规范》第十八条</w:t>
            </w:r>
          </w:p>
        </w:tc>
      </w:tr>
      <w:tr w14:paraId="28ED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6F76FAC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698B54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23</w:t>
            </w:r>
          </w:p>
        </w:tc>
        <w:tc>
          <w:tcPr>
            <w:tcW w:w="907" w:type="dxa"/>
            <w:noWrap w:val="0"/>
            <w:vAlign w:val="center"/>
          </w:tcPr>
          <w:p w14:paraId="17A25BF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3.5.4</w:t>
            </w:r>
          </w:p>
        </w:tc>
        <w:tc>
          <w:tcPr>
            <w:tcW w:w="4046" w:type="dxa"/>
            <w:noWrap w:val="0"/>
            <w:vAlign w:val="center"/>
          </w:tcPr>
          <w:p w14:paraId="09E28806">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企业法定代表人、主要负责人对医疗器械生产全面负责，应当按照相关法律、法规、规章、强制性标准以及经注册或者备案的产品技术要求组织生产。</w:t>
            </w:r>
          </w:p>
        </w:tc>
        <w:tc>
          <w:tcPr>
            <w:tcW w:w="776" w:type="dxa"/>
            <w:noWrap w:val="0"/>
            <w:vAlign w:val="center"/>
          </w:tcPr>
          <w:p w14:paraId="58148F7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DED9E6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《规范》第十八条</w:t>
            </w:r>
          </w:p>
        </w:tc>
      </w:tr>
      <w:tr w14:paraId="78C5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116" w:type="dxa"/>
            <w:vMerge w:val="continue"/>
            <w:noWrap w:val="0"/>
            <w:vAlign w:val="center"/>
          </w:tcPr>
          <w:p w14:paraId="6FF3810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8CCDAB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24</w:t>
            </w:r>
          </w:p>
        </w:tc>
        <w:tc>
          <w:tcPr>
            <w:tcW w:w="907" w:type="dxa"/>
            <w:noWrap w:val="0"/>
            <w:vAlign w:val="center"/>
          </w:tcPr>
          <w:p w14:paraId="5D1328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3.6.1</w:t>
            </w:r>
          </w:p>
        </w:tc>
        <w:tc>
          <w:tcPr>
            <w:tcW w:w="4046" w:type="dxa"/>
            <w:noWrap w:val="0"/>
            <w:vAlign w:val="center"/>
          </w:tcPr>
          <w:p w14:paraId="775CB9A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企业应当在高层管理人员中任命一名管理者代表。</w:t>
            </w:r>
          </w:p>
        </w:tc>
        <w:tc>
          <w:tcPr>
            <w:tcW w:w="776" w:type="dxa"/>
            <w:noWrap w:val="0"/>
            <w:vAlign w:val="center"/>
          </w:tcPr>
          <w:p w14:paraId="51B7C6F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8772F4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《规范》第十九条</w:t>
            </w:r>
          </w:p>
        </w:tc>
      </w:tr>
      <w:tr w14:paraId="4081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1116" w:type="dxa"/>
            <w:vMerge w:val="continue"/>
            <w:noWrap w:val="0"/>
            <w:vAlign w:val="center"/>
          </w:tcPr>
          <w:p w14:paraId="6CBD5F0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B7E7C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25</w:t>
            </w:r>
          </w:p>
        </w:tc>
        <w:tc>
          <w:tcPr>
            <w:tcW w:w="907" w:type="dxa"/>
            <w:noWrap w:val="0"/>
            <w:vAlign w:val="center"/>
          </w:tcPr>
          <w:p w14:paraId="662D1F7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3.6.2</w:t>
            </w:r>
          </w:p>
        </w:tc>
        <w:tc>
          <w:tcPr>
            <w:tcW w:w="4046" w:type="dxa"/>
            <w:noWrap w:val="0"/>
            <w:vAlign w:val="center"/>
          </w:tcPr>
          <w:p w14:paraId="0AE07D3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第二类、第三类医疗器械企业管理者代表应当具有医疗器械相关专业大学本科及以上学历或者中级及以上技术职称</w:t>
            </w:r>
            <w:r>
              <w:rPr>
                <w:rFonts w:ascii="Times New Roman" w:hAnsi="Times New Roman" w:eastAsia="仿宋_GB2312" w:cs="Times New Roman"/>
                <w:kern w:val="0"/>
                <w:szCs w:val="21"/>
                <w:lang w:val="en" w:bidi="ar"/>
              </w:rPr>
              <w:t>，</w:t>
            </w:r>
            <w:r>
              <w:rPr>
                <w:rFonts w:ascii="Times New Roman" w:hAnsi="Times New Roman" w:eastAsia="仿宋_GB2312" w:cs="Times New Roman"/>
                <w:kern w:val="0"/>
                <w:szCs w:val="21"/>
                <w:lang w:bidi="ar"/>
              </w:rPr>
              <w:t>第一类医疗器械企业管理者代表应当具有医疗器械相关专业大学专科及以上学历。管理者代表原则上应当具有三年及以上医疗器械质量管理或者生产、技术管理工作经验，熟悉产品生产和质量管理情况，具有良好履职能力。</w:t>
            </w:r>
          </w:p>
        </w:tc>
        <w:tc>
          <w:tcPr>
            <w:tcW w:w="776" w:type="dxa"/>
            <w:noWrap w:val="0"/>
            <w:vAlign w:val="center"/>
          </w:tcPr>
          <w:p w14:paraId="050DD6B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3490B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《规范》第十九条</w:t>
            </w:r>
          </w:p>
        </w:tc>
      </w:tr>
      <w:tr w14:paraId="6C96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22D8EA5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A4340C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26</w:t>
            </w:r>
          </w:p>
        </w:tc>
        <w:tc>
          <w:tcPr>
            <w:tcW w:w="907" w:type="dxa"/>
            <w:noWrap w:val="0"/>
            <w:vAlign w:val="center"/>
          </w:tcPr>
          <w:p w14:paraId="64473CB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3.6.3</w:t>
            </w:r>
          </w:p>
        </w:tc>
        <w:tc>
          <w:tcPr>
            <w:tcW w:w="4046" w:type="dxa"/>
            <w:noWrap w:val="0"/>
            <w:vAlign w:val="center"/>
          </w:tcPr>
          <w:p w14:paraId="7DF0F680">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管理者代表至少应当履行下列职责：</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（一）贯彻执行相关法律、法规、规章、强制性标准以及经注册或者备案的产品技术要求</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（二）建立健全与所生产产品相适应的质量管理体系并保持其有效运行</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（三）确保产品符合放行要求，组织开展上市后产品质量信息收集工作</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（四）组织开展质量管理体系自查、不良事件监测以及召回等工作，定期向企业法定代表人、主要负责人报告质量管理体系的运行情况和改进需求</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（五）配合药品监督管理部门开展监督检查，针对发现的问题，组织企业相关部门按照要求及时整改。</w:t>
            </w:r>
          </w:p>
        </w:tc>
        <w:tc>
          <w:tcPr>
            <w:tcW w:w="776" w:type="dxa"/>
            <w:noWrap w:val="0"/>
            <w:vAlign w:val="center"/>
          </w:tcPr>
          <w:p w14:paraId="11C0CA3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50BC49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《规范》第十九条</w:t>
            </w:r>
          </w:p>
        </w:tc>
      </w:tr>
      <w:tr w14:paraId="5C58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1116" w:type="dxa"/>
            <w:vMerge w:val="continue"/>
            <w:noWrap w:val="0"/>
            <w:vAlign w:val="center"/>
          </w:tcPr>
          <w:p w14:paraId="31D4B5F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876F22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27</w:t>
            </w:r>
          </w:p>
        </w:tc>
        <w:tc>
          <w:tcPr>
            <w:tcW w:w="907" w:type="dxa"/>
            <w:noWrap w:val="0"/>
            <w:vAlign w:val="center"/>
          </w:tcPr>
          <w:p w14:paraId="27D2EAA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3.7.1</w:t>
            </w:r>
          </w:p>
        </w:tc>
        <w:tc>
          <w:tcPr>
            <w:tcW w:w="4046" w:type="dxa"/>
            <w:noWrap w:val="0"/>
            <w:vAlign w:val="center"/>
          </w:tcPr>
          <w:p w14:paraId="78861AE1">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第二类、第三类医疗器械企业质量管理部门负责人应当具有医疗器械相关专业大学本科及以上学历或者中级及以上专业技术职称</w:t>
            </w:r>
            <w:r>
              <w:rPr>
                <w:rFonts w:ascii="Times New Roman" w:hAnsi="Times New Roman" w:eastAsia="仿宋_GB2312" w:cs="Times New Roman"/>
                <w:kern w:val="0"/>
                <w:szCs w:val="21"/>
                <w:lang w:val="en" w:bidi="ar"/>
              </w:rPr>
              <w:t>，</w:t>
            </w:r>
            <w:r>
              <w:rPr>
                <w:rFonts w:ascii="Times New Roman" w:hAnsi="Times New Roman" w:eastAsia="仿宋_GB2312" w:cs="Times New Roman"/>
                <w:kern w:val="0"/>
                <w:szCs w:val="21"/>
                <w:lang w:bidi="ar"/>
              </w:rPr>
              <w:t>第一类医疗器械企业质量管理部门负责人应当具有医疗器械相关专业大学专科及以上学历。质量管理部门负责人应当具备三年及以上医疗器械生产或者质量管理经验。</w:t>
            </w:r>
          </w:p>
        </w:tc>
        <w:tc>
          <w:tcPr>
            <w:tcW w:w="776" w:type="dxa"/>
            <w:noWrap w:val="0"/>
            <w:vAlign w:val="center"/>
          </w:tcPr>
          <w:p w14:paraId="3622815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BB3610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《规范》第二十条</w:t>
            </w:r>
          </w:p>
        </w:tc>
      </w:tr>
      <w:tr w14:paraId="1AD5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4" w:hRule="atLeast"/>
        </w:trPr>
        <w:tc>
          <w:tcPr>
            <w:tcW w:w="1116" w:type="dxa"/>
            <w:vMerge w:val="continue"/>
            <w:noWrap w:val="0"/>
            <w:vAlign w:val="center"/>
          </w:tcPr>
          <w:p w14:paraId="6FEFD5F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CBC074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28</w:t>
            </w:r>
          </w:p>
        </w:tc>
        <w:tc>
          <w:tcPr>
            <w:tcW w:w="907" w:type="dxa"/>
            <w:noWrap w:val="0"/>
            <w:vAlign w:val="center"/>
          </w:tcPr>
          <w:p w14:paraId="620E5A3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3.7.2</w:t>
            </w:r>
          </w:p>
        </w:tc>
        <w:tc>
          <w:tcPr>
            <w:tcW w:w="4046" w:type="dxa"/>
            <w:noWrap w:val="0"/>
            <w:vAlign w:val="center"/>
          </w:tcPr>
          <w:p w14:paraId="46AD6769">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质量管理部门负责人应当履行下列职责：</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（一）确保原材料和产品的生产、检验均符合相关法律、法规、规章、强制性标准以及经注册或者备案的产品技术要求</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（二）组织产品放行审核</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（三）确保生产过程中所有重大偏差和不合格情况得到调查并及时、有效处理</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（四）组织上市后产品质量管理活动，确保所有与产品质量有关的退货、投诉、不良事件得到调查并及时、有效处理</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（五）确保完成产品质量年度回顾分析</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（六）确保本部门人员经过相关培训，掌握相关法规、理论知识和实际操作技能</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（七）负责与产品质量有关的其他活动。</w:t>
            </w:r>
          </w:p>
        </w:tc>
        <w:tc>
          <w:tcPr>
            <w:tcW w:w="776" w:type="dxa"/>
            <w:noWrap w:val="0"/>
            <w:vAlign w:val="center"/>
          </w:tcPr>
          <w:p w14:paraId="4A7F952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4587DF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《规范》第二十条</w:t>
            </w:r>
          </w:p>
        </w:tc>
      </w:tr>
      <w:tr w14:paraId="51DC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783B7D2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DFF79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29</w:t>
            </w:r>
          </w:p>
        </w:tc>
        <w:tc>
          <w:tcPr>
            <w:tcW w:w="907" w:type="dxa"/>
            <w:noWrap w:val="0"/>
            <w:vAlign w:val="center"/>
          </w:tcPr>
          <w:p w14:paraId="5BE2C9E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3.8.1</w:t>
            </w:r>
          </w:p>
        </w:tc>
        <w:tc>
          <w:tcPr>
            <w:tcW w:w="4046" w:type="dxa"/>
            <w:noWrap w:val="0"/>
            <w:vAlign w:val="center"/>
          </w:tcPr>
          <w:p w14:paraId="1336BF2E">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生产管理部门负责人应当具有医疗器械相关专业大学专科及以上学历，具备三年及以上医疗器械生产或者质量管理经验。</w:t>
            </w:r>
          </w:p>
        </w:tc>
        <w:tc>
          <w:tcPr>
            <w:tcW w:w="776" w:type="dxa"/>
            <w:noWrap w:val="0"/>
            <w:vAlign w:val="center"/>
          </w:tcPr>
          <w:p w14:paraId="6AD67B4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63D590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《规范》第二十一条</w:t>
            </w:r>
          </w:p>
        </w:tc>
      </w:tr>
      <w:tr w14:paraId="0420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116" w:type="dxa"/>
            <w:vMerge w:val="continue"/>
            <w:noWrap w:val="0"/>
            <w:vAlign w:val="center"/>
          </w:tcPr>
          <w:p w14:paraId="6D803B5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12C24E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30</w:t>
            </w:r>
          </w:p>
        </w:tc>
        <w:tc>
          <w:tcPr>
            <w:tcW w:w="907" w:type="dxa"/>
            <w:noWrap w:val="0"/>
            <w:vAlign w:val="center"/>
          </w:tcPr>
          <w:p w14:paraId="14BBC5E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3.8.2</w:t>
            </w:r>
          </w:p>
        </w:tc>
        <w:tc>
          <w:tcPr>
            <w:tcW w:w="4046" w:type="dxa"/>
            <w:noWrap w:val="0"/>
            <w:vAlign w:val="center"/>
          </w:tcPr>
          <w:p w14:paraId="6C07C6B8">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生产管理部门负责人应当履行下列职责：</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（一）确保按照生产工艺规程、作业指导书等组织生产</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（二）确保生产记录真实、准确、完整、及时和可追溯</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（三）组织实施厂房设施、设备的维护保养，确保其保持良好的运行状态</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（四）确保本部门的员工经过培训，具备与其岗位要求相适应的知识和实际操作技能</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（五）负责与产品生产有关的其他活动。</w:t>
            </w:r>
          </w:p>
        </w:tc>
        <w:tc>
          <w:tcPr>
            <w:tcW w:w="776" w:type="dxa"/>
            <w:noWrap w:val="0"/>
            <w:vAlign w:val="center"/>
          </w:tcPr>
          <w:p w14:paraId="133FA0C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F1FD0E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《规范》第二十一条</w:t>
            </w:r>
          </w:p>
        </w:tc>
      </w:tr>
      <w:tr w14:paraId="6A0F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1116" w:type="dxa"/>
            <w:vMerge w:val="continue"/>
            <w:noWrap w:val="0"/>
            <w:vAlign w:val="center"/>
          </w:tcPr>
          <w:p w14:paraId="0DB85C4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BF2949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31</w:t>
            </w:r>
          </w:p>
        </w:tc>
        <w:tc>
          <w:tcPr>
            <w:tcW w:w="907" w:type="dxa"/>
            <w:noWrap w:val="0"/>
            <w:vAlign w:val="center"/>
          </w:tcPr>
          <w:p w14:paraId="0FA33F4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3.9.1</w:t>
            </w:r>
          </w:p>
        </w:tc>
        <w:tc>
          <w:tcPr>
            <w:tcW w:w="4046" w:type="dxa"/>
            <w:noWrap w:val="0"/>
            <w:vAlign w:val="center"/>
          </w:tcPr>
          <w:p w14:paraId="3FAA7959">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放行审核人应当是质量管理部门人员或者其他更高层级质量管理人员，应当经过与产品放行有关的培训，具备产品放行审核能力，能独立承担产品放行审核职责。</w:t>
            </w:r>
          </w:p>
        </w:tc>
        <w:tc>
          <w:tcPr>
            <w:tcW w:w="776" w:type="dxa"/>
            <w:noWrap w:val="0"/>
            <w:vAlign w:val="center"/>
          </w:tcPr>
          <w:p w14:paraId="663E611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46D7A4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《规范》第二十二条</w:t>
            </w:r>
          </w:p>
        </w:tc>
      </w:tr>
      <w:tr w14:paraId="3FD7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1116" w:type="dxa"/>
            <w:vMerge w:val="continue"/>
            <w:noWrap w:val="0"/>
            <w:vAlign w:val="center"/>
          </w:tcPr>
          <w:p w14:paraId="139CBB4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C4F447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32</w:t>
            </w:r>
          </w:p>
        </w:tc>
        <w:tc>
          <w:tcPr>
            <w:tcW w:w="907" w:type="dxa"/>
            <w:noWrap w:val="0"/>
            <w:vAlign w:val="center"/>
          </w:tcPr>
          <w:p w14:paraId="3FB3DB3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3.10.1</w:t>
            </w:r>
          </w:p>
        </w:tc>
        <w:tc>
          <w:tcPr>
            <w:tcW w:w="4046" w:type="dxa"/>
            <w:noWrap w:val="0"/>
            <w:vAlign w:val="center"/>
          </w:tcPr>
          <w:p w14:paraId="5AAD917A">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776" w:type="dxa"/>
            <w:noWrap w:val="0"/>
            <w:vAlign w:val="center"/>
          </w:tcPr>
          <w:p w14:paraId="1C48DC0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44CAA8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《规范》第二十三条</w:t>
            </w:r>
          </w:p>
        </w:tc>
      </w:tr>
      <w:tr w14:paraId="0CF6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0" w:hRule="atLeast"/>
        </w:trPr>
        <w:tc>
          <w:tcPr>
            <w:tcW w:w="1116" w:type="dxa"/>
            <w:vMerge w:val="continue"/>
            <w:noWrap w:val="0"/>
            <w:vAlign w:val="center"/>
          </w:tcPr>
          <w:p w14:paraId="5C5FE23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6416B9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33</w:t>
            </w:r>
          </w:p>
        </w:tc>
        <w:tc>
          <w:tcPr>
            <w:tcW w:w="907" w:type="dxa"/>
            <w:noWrap w:val="0"/>
            <w:vAlign w:val="center"/>
          </w:tcPr>
          <w:p w14:paraId="590BB2C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3.10.2</w:t>
            </w:r>
          </w:p>
        </w:tc>
        <w:tc>
          <w:tcPr>
            <w:tcW w:w="4046" w:type="dxa"/>
            <w:noWrap w:val="0"/>
            <w:vAlign w:val="center"/>
          </w:tcPr>
          <w:p w14:paraId="52013AD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企业应当指定部门或者专人负责培训管理工作，建立培训制度，制定培训计划，保留培训记录，并对培训实际效果进行评估。</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（一）在洁净室（区）工作的人员应当定期进行卫生和微生物学基础知识、洁净作业等方面培训。临时进入洁净室（区）的人员，应当对其进行指导和监督</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（二）从事体外诊断试剂生产的全体人员，包括清洁、维修等人员均应当根据其产品和所从事的生产操作进行专业和安全防护培训。</w:t>
            </w:r>
          </w:p>
        </w:tc>
        <w:tc>
          <w:tcPr>
            <w:tcW w:w="776" w:type="dxa"/>
            <w:noWrap w:val="0"/>
            <w:vAlign w:val="center"/>
          </w:tcPr>
          <w:p w14:paraId="3002F300">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00101662">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《规范》第二十三条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2.1.2、2.1.3</w:t>
            </w:r>
          </w:p>
        </w:tc>
      </w:tr>
      <w:tr w14:paraId="36FF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trPr>
        <w:tc>
          <w:tcPr>
            <w:tcW w:w="1116" w:type="dxa"/>
            <w:vMerge w:val="continue"/>
            <w:noWrap w:val="0"/>
            <w:vAlign w:val="center"/>
          </w:tcPr>
          <w:p w14:paraId="71B7918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027581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34</w:t>
            </w:r>
          </w:p>
        </w:tc>
        <w:tc>
          <w:tcPr>
            <w:tcW w:w="907" w:type="dxa"/>
            <w:noWrap w:val="0"/>
            <w:vAlign w:val="center"/>
          </w:tcPr>
          <w:p w14:paraId="4A4A46C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3.11.1</w:t>
            </w:r>
          </w:p>
        </w:tc>
        <w:tc>
          <w:tcPr>
            <w:tcW w:w="4046" w:type="dxa"/>
            <w:noWrap w:val="0"/>
            <w:vAlign w:val="center"/>
          </w:tcPr>
          <w:p w14:paraId="69B47971">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对从事影响产品质量工作的人员，企业应当根据生产产品特性对其健康进行管理，制定人员健康要求，并建立健康档案。直接接触原材料和产品的操作人员每年至少体检一次。患有传染性和感染性疾病的人员不得从事直接接触产品的工作。</w:t>
            </w:r>
          </w:p>
        </w:tc>
        <w:tc>
          <w:tcPr>
            <w:tcW w:w="776" w:type="dxa"/>
            <w:noWrap w:val="0"/>
            <w:vAlign w:val="center"/>
          </w:tcPr>
          <w:p w14:paraId="117B0341">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639D501B">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《规范》第二十四条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2.1.5</w:t>
            </w:r>
          </w:p>
        </w:tc>
      </w:tr>
      <w:tr w14:paraId="49C7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7" w:hRule="atLeast"/>
        </w:trPr>
        <w:tc>
          <w:tcPr>
            <w:tcW w:w="1116" w:type="dxa"/>
            <w:vMerge w:val="restart"/>
            <w:noWrap w:val="0"/>
            <w:vAlign w:val="center"/>
          </w:tcPr>
          <w:p w14:paraId="5AFA614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第四章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厂房与设施</w:t>
            </w:r>
          </w:p>
        </w:tc>
        <w:tc>
          <w:tcPr>
            <w:tcW w:w="708" w:type="dxa"/>
            <w:noWrap w:val="0"/>
            <w:vAlign w:val="center"/>
          </w:tcPr>
          <w:p w14:paraId="0319246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35</w:t>
            </w:r>
          </w:p>
        </w:tc>
        <w:tc>
          <w:tcPr>
            <w:tcW w:w="907" w:type="dxa"/>
            <w:noWrap w:val="0"/>
            <w:vAlign w:val="center"/>
          </w:tcPr>
          <w:p w14:paraId="65ADAE1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4.1.1</w:t>
            </w:r>
          </w:p>
        </w:tc>
        <w:tc>
          <w:tcPr>
            <w:tcW w:w="4046" w:type="dxa"/>
            <w:noWrap w:val="0"/>
            <w:vAlign w:val="center"/>
          </w:tcPr>
          <w:p w14:paraId="1B3DB522">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厂房的选址、设计、布局、建造、改造和维护应当符合体外诊断试剂生产要求，能够最大限度地避免污染、交叉污染、混淆和差错，便于清洁、操作和维护。</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（一）应当有整洁的生产环境，厂区的地面、路面周围环境及运输等不应对产品的生产造成污染。厂区应当远离有污染的空气和水等污染源的区域</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（二）行政区、生活区和辅助区的总体布局合理，不得对生产区有不良影响</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（三）动物室应当在隔离良好的建筑体内，与生产、质检区分开，不得对生产造成污染。</w:t>
            </w:r>
          </w:p>
        </w:tc>
        <w:tc>
          <w:tcPr>
            <w:tcW w:w="776" w:type="dxa"/>
            <w:noWrap w:val="0"/>
            <w:vAlign w:val="center"/>
          </w:tcPr>
          <w:p w14:paraId="73912B61">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5F9CEAF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《规范》第二十五条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2.2.1、2.2.25</w:t>
            </w:r>
          </w:p>
        </w:tc>
      </w:tr>
      <w:tr w14:paraId="6FAE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3" w:hRule="atLeast"/>
        </w:trPr>
        <w:tc>
          <w:tcPr>
            <w:tcW w:w="1116" w:type="dxa"/>
            <w:vMerge w:val="continue"/>
            <w:noWrap w:val="0"/>
            <w:vAlign w:val="center"/>
          </w:tcPr>
          <w:p w14:paraId="58E58B3B">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F6F831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36</w:t>
            </w:r>
          </w:p>
        </w:tc>
        <w:tc>
          <w:tcPr>
            <w:tcW w:w="907" w:type="dxa"/>
            <w:noWrap w:val="0"/>
            <w:vAlign w:val="center"/>
          </w:tcPr>
          <w:p w14:paraId="47368AB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4.2.1</w:t>
            </w:r>
          </w:p>
        </w:tc>
        <w:tc>
          <w:tcPr>
            <w:tcW w:w="4046" w:type="dxa"/>
            <w:noWrap w:val="0"/>
            <w:vAlign w:val="center"/>
          </w:tcPr>
          <w:p w14:paraId="2674C97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企业应当根据所生产产品特性、工艺流程以及相应洁净级别要求合理设计、布局和使用厂房与设施。</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（一）洁净室（区）应当按照体外诊断试剂的生产工艺流程及所要求的空气洁净度级别进行合理布局，人流、物流走向应当合理</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（二）同一洁净室（区）内或相邻洁净室</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t>（区）间的生产操作不得互相交叉污染</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（三）洁净室（区）的内表面（墙面、地面、天棚、操作台等）应当平整光滑、无裂缝、接口严密、无颗粒物脱落，避免积尘，并便于清洁处理和消毒</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（四）洁净室（区）的空气如循环使用应当采取有效措施避免污染和交叉污染。</w:t>
            </w:r>
          </w:p>
        </w:tc>
        <w:tc>
          <w:tcPr>
            <w:tcW w:w="776" w:type="dxa"/>
            <w:noWrap w:val="0"/>
            <w:vAlign w:val="center"/>
          </w:tcPr>
          <w:p w14:paraId="0DB63921">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667CF548">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《规范》第二十六条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2.2.9、2.2.13、2.2.14</w:t>
            </w:r>
          </w:p>
        </w:tc>
      </w:tr>
      <w:tr w14:paraId="2414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3" w:hRule="atLeast"/>
        </w:trPr>
        <w:tc>
          <w:tcPr>
            <w:tcW w:w="1116" w:type="dxa"/>
            <w:vMerge w:val="continue"/>
            <w:noWrap w:val="0"/>
            <w:vAlign w:val="center"/>
          </w:tcPr>
          <w:p w14:paraId="74909A2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D1FAAF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37</w:t>
            </w:r>
          </w:p>
        </w:tc>
        <w:tc>
          <w:tcPr>
            <w:tcW w:w="907" w:type="dxa"/>
            <w:noWrap w:val="0"/>
            <w:vAlign w:val="center"/>
          </w:tcPr>
          <w:p w14:paraId="5FF4969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4.2.2</w:t>
            </w:r>
          </w:p>
        </w:tc>
        <w:tc>
          <w:tcPr>
            <w:tcW w:w="4046" w:type="dxa"/>
            <w:noWrap w:val="0"/>
            <w:vAlign w:val="center"/>
          </w:tcPr>
          <w:p w14:paraId="546CC080">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有整洁的生产环境，有适当的照明、温度、湿度和通风控制条件，符合产品质量以及相关技术标准的要求。洁净室（区）的温度和相对湿度应当与产品生产工艺要求相适应。无特殊要求时，温度应当控制在18～28℃，相对湿度控制在45%～65%。</w:t>
            </w:r>
          </w:p>
        </w:tc>
        <w:tc>
          <w:tcPr>
            <w:tcW w:w="776" w:type="dxa"/>
            <w:noWrap w:val="0"/>
            <w:vAlign w:val="center"/>
          </w:tcPr>
          <w:p w14:paraId="4E5823E7">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08E3534B">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《规范》第二十六条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2.2.11</w:t>
            </w:r>
          </w:p>
        </w:tc>
      </w:tr>
      <w:tr w14:paraId="4A69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7" w:hRule="atLeast"/>
        </w:trPr>
        <w:tc>
          <w:tcPr>
            <w:tcW w:w="1116" w:type="dxa"/>
            <w:vMerge w:val="continue"/>
            <w:noWrap w:val="0"/>
            <w:vAlign w:val="center"/>
          </w:tcPr>
          <w:p w14:paraId="5B66657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4F02E8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38</w:t>
            </w:r>
          </w:p>
        </w:tc>
        <w:tc>
          <w:tcPr>
            <w:tcW w:w="907" w:type="dxa"/>
            <w:noWrap w:val="0"/>
            <w:vAlign w:val="center"/>
          </w:tcPr>
          <w:p w14:paraId="521ABF4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4.3.1</w:t>
            </w:r>
          </w:p>
        </w:tc>
        <w:tc>
          <w:tcPr>
            <w:tcW w:w="4046" w:type="dxa"/>
            <w:noWrap w:val="0"/>
            <w:vAlign w:val="center"/>
          </w:tcPr>
          <w:p w14:paraId="03111608">
            <w:pPr>
              <w:widowControl/>
              <w:spacing w:line="300" w:lineRule="exact"/>
              <w:textAlignment w:val="center"/>
              <w:rPr>
                <w:rFonts w:hint="eastAsia" w:ascii="Times New Roman" w:hAnsi="Times New Roman" w:eastAsia="仿宋_GB2312" w:cs="Times New Roman"/>
                <w:kern w:val="0"/>
                <w:szCs w:val="21"/>
                <w:lang w:eastAsia="zh-CN" w:bidi="ar"/>
              </w:rPr>
            </w:pPr>
            <w:r>
              <w:rPr>
                <w:rFonts w:ascii="Times New Roman" w:hAnsi="Times New Roman" w:eastAsia="仿宋_GB2312" w:cs="Times New Roman"/>
                <w:kern w:val="0"/>
                <w:szCs w:val="21"/>
                <w:lang w:bidi="ar"/>
              </w:rPr>
              <w:t>厂房与设施的设计和安装应当能够有效防尘、防止昆虫或者其他动物进入，并根据产品特性采取必要的防护措施。</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（一）洁净室（区）的门、窗及安全门应当密闭，洁净室（区）的门应当向洁净度高的方向开启</w:t>
            </w:r>
            <w:r>
              <w:rPr>
                <w:rFonts w:hint="eastAsia" w:ascii="Times New Roman" w:hAnsi="Times New Roman" w:eastAsia="仿宋_GB2312" w:cs="Times New Roman"/>
                <w:kern w:val="0"/>
                <w:szCs w:val="21"/>
                <w:lang w:eastAsia="zh-CN" w:bidi="ar"/>
              </w:rPr>
              <w:t>；</w:t>
            </w:r>
          </w:p>
          <w:p w14:paraId="3166B0F7">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（二）进入洁净室（区）的管道、进回风口布局应当合理，水、电、气输送线路与墙体接口处应当可靠密封，照明灯具不得悬吊</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（三）洁净室（区）和非洁净室（区）之间应有缓冲设施</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（四）洁净室（区）内的水池、地漏应安装防止倒灌的装置，避免对环境和物料造成污染。</w:t>
            </w:r>
          </w:p>
        </w:tc>
        <w:tc>
          <w:tcPr>
            <w:tcW w:w="776" w:type="dxa"/>
            <w:noWrap w:val="0"/>
            <w:vAlign w:val="center"/>
          </w:tcPr>
          <w:p w14:paraId="0E70097A">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2FD70E80">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《规范》第二十七条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2.2.2、2.2.10、2.2.12、2.2.15</w:t>
            </w:r>
          </w:p>
        </w:tc>
      </w:tr>
      <w:tr w14:paraId="56D2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6808CA3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57D6F7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39</w:t>
            </w:r>
          </w:p>
        </w:tc>
        <w:tc>
          <w:tcPr>
            <w:tcW w:w="907" w:type="dxa"/>
            <w:noWrap w:val="0"/>
            <w:vAlign w:val="center"/>
          </w:tcPr>
          <w:p w14:paraId="36515C5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4.3.2</w:t>
            </w:r>
          </w:p>
        </w:tc>
        <w:tc>
          <w:tcPr>
            <w:tcW w:w="4046" w:type="dxa"/>
            <w:noWrap w:val="0"/>
            <w:vAlign w:val="center"/>
          </w:tcPr>
          <w:p w14:paraId="4B58F4C8">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厂房与设施的维护和维修活动不得影响产品质量。</w:t>
            </w:r>
          </w:p>
        </w:tc>
        <w:tc>
          <w:tcPr>
            <w:tcW w:w="776" w:type="dxa"/>
            <w:noWrap w:val="0"/>
            <w:vAlign w:val="center"/>
          </w:tcPr>
          <w:p w14:paraId="061ADBA4">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4F74D07C">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《规范》第二十七条</w:t>
            </w:r>
          </w:p>
        </w:tc>
      </w:tr>
      <w:tr w14:paraId="3135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116" w:type="dxa"/>
            <w:vMerge w:val="continue"/>
            <w:noWrap w:val="0"/>
            <w:vAlign w:val="center"/>
          </w:tcPr>
          <w:p w14:paraId="62C1D2B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C083A4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40</w:t>
            </w:r>
          </w:p>
        </w:tc>
        <w:tc>
          <w:tcPr>
            <w:tcW w:w="907" w:type="dxa"/>
            <w:noWrap w:val="0"/>
            <w:vAlign w:val="center"/>
          </w:tcPr>
          <w:p w14:paraId="2CEA14C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4.4.1</w:t>
            </w:r>
          </w:p>
        </w:tc>
        <w:tc>
          <w:tcPr>
            <w:tcW w:w="4046" w:type="dxa"/>
            <w:noWrap w:val="0"/>
            <w:vAlign w:val="center"/>
          </w:tcPr>
          <w:p w14:paraId="57C54C99">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生产区应当有足够的空间，与所生产产品和规模相适应，洁净室（区）内的人数应当与洁净室（区）面积相适应。</w:t>
            </w:r>
          </w:p>
        </w:tc>
        <w:tc>
          <w:tcPr>
            <w:tcW w:w="776" w:type="dxa"/>
            <w:noWrap w:val="0"/>
            <w:vAlign w:val="center"/>
          </w:tcPr>
          <w:p w14:paraId="65EAA7E9">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7182F4A1">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《规范》第二十八条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2.2.22</w:t>
            </w:r>
          </w:p>
        </w:tc>
      </w:tr>
      <w:tr w14:paraId="77E7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423FFD8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E818EC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41</w:t>
            </w:r>
          </w:p>
        </w:tc>
        <w:tc>
          <w:tcPr>
            <w:tcW w:w="907" w:type="dxa"/>
            <w:noWrap w:val="0"/>
            <w:vAlign w:val="center"/>
          </w:tcPr>
          <w:p w14:paraId="2F990D6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4.4.2</w:t>
            </w:r>
          </w:p>
        </w:tc>
        <w:tc>
          <w:tcPr>
            <w:tcW w:w="4046" w:type="dxa"/>
            <w:noWrap w:val="0"/>
            <w:vAlign w:val="center"/>
          </w:tcPr>
          <w:p w14:paraId="551359AB">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同一区域内有多条生产线的，企业应当采取有效措施避免混淆和差错。</w:t>
            </w:r>
          </w:p>
        </w:tc>
        <w:tc>
          <w:tcPr>
            <w:tcW w:w="776" w:type="dxa"/>
            <w:noWrap w:val="0"/>
            <w:vAlign w:val="center"/>
          </w:tcPr>
          <w:p w14:paraId="266E16B1">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5C4C2F54">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《规范》第二十八条</w:t>
            </w:r>
          </w:p>
        </w:tc>
      </w:tr>
      <w:tr w14:paraId="0ADD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1116" w:type="dxa"/>
            <w:vMerge w:val="continue"/>
            <w:noWrap w:val="0"/>
            <w:vAlign w:val="center"/>
          </w:tcPr>
          <w:p w14:paraId="43E1E9F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BD85D9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42</w:t>
            </w:r>
          </w:p>
        </w:tc>
        <w:tc>
          <w:tcPr>
            <w:tcW w:w="907" w:type="dxa"/>
            <w:noWrap w:val="0"/>
            <w:vAlign w:val="center"/>
          </w:tcPr>
          <w:p w14:paraId="023370A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4.5.1</w:t>
            </w:r>
          </w:p>
        </w:tc>
        <w:tc>
          <w:tcPr>
            <w:tcW w:w="4046" w:type="dxa"/>
            <w:noWrap w:val="0"/>
            <w:vAlign w:val="center"/>
          </w:tcPr>
          <w:p w14:paraId="423DF5D7">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仓储区应当能够满足原材料、中间产品、成品等贮存条件要求，按照待检、合格、不合格、退货或者召回等情形进行合理存放，避免混淆和差错，便于检查和监控。需要冷藏、冷冻的原材料、</w:t>
            </w:r>
            <w:r>
              <w:rPr>
                <w:rFonts w:hint="eastAsia" w:ascii="Times New Roman" w:hAnsi="Times New Roman" w:eastAsia="仿宋_GB2312" w:cs="Times New Roman"/>
                <w:kern w:val="0"/>
                <w:szCs w:val="21"/>
                <w:lang w:bidi="ar"/>
              </w:rPr>
              <w:t>中间产</w:t>
            </w:r>
            <w:r>
              <w:rPr>
                <w:rFonts w:ascii="Times New Roman" w:hAnsi="Times New Roman" w:eastAsia="仿宋_GB2312" w:cs="Times New Roman"/>
                <w:kern w:val="0"/>
                <w:szCs w:val="21"/>
                <w:lang w:bidi="ar"/>
              </w:rPr>
              <w:t>品、成品，应当配备相应的冷藏、冷冻储存设备，并按规定监测设备运行状况、记录储存温度。</w:t>
            </w:r>
          </w:p>
        </w:tc>
        <w:tc>
          <w:tcPr>
            <w:tcW w:w="776" w:type="dxa"/>
            <w:noWrap w:val="0"/>
            <w:vAlign w:val="center"/>
          </w:tcPr>
          <w:p w14:paraId="72F01D66">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65A9BD5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《规范》第二十九条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2.3.6</w:t>
            </w:r>
          </w:p>
        </w:tc>
      </w:tr>
      <w:tr w14:paraId="54F8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116" w:type="dxa"/>
            <w:vMerge w:val="continue"/>
            <w:noWrap w:val="0"/>
            <w:vAlign w:val="center"/>
          </w:tcPr>
          <w:p w14:paraId="3EB0C37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040D95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43</w:t>
            </w:r>
          </w:p>
        </w:tc>
        <w:tc>
          <w:tcPr>
            <w:tcW w:w="907" w:type="dxa"/>
            <w:noWrap w:val="0"/>
            <w:vAlign w:val="center"/>
          </w:tcPr>
          <w:p w14:paraId="627314E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4.5.2</w:t>
            </w:r>
          </w:p>
        </w:tc>
        <w:tc>
          <w:tcPr>
            <w:tcW w:w="4046" w:type="dxa"/>
            <w:noWrap w:val="0"/>
            <w:vAlign w:val="center"/>
          </w:tcPr>
          <w:p w14:paraId="6F43DB4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有毒、易燃、易爆和其他危险品的验收、贮存、管理等应当执行国家有关规定。具有污染性或传染性、具有生物活性或来源于生物体的原材料的管理应当符合国家相关规定。所涉及的原材料应当列出清单，专区存放、专人保管和发放，并制定相应的防护规程。</w:t>
            </w:r>
          </w:p>
        </w:tc>
        <w:tc>
          <w:tcPr>
            <w:tcW w:w="776" w:type="dxa"/>
            <w:noWrap w:val="0"/>
            <w:vAlign w:val="center"/>
          </w:tcPr>
          <w:p w14:paraId="47F7F8A4">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2BA7571B">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《规范》第二十九条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2.2.24</w:t>
            </w:r>
          </w:p>
        </w:tc>
      </w:tr>
      <w:tr w14:paraId="31C7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71D96B4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4A8117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44</w:t>
            </w:r>
          </w:p>
        </w:tc>
        <w:tc>
          <w:tcPr>
            <w:tcW w:w="907" w:type="dxa"/>
            <w:noWrap w:val="0"/>
            <w:vAlign w:val="center"/>
          </w:tcPr>
          <w:p w14:paraId="7283533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4.6.1</w:t>
            </w:r>
          </w:p>
        </w:tc>
        <w:tc>
          <w:tcPr>
            <w:tcW w:w="4046" w:type="dxa"/>
            <w:noWrap w:val="0"/>
            <w:vAlign w:val="center"/>
          </w:tcPr>
          <w:p w14:paraId="074C9C4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企业应当配备与产品生产规模、品种、检验要求相适应的检验场所和设施。</w:t>
            </w:r>
          </w:p>
        </w:tc>
        <w:tc>
          <w:tcPr>
            <w:tcW w:w="776" w:type="dxa"/>
            <w:noWrap w:val="0"/>
            <w:vAlign w:val="center"/>
          </w:tcPr>
          <w:p w14:paraId="16B1238D">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17FBC539">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《规范》第三十条</w:t>
            </w:r>
          </w:p>
        </w:tc>
      </w:tr>
      <w:tr w14:paraId="5EF3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1116" w:type="dxa"/>
            <w:vMerge w:val="continue"/>
            <w:noWrap w:val="0"/>
            <w:vAlign w:val="center"/>
          </w:tcPr>
          <w:p w14:paraId="02FF91A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568254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45</w:t>
            </w:r>
          </w:p>
        </w:tc>
        <w:tc>
          <w:tcPr>
            <w:tcW w:w="907" w:type="dxa"/>
            <w:noWrap w:val="0"/>
            <w:vAlign w:val="center"/>
          </w:tcPr>
          <w:p w14:paraId="023A03C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4.7.1</w:t>
            </w:r>
          </w:p>
        </w:tc>
        <w:tc>
          <w:tcPr>
            <w:tcW w:w="4046" w:type="dxa"/>
            <w:noWrap w:val="0"/>
            <w:vAlign w:val="center"/>
          </w:tcPr>
          <w:p w14:paraId="7AEF555D">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企业应当根据产品特性、生产工艺以及外部环境等配置相应设施，如空调净化系统、工艺用水系统、工艺用气系统以及防静电设施等。</w:t>
            </w:r>
          </w:p>
        </w:tc>
        <w:tc>
          <w:tcPr>
            <w:tcW w:w="776" w:type="dxa"/>
            <w:noWrap w:val="0"/>
            <w:vAlign w:val="center"/>
          </w:tcPr>
          <w:p w14:paraId="3D655C7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w:t>
            </w:r>
          </w:p>
        </w:tc>
        <w:tc>
          <w:tcPr>
            <w:tcW w:w="1643" w:type="dxa"/>
            <w:noWrap w:val="0"/>
            <w:vAlign w:val="center"/>
          </w:tcPr>
          <w:p w14:paraId="39E64E4B">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《规范》第三十一条</w:t>
            </w:r>
          </w:p>
        </w:tc>
      </w:tr>
      <w:tr w14:paraId="0352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1116" w:type="dxa"/>
            <w:vMerge w:val="continue"/>
            <w:noWrap w:val="0"/>
            <w:vAlign w:val="center"/>
          </w:tcPr>
          <w:p w14:paraId="22A1A8CB">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35599E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46</w:t>
            </w:r>
          </w:p>
        </w:tc>
        <w:tc>
          <w:tcPr>
            <w:tcW w:w="907" w:type="dxa"/>
            <w:noWrap w:val="0"/>
            <w:vAlign w:val="center"/>
          </w:tcPr>
          <w:p w14:paraId="13D469B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4.7.2</w:t>
            </w:r>
          </w:p>
        </w:tc>
        <w:tc>
          <w:tcPr>
            <w:tcW w:w="4046" w:type="dxa"/>
            <w:noWrap w:val="0"/>
            <w:vAlign w:val="center"/>
          </w:tcPr>
          <w:p w14:paraId="1EFBBCD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企业应当对相关设施进行确认并开展日常监测和维护，确保符合预定用途。洁净室（区）的尘粒及微生物最大允许数应当符合相应洁净级别要求。</w:t>
            </w:r>
          </w:p>
        </w:tc>
        <w:tc>
          <w:tcPr>
            <w:tcW w:w="776" w:type="dxa"/>
            <w:noWrap/>
            <w:vAlign w:val="center"/>
          </w:tcPr>
          <w:p w14:paraId="682B271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920F06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《规范》第三十一条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2.2.8</w:t>
            </w:r>
          </w:p>
        </w:tc>
      </w:tr>
      <w:tr w14:paraId="3820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2" w:hRule="atLeast"/>
        </w:trPr>
        <w:tc>
          <w:tcPr>
            <w:tcW w:w="1116" w:type="dxa"/>
            <w:vMerge w:val="continue"/>
            <w:noWrap w:val="0"/>
            <w:vAlign w:val="center"/>
          </w:tcPr>
          <w:p w14:paraId="6B9ECDF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8A5470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47</w:t>
            </w:r>
          </w:p>
        </w:tc>
        <w:tc>
          <w:tcPr>
            <w:tcW w:w="907" w:type="dxa"/>
            <w:noWrap w:val="0"/>
            <w:vAlign w:val="center"/>
          </w:tcPr>
          <w:p w14:paraId="516B414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4.7.3</w:t>
            </w:r>
          </w:p>
        </w:tc>
        <w:tc>
          <w:tcPr>
            <w:tcW w:w="4046" w:type="dxa"/>
            <w:noWrap w:val="0"/>
            <w:vAlign w:val="center"/>
          </w:tcPr>
          <w:p w14:paraId="0EF67B31">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企业应当根据体外诊断试剂的生产过程控制，确定在相应级别的洁净室（区）内进行生产的过程，避免生产中的污染。</w:t>
            </w:r>
          </w:p>
          <w:p w14:paraId="64006319">
            <w:pPr>
              <w:widowControl/>
              <w:spacing w:line="300" w:lineRule="exact"/>
              <w:textAlignment w:val="center"/>
              <w:rPr>
                <w:rFonts w:hint="eastAsia" w:ascii="Times New Roman" w:hAnsi="Times New Roman" w:eastAsia="仿宋_GB2312" w:cs="Times New Roman"/>
                <w:kern w:val="0"/>
                <w:szCs w:val="21"/>
                <w:lang w:eastAsia="zh-CN" w:bidi="ar"/>
              </w:rPr>
            </w:pPr>
            <w:r>
              <w:rPr>
                <w:rFonts w:ascii="Times New Roman" w:hAnsi="Times New Roman" w:eastAsia="仿宋_GB2312" w:cs="Times New Roman"/>
                <w:kern w:val="0"/>
                <w:szCs w:val="21"/>
                <w:lang w:bidi="ar"/>
              </w:rPr>
              <w:t>（一）酶联免疫吸附试验试剂、免疫荧光试剂、免疫发光试剂、聚合酶链反应（PCR）试剂、金标试剂、干化学法试剂、细胞培养基、校准品与质控品、酶类、抗原、抗体和其他活性类组分的配制及分装等产品的配液、包被、分装、点膜、干燥、切割、贴膜以及内包装等，生产区域应当不低于100,000级洁净度级别</w:t>
            </w:r>
            <w:r>
              <w:rPr>
                <w:rFonts w:hint="eastAsia" w:ascii="Times New Roman" w:hAnsi="Times New Roman" w:eastAsia="仿宋_GB2312" w:cs="Times New Roman"/>
                <w:kern w:val="0"/>
                <w:szCs w:val="21"/>
                <w:lang w:eastAsia="zh-CN" w:bidi="ar"/>
              </w:rPr>
              <w:t>；</w:t>
            </w:r>
          </w:p>
          <w:p w14:paraId="2C8D44A7">
            <w:pPr>
              <w:widowControl/>
              <w:spacing w:line="300" w:lineRule="exact"/>
              <w:textAlignment w:val="center"/>
              <w:rPr>
                <w:rFonts w:hint="eastAsia" w:ascii="Times New Roman" w:hAnsi="Times New Roman" w:eastAsia="仿宋_GB2312" w:cs="Times New Roman"/>
                <w:kern w:val="0"/>
                <w:szCs w:val="21"/>
                <w:lang w:eastAsia="zh-CN" w:bidi="ar"/>
              </w:rPr>
            </w:pPr>
            <w:r>
              <w:rPr>
                <w:rFonts w:ascii="Times New Roman" w:hAnsi="Times New Roman" w:eastAsia="仿宋_GB2312" w:cs="Times New Roman"/>
                <w:kern w:val="0"/>
                <w:szCs w:val="21"/>
                <w:lang w:bidi="ar"/>
              </w:rPr>
              <w:t>（二）阴性或阳性血清、质粒或血液制品等的处理操作，生产区域应当不低于10,000级洁净度级别，并应当与相邻区域保持相对负压</w:t>
            </w:r>
            <w:r>
              <w:rPr>
                <w:rFonts w:hint="eastAsia" w:ascii="Times New Roman" w:hAnsi="Times New Roman" w:eastAsia="仿宋_GB2312" w:cs="Times New Roman"/>
                <w:kern w:val="0"/>
                <w:szCs w:val="21"/>
                <w:lang w:eastAsia="zh-CN" w:bidi="ar"/>
              </w:rPr>
              <w:t>；</w:t>
            </w:r>
          </w:p>
          <w:p w14:paraId="5D023492">
            <w:pPr>
              <w:widowControl/>
              <w:spacing w:line="300" w:lineRule="exact"/>
              <w:textAlignment w:val="center"/>
              <w:rPr>
                <w:rFonts w:hint="eastAsia" w:ascii="Times New Roman" w:hAnsi="Times New Roman" w:eastAsia="仿宋_GB2312" w:cs="Times New Roman"/>
                <w:kern w:val="0"/>
                <w:szCs w:val="21"/>
                <w:lang w:eastAsia="zh-CN" w:bidi="ar"/>
              </w:rPr>
            </w:pPr>
            <w:r>
              <w:rPr>
                <w:rFonts w:ascii="Times New Roman" w:hAnsi="Times New Roman" w:eastAsia="仿宋_GB2312" w:cs="Times New Roman"/>
                <w:kern w:val="0"/>
                <w:szCs w:val="21"/>
                <w:lang w:bidi="ar"/>
              </w:rPr>
              <w:t>（三）无菌原材料等分装处理操作，操作区域应当符合局部100级洁净度级别，100级的洁净室（区）内不得设置地漏</w:t>
            </w:r>
            <w:r>
              <w:rPr>
                <w:rFonts w:hint="eastAsia" w:ascii="Times New Roman" w:hAnsi="Times New Roman" w:eastAsia="仿宋_GB2312" w:cs="Times New Roman"/>
                <w:kern w:val="0"/>
                <w:szCs w:val="21"/>
                <w:lang w:eastAsia="zh-CN" w:bidi="ar"/>
              </w:rPr>
              <w:t>；</w:t>
            </w:r>
          </w:p>
          <w:p w14:paraId="340AD7EB">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（四）普通类化学试剂的生产应当在清洁环境中进行。</w:t>
            </w:r>
          </w:p>
        </w:tc>
        <w:tc>
          <w:tcPr>
            <w:tcW w:w="776" w:type="dxa"/>
            <w:noWrap w:val="0"/>
            <w:vAlign w:val="center"/>
          </w:tcPr>
          <w:p w14:paraId="6608240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A96C93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2.2.4、2.2.5、2.2.6、2.2.7、2.2.15</w:t>
            </w:r>
          </w:p>
        </w:tc>
      </w:tr>
      <w:tr w14:paraId="50291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1116" w:type="dxa"/>
            <w:vMerge w:val="continue"/>
            <w:noWrap w:val="0"/>
            <w:vAlign w:val="center"/>
          </w:tcPr>
          <w:p w14:paraId="73ED127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587D4D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48</w:t>
            </w:r>
          </w:p>
        </w:tc>
        <w:tc>
          <w:tcPr>
            <w:tcW w:w="907" w:type="dxa"/>
            <w:noWrap w:val="0"/>
            <w:vAlign w:val="center"/>
          </w:tcPr>
          <w:p w14:paraId="50DE7E9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4.7.4</w:t>
            </w:r>
          </w:p>
        </w:tc>
        <w:tc>
          <w:tcPr>
            <w:tcW w:w="4046" w:type="dxa"/>
            <w:noWrap w:val="0"/>
            <w:vAlign w:val="center"/>
          </w:tcPr>
          <w:p w14:paraId="4C0F8D7D">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洁净室（区）空气净化系统应当经过确认并保持连续运行，维持相应的洁净度级别，并在一定周期后进行再确认。若停机后再次开启空气净化系统，应当进行必要的测试或验证，以确认仍能达到规定的洁净度级别要求。</w:t>
            </w:r>
          </w:p>
        </w:tc>
        <w:tc>
          <w:tcPr>
            <w:tcW w:w="776" w:type="dxa"/>
            <w:noWrap w:val="0"/>
            <w:vAlign w:val="center"/>
          </w:tcPr>
          <w:p w14:paraId="1732E7E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75C83F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2.3.1</w:t>
            </w:r>
          </w:p>
        </w:tc>
      </w:tr>
      <w:tr w14:paraId="00D3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1116" w:type="dxa"/>
            <w:vMerge w:val="continue"/>
            <w:noWrap w:val="0"/>
            <w:vAlign w:val="center"/>
          </w:tcPr>
          <w:p w14:paraId="14EEA9C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F23BF1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49</w:t>
            </w:r>
          </w:p>
        </w:tc>
        <w:tc>
          <w:tcPr>
            <w:tcW w:w="907" w:type="dxa"/>
            <w:noWrap w:val="0"/>
            <w:vAlign w:val="center"/>
          </w:tcPr>
          <w:p w14:paraId="0181DCF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4.7.5</w:t>
            </w:r>
          </w:p>
        </w:tc>
        <w:tc>
          <w:tcPr>
            <w:tcW w:w="4046" w:type="dxa"/>
            <w:noWrap w:val="0"/>
            <w:vAlign w:val="center"/>
          </w:tcPr>
          <w:p w14:paraId="6909CFDD">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企业应当确定所需要的工艺用水，当生产过程中使用工艺用水时，应当配备相应的制水设备，并有防止污染的措施，用量较大时应当通过管道输送至洁净室（区）的用水点。工艺用水应当满足产品质量的要求。</w:t>
            </w:r>
          </w:p>
          <w:p w14:paraId="4D5AD9D7">
            <w:pPr>
              <w:widowControl/>
              <w:spacing w:line="300" w:lineRule="exact"/>
              <w:textAlignment w:val="center"/>
              <w:rPr>
                <w:rFonts w:ascii="Times New Roman" w:hAnsi="Times New Roman" w:eastAsia="仿宋_GB2312" w:cs="Times New Roman"/>
                <w:kern w:val="0"/>
                <w:szCs w:val="21"/>
                <w:lang w:bidi="ar"/>
              </w:rPr>
            </w:pPr>
            <w:r>
              <w:rPr>
                <w:rFonts w:hint="eastAsia" w:ascii="Times New Roman" w:hAnsi="Times New Roman" w:eastAsia="仿宋_GB2312" w:cs="Times New Roman"/>
                <w:b/>
                <w:bCs/>
                <w:color w:val="auto"/>
                <w:kern w:val="0"/>
                <w:szCs w:val="21"/>
                <w:lang w:eastAsia="zh-CN" w:bidi="ar"/>
              </w:rPr>
              <w:t>注：</w:t>
            </w:r>
            <w:r>
              <w:rPr>
                <w:rFonts w:ascii="Times New Roman" w:hAnsi="Times New Roman" w:eastAsia="仿宋_GB2312" w:cs="Times New Roman"/>
                <w:b/>
                <w:bCs/>
                <w:color w:val="auto"/>
                <w:kern w:val="0"/>
                <w:szCs w:val="21"/>
                <w:lang w:bidi="ar"/>
              </w:rPr>
              <w:t>工艺用水种类应当符合《中国药典》或GB/T 6682或YY/T 1244等标准要求。</w:t>
            </w:r>
          </w:p>
        </w:tc>
        <w:tc>
          <w:tcPr>
            <w:tcW w:w="776" w:type="dxa"/>
            <w:noWrap w:val="0"/>
            <w:vAlign w:val="center"/>
          </w:tcPr>
          <w:p w14:paraId="349516A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A0C32C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2.3.2</w:t>
            </w:r>
          </w:p>
        </w:tc>
      </w:tr>
      <w:tr w14:paraId="32C1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116" w:type="dxa"/>
            <w:vMerge w:val="continue"/>
            <w:noWrap w:val="0"/>
            <w:vAlign w:val="center"/>
          </w:tcPr>
          <w:p w14:paraId="5378663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2EFA00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50</w:t>
            </w:r>
          </w:p>
        </w:tc>
        <w:tc>
          <w:tcPr>
            <w:tcW w:w="907" w:type="dxa"/>
            <w:noWrap w:val="0"/>
            <w:vAlign w:val="center"/>
          </w:tcPr>
          <w:p w14:paraId="699B971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4.7.6</w:t>
            </w:r>
          </w:p>
        </w:tc>
        <w:tc>
          <w:tcPr>
            <w:tcW w:w="4046" w:type="dxa"/>
            <w:noWrap w:val="0"/>
            <w:vAlign w:val="center"/>
          </w:tcPr>
          <w:p w14:paraId="0C61B8A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制定工艺用水的管理文件。工艺用水的储罐和输送管道应当满足所生产的产品对于水质的要求，并定期清洗、消毒。配料罐容器与设备连接的主要固定管道应当标明内存的原材料名称、流向，定期清洗和维护，并标明设备运行状态。</w:t>
            </w:r>
          </w:p>
        </w:tc>
        <w:tc>
          <w:tcPr>
            <w:tcW w:w="776" w:type="dxa"/>
            <w:noWrap w:val="0"/>
            <w:vAlign w:val="center"/>
          </w:tcPr>
          <w:p w14:paraId="1EAD34D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6A5D70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2.3.3、2.3.4</w:t>
            </w:r>
          </w:p>
        </w:tc>
      </w:tr>
      <w:tr w14:paraId="034A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116" w:type="dxa"/>
            <w:vMerge w:val="continue"/>
            <w:noWrap w:val="0"/>
            <w:vAlign w:val="center"/>
          </w:tcPr>
          <w:p w14:paraId="4DFC096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8DB97F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51</w:t>
            </w:r>
          </w:p>
        </w:tc>
        <w:tc>
          <w:tcPr>
            <w:tcW w:w="907" w:type="dxa"/>
            <w:noWrap w:val="0"/>
            <w:vAlign w:val="center"/>
          </w:tcPr>
          <w:p w14:paraId="6B29307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4.7.7</w:t>
            </w:r>
          </w:p>
        </w:tc>
        <w:tc>
          <w:tcPr>
            <w:tcW w:w="4046" w:type="dxa"/>
            <w:noWrap w:val="0"/>
            <w:vAlign w:val="center"/>
          </w:tcPr>
          <w:p w14:paraId="4CAFC6A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洁净室（区）内使用的压缩空气等工艺用气均应当经过净化处理。与产品使用表面直接接触的气体，其对产品的影响程度应当进行验证和控制，以适应所生产产品的要求。</w:t>
            </w:r>
          </w:p>
        </w:tc>
        <w:tc>
          <w:tcPr>
            <w:tcW w:w="776" w:type="dxa"/>
            <w:noWrap w:val="0"/>
            <w:vAlign w:val="center"/>
          </w:tcPr>
          <w:p w14:paraId="384C42E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C360F2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2.6.1</w:t>
            </w:r>
          </w:p>
        </w:tc>
      </w:tr>
      <w:tr w14:paraId="6A78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trPr>
        <w:tc>
          <w:tcPr>
            <w:tcW w:w="1116" w:type="dxa"/>
            <w:vMerge w:val="continue"/>
            <w:noWrap w:val="0"/>
            <w:vAlign w:val="center"/>
          </w:tcPr>
          <w:p w14:paraId="7B12FA3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992548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52</w:t>
            </w:r>
          </w:p>
        </w:tc>
        <w:tc>
          <w:tcPr>
            <w:tcW w:w="907" w:type="dxa"/>
            <w:noWrap w:val="0"/>
            <w:vAlign w:val="center"/>
          </w:tcPr>
          <w:p w14:paraId="412130A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4.8.1</w:t>
            </w:r>
          </w:p>
        </w:tc>
        <w:tc>
          <w:tcPr>
            <w:tcW w:w="4046" w:type="dxa"/>
            <w:noWrap w:val="0"/>
            <w:vAlign w:val="center"/>
          </w:tcPr>
          <w:p w14:paraId="78FA2AE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生产环境有洁净级别要求的，洁净区与非洁净区之间静压差应当大于10帕斯卡，不同级别洁净区之间静压差应当大于5帕斯卡，并应有指示压差的装置。必要时，相同洁净度级别不同功能区域（操作间）之间也应当保持适当压差梯度。</w:t>
            </w:r>
          </w:p>
        </w:tc>
        <w:tc>
          <w:tcPr>
            <w:tcW w:w="776" w:type="dxa"/>
            <w:noWrap w:val="0"/>
            <w:vAlign w:val="center"/>
          </w:tcPr>
          <w:p w14:paraId="518C7EB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05045D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《规范》第三十二条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2.2.3</w:t>
            </w:r>
          </w:p>
        </w:tc>
      </w:tr>
      <w:tr w14:paraId="23E76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2C44FD6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A230BE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53</w:t>
            </w:r>
          </w:p>
        </w:tc>
        <w:tc>
          <w:tcPr>
            <w:tcW w:w="907" w:type="dxa"/>
            <w:noWrap w:val="0"/>
            <w:vAlign w:val="center"/>
          </w:tcPr>
          <w:p w14:paraId="3467EA9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4.8.2</w:t>
            </w:r>
          </w:p>
        </w:tc>
        <w:tc>
          <w:tcPr>
            <w:tcW w:w="4046" w:type="dxa"/>
            <w:noWrap w:val="0"/>
            <w:vAlign w:val="center"/>
          </w:tcPr>
          <w:p w14:paraId="1BD1BDFD">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生产过程中产生大量粉尘、烟雾、毒害物等的操作区域应当保持相对负压或采取有效措施，防止粉尘扩散，避免交叉污染，排至室外的废气应当经过净化处理并符合要求。</w:t>
            </w:r>
          </w:p>
          <w:p w14:paraId="5B4F594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（一）进行危险度二级及以上的病原体操作应当配备生物安全柜，空气应当进行过滤处理后方可排出。应当对过滤器的性能进行定期检查以保证其有效性</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（二）使用病原体类检测试剂的阳性血清应当有相应的防护措施。</w:t>
            </w:r>
          </w:p>
        </w:tc>
        <w:tc>
          <w:tcPr>
            <w:tcW w:w="776" w:type="dxa"/>
            <w:noWrap w:val="0"/>
            <w:vAlign w:val="center"/>
          </w:tcPr>
          <w:p w14:paraId="429A1EE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43A265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w:t>
            </w:r>
            <w:r>
              <w:rPr>
                <w:rStyle w:val="6"/>
                <w:rFonts w:hint="default" w:ascii="Times New Roman" w:hAnsi="Times New Roman" w:eastAsia="仿宋_GB2312" w:cs="Times New Roman"/>
                <w:color w:val="auto"/>
                <w:sz w:val="21"/>
                <w:szCs w:val="21"/>
                <w:lang w:bidi="ar"/>
              </w:rPr>
              <w:t>第三十二条</w:t>
            </w:r>
            <w:r>
              <w:rPr>
                <w:rStyle w:val="6"/>
                <w:rFonts w:hint="default" w:ascii="Times New Roman" w:hAnsi="Times New Roman" w:eastAsia="仿宋_GB2312" w:cs="Times New Roman"/>
                <w:color w:val="auto"/>
                <w:sz w:val="21"/>
                <w:szCs w:val="21"/>
                <w:lang w:val="en" w:bidi="ar"/>
              </w:rPr>
              <w:t>，《体外诊断试剂附录》</w:t>
            </w:r>
            <w:r>
              <w:rPr>
                <w:rStyle w:val="6"/>
                <w:rFonts w:hint="default" w:ascii="Times New Roman" w:hAnsi="Times New Roman" w:eastAsia="仿宋_GB2312" w:cs="Times New Roman"/>
                <w:color w:val="auto"/>
                <w:sz w:val="21"/>
                <w:szCs w:val="21"/>
                <w:lang w:bidi="ar"/>
              </w:rPr>
              <w:t>2.2.16、</w:t>
            </w:r>
            <w:r>
              <w:rPr>
                <w:rStyle w:val="7"/>
                <w:rFonts w:hint="default" w:ascii="Times New Roman" w:hAnsi="Times New Roman" w:eastAsia="仿宋_GB2312" w:cs="Times New Roman"/>
                <w:color w:val="auto"/>
                <w:sz w:val="21"/>
                <w:szCs w:val="21"/>
                <w:lang w:bidi="ar"/>
              </w:rPr>
              <w:t>2.2.19</w:t>
            </w:r>
          </w:p>
        </w:tc>
      </w:tr>
      <w:tr w14:paraId="20F1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70D8ADB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CCFCC0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54</w:t>
            </w:r>
          </w:p>
        </w:tc>
        <w:tc>
          <w:tcPr>
            <w:tcW w:w="907" w:type="dxa"/>
            <w:noWrap w:val="0"/>
            <w:vAlign w:val="center"/>
          </w:tcPr>
          <w:p w14:paraId="7C1AFEE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4.9.1</w:t>
            </w:r>
          </w:p>
        </w:tc>
        <w:tc>
          <w:tcPr>
            <w:tcW w:w="4046" w:type="dxa"/>
            <w:noWrap w:val="0"/>
            <w:vAlign w:val="center"/>
          </w:tcPr>
          <w:p w14:paraId="321B30D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生产、检验、贮存等过程中使用信息化系统的，企业应当配备满足预定用途的硬件设施和软件运行环境，并采取适宜措施防止外来因素干扰。</w:t>
            </w:r>
          </w:p>
        </w:tc>
        <w:tc>
          <w:tcPr>
            <w:tcW w:w="776" w:type="dxa"/>
            <w:noWrap w:val="0"/>
            <w:vAlign w:val="center"/>
          </w:tcPr>
          <w:p w14:paraId="7CC217B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288EC3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《规范》第三十三条</w:t>
            </w:r>
          </w:p>
        </w:tc>
      </w:tr>
      <w:tr w14:paraId="1087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29A775F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A465EF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55</w:t>
            </w:r>
          </w:p>
        </w:tc>
        <w:tc>
          <w:tcPr>
            <w:tcW w:w="907" w:type="dxa"/>
            <w:noWrap w:val="0"/>
            <w:vAlign w:val="center"/>
          </w:tcPr>
          <w:p w14:paraId="7DD13E5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4.10.1</w:t>
            </w:r>
          </w:p>
        </w:tc>
        <w:tc>
          <w:tcPr>
            <w:tcW w:w="4046" w:type="dxa"/>
            <w:noWrap w:val="0"/>
            <w:vAlign w:val="center"/>
          </w:tcPr>
          <w:p w14:paraId="477FB7F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生产、检验和贮存区不应作为非本区工作人员的直接通道。企业应当采取适宜措施，防止未经批准人员进入。</w:t>
            </w:r>
          </w:p>
        </w:tc>
        <w:tc>
          <w:tcPr>
            <w:tcW w:w="776" w:type="dxa"/>
            <w:noWrap w:val="0"/>
            <w:vAlign w:val="center"/>
          </w:tcPr>
          <w:p w14:paraId="156FA4E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016412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《规范》第三十四条</w:t>
            </w:r>
          </w:p>
        </w:tc>
      </w:tr>
      <w:tr w14:paraId="1651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37913F8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DFC1C4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56</w:t>
            </w:r>
          </w:p>
        </w:tc>
        <w:tc>
          <w:tcPr>
            <w:tcW w:w="907" w:type="dxa"/>
            <w:noWrap w:val="0"/>
            <w:vAlign w:val="center"/>
          </w:tcPr>
          <w:p w14:paraId="29AA2F9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4.11.1</w:t>
            </w:r>
          </w:p>
        </w:tc>
        <w:tc>
          <w:tcPr>
            <w:tcW w:w="4046" w:type="dxa"/>
            <w:noWrap w:val="0"/>
            <w:vAlign w:val="center"/>
          </w:tcPr>
          <w:p w14:paraId="4E751414">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企业应当保存厂房和设施相关的文档，包括但不限于总平面布局图、生产区域分布图、使用说明、维护保养规定等。</w:t>
            </w:r>
          </w:p>
        </w:tc>
        <w:tc>
          <w:tcPr>
            <w:tcW w:w="776" w:type="dxa"/>
            <w:noWrap w:val="0"/>
            <w:vAlign w:val="center"/>
          </w:tcPr>
          <w:p w14:paraId="2BA7C8C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A9AC96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《规范》第三十五条</w:t>
            </w:r>
          </w:p>
        </w:tc>
      </w:tr>
      <w:tr w14:paraId="233F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4" w:hRule="atLeast"/>
        </w:trPr>
        <w:tc>
          <w:tcPr>
            <w:tcW w:w="1116" w:type="dxa"/>
            <w:vMerge w:val="continue"/>
            <w:noWrap w:val="0"/>
            <w:vAlign w:val="center"/>
          </w:tcPr>
          <w:p w14:paraId="61DE464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C7AD63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57</w:t>
            </w:r>
          </w:p>
        </w:tc>
        <w:tc>
          <w:tcPr>
            <w:tcW w:w="907" w:type="dxa"/>
            <w:noWrap w:val="0"/>
            <w:vAlign w:val="center"/>
          </w:tcPr>
          <w:p w14:paraId="04D77D2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4.12.1</w:t>
            </w:r>
          </w:p>
        </w:tc>
        <w:tc>
          <w:tcPr>
            <w:tcW w:w="4046" w:type="dxa"/>
            <w:noWrap w:val="0"/>
            <w:vAlign w:val="center"/>
          </w:tcPr>
          <w:p w14:paraId="7EB9374F">
            <w:pPr>
              <w:widowControl/>
              <w:spacing w:line="300" w:lineRule="exact"/>
              <w:textAlignment w:val="center"/>
              <w:rPr>
                <w:rFonts w:hint="eastAsia" w:ascii="Times New Roman" w:hAnsi="Times New Roman" w:eastAsia="仿宋_GB2312" w:cs="Times New Roman"/>
                <w:kern w:val="0"/>
                <w:szCs w:val="21"/>
                <w:lang w:eastAsia="zh-CN" w:bidi="ar"/>
              </w:rPr>
            </w:pPr>
            <w:r>
              <w:rPr>
                <w:rFonts w:ascii="Times New Roman" w:hAnsi="Times New Roman" w:eastAsia="仿宋_GB2312" w:cs="Times New Roman"/>
                <w:kern w:val="0"/>
                <w:szCs w:val="21"/>
                <w:lang w:bidi="ar"/>
              </w:rPr>
              <w:t>对具有污染性、传染性和高生物活性的原材料应当在受控条件下进行处理，避免造成传染、污染或泄漏等。</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（一）生产激素类、操作有致病性病原体或芽胞菌制品的，应当使用单独的空气净化系统，与相邻区域保持负压，排出的空气不能循环使用</w:t>
            </w:r>
            <w:r>
              <w:rPr>
                <w:rFonts w:hint="eastAsia" w:ascii="Times New Roman" w:hAnsi="Times New Roman" w:eastAsia="仿宋_GB2312" w:cs="Times New Roman"/>
                <w:kern w:val="0"/>
                <w:szCs w:val="21"/>
                <w:lang w:eastAsia="zh-CN" w:bidi="ar"/>
              </w:rPr>
              <w:t>；</w:t>
            </w:r>
          </w:p>
          <w:p w14:paraId="00D4028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二）对于特殊的高致病性病原体的采集、制备，应当按照有关部门颁布的行业标准如人间传染病微生物名录、微生物和生物医学实验室生物安全通用准则、实验室生物安全通用要求等相关规定，配备相应的生物安全设施</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生产聚合酶链反应（PCR）试剂的，其生产和检验应当在独立的建筑物或空间内，保证空气不直接联通，防止扩增时形成的气溶胶造成交叉污染。生产聚合酶链反应（PCR）试剂的，其生产和质检的器具不得混用，用后应严格清洗和消毒。</w:t>
            </w:r>
          </w:p>
        </w:tc>
        <w:tc>
          <w:tcPr>
            <w:tcW w:w="776" w:type="dxa"/>
            <w:noWrap w:val="0"/>
            <w:vAlign w:val="center"/>
          </w:tcPr>
          <w:p w14:paraId="58B0E3A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004890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2.2.17、2.2.18、2.2.20、2.2.21</w:t>
            </w:r>
          </w:p>
        </w:tc>
      </w:tr>
      <w:tr w14:paraId="1250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34D54D2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E7C090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58</w:t>
            </w:r>
          </w:p>
        </w:tc>
        <w:tc>
          <w:tcPr>
            <w:tcW w:w="907" w:type="dxa"/>
            <w:noWrap w:val="0"/>
            <w:vAlign w:val="center"/>
          </w:tcPr>
          <w:p w14:paraId="4DBF8A0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4.13.1</w:t>
            </w:r>
          </w:p>
        </w:tc>
        <w:tc>
          <w:tcPr>
            <w:tcW w:w="4046" w:type="dxa"/>
            <w:noWrap w:val="0"/>
            <w:vAlign w:val="center"/>
          </w:tcPr>
          <w:p w14:paraId="5BEAC961">
            <w:pPr>
              <w:widowControl/>
              <w:spacing w:line="300" w:lineRule="exact"/>
              <w:textAlignment w:val="center"/>
              <w:rPr>
                <w:rFonts w:hint="eastAsia" w:ascii="Times New Roman" w:hAnsi="Times New Roman" w:eastAsia="仿宋_GB2312" w:cs="Times New Roman"/>
                <w:kern w:val="0"/>
                <w:szCs w:val="21"/>
                <w:lang w:eastAsia="zh-CN" w:bidi="ar"/>
              </w:rPr>
            </w:pPr>
            <w:r>
              <w:rPr>
                <w:rFonts w:ascii="Times New Roman" w:hAnsi="Times New Roman" w:eastAsia="仿宋_GB2312" w:cs="Times New Roman"/>
                <w:kern w:val="0"/>
                <w:szCs w:val="21"/>
                <w:lang w:bidi="ar"/>
              </w:rPr>
              <w:t>对生产环境没有空气净化要求的体外诊断试剂，应当在清洁环境内进行生产。</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（一）清洁条件的基本要求：要有防尘、通风、防止昆虫或其他动物以及异物混入等措施</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（二）人流、物流分开，人员进入生产车间前应当有换鞋、更衣、佩戴口罩和帽子、洗手、手消毒等清洁措施</w:t>
            </w:r>
            <w:r>
              <w:rPr>
                <w:rFonts w:hint="eastAsia" w:ascii="Times New Roman" w:hAnsi="Times New Roman" w:eastAsia="仿宋_GB2312" w:cs="Times New Roman"/>
                <w:kern w:val="0"/>
                <w:szCs w:val="21"/>
                <w:lang w:eastAsia="zh-CN" w:bidi="ar"/>
              </w:rPr>
              <w:t>；</w:t>
            </w:r>
          </w:p>
          <w:p w14:paraId="2FE67D84">
            <w:pPr>
              <w:widowControl/>
              <w:spacing w:line="300" w:lineRule="exact"/>
              <w:textAlignment w:val="center"/>
              <w:rPr>
                <w:rFonts w:hint="eastAsia" w:ascii="Times New Roman" w:hAnsi="Times New Roman" w:eastAsia="仿宋_GB2312" w:cs="Times New Roman"/>
                <w:kern w:val="0"/>
                <w:szCs w:val="21"/>
                <w:lang w:eastAsia="zh-CN" w:bidi="ar"/>
              </w:rPr>
            </w:pPr>
            <w:r>
              <w:rPr>
                <w:rFonts w:ascii="Times New Roman" w:hAnsi="Times New Roman" w:eastAsia="仿宋_GB2312" w:cs="Times New Roman"/>
                <w:kern w:val="0"/>
                <w:szCs w:val="21"/>
                <w:lang w:bidi="ar"/>
              </w:rPr>
              <w:t>（三）生产场地的地面应当便于清洁，墙、顶部应平整、光滑，无颗粒物脱落</w:t>
            </w:r>
            <w:r>
              <w:rPr>
                <w:rFonts w:ascii="Times New Roman" w:hAnsi="Times New Roman" w:eastAsia="仿宋_GB2312" w:cs="Times New Roman"/>
                <w:kern w:val="0"/>
                <w:szCs w:val="21"/>
                <w:lang w:val="en" w:bidi="ar"/>
              </w:rPr>
              <w:t>，</w:t>
            </w:r>
            <w:r>
              <w:rPr>
                <w:rFonts w:ascii="Times New Roman" w:hAnsi="Times New Roman" w:eastAsia="仿宋_GB2312" w:cs="Times New Roman"/>
                <w:kern w:val="0"/>
                <w:szCs w:val="21"/>
                <w:lang w:bidi="ar"/>
              </w:rPr>
              <w:t>操作台应当光滑、平整、无缝隙、耐腐蚀，便于清洗、消毒</w:t>
            </w:r>
            <w:r>
              <w:rPr>
                <w:rFonts w:hint="eastAsia" w:ascii="Times New Roman" w:hAnsi="Times New Roman" w:eastAsia="仿宋_GB2312" w:cs="Times New Roman"/>
                <w:kern w:val="0"/>
                <w:szCs w:val="21"/>
                <w:lang w:eastAsia="zh-CN" w:bidi="ar"/>
              </w:rPr>
              <w:t>；</w:t>
            </w:r>
          </w:p>
          <w:p w14:paraId="34B36D2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（四）应当对生产区域进行定期清洁、清洗和消毒</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（五）应当根据生产要求对生产车间的温湿度进行控制。</w:t>
            </w:r>
          </w:p>
        </w:tc>
        <w:tc>
          <w:tcPr>
            <w:tcW w:w="776" w:type="dxa"/>
            <w:noWrap w:val="0"/>
            <w:vAlign w:val="center"/>
          </w:tcPr>
          <w:p w14:paraId="5B98CAC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B27269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2.2.23</w:t>
            </w:r>
          </w:p>
        </w:tc>
      </w:tr>
      <w:tr w14:paraId="5699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restart"/>
            <w:noWrap w:val="0"/>
            <w:vAlign w:val="center"/>
          </w:tcPr>
          <w:p w14:paraId="36560E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第五章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设备</w:t>
            </w:r>
          </w:p>
        </w:tc>
        <w:tc>
          <w:tcPr>
            <w:tcW w:w="708" w:type="dxa"/>
            <w:noWrap w:val="0"/>
            <w:vAlign w:val="center"/>
          </w:tcPr>
          <w:p w14:paraId="5AB16BE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59</w:t>
            </w:r>
          </w:p>
        </w:tc>
        <w:tc>
          <w:tcPr>
            <w:tcW w:w="907" w:type="dxa"/>
            <w:noWrap w:val="0"/>
            <w:vAlign w:val="center"/>
          </w:tcPr>
          <w:p w14:paraId="6118338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5.1.1</w:t>
            </w:r>
          </w:p>
        </w:tc>
        <w:tc>
          <w:tcPr>
            <w:tcW w:w="4046" w:type="dxa"/>
            <w:noWrap w:val="0"/>
            <w:vAlign w:val="center"/>
          </w:tcPr>
          <w:p w14:paraId="77D14CD2">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企业应当配备与所生产产品和规模相匹配的生产设备、检验仪器和设备、工装夹具等，并确保有效运行。</w:t>
            </w:r>
          </w:p>
        </w:tc>
        <w:tc>
          <w:tcPr>
            <w:tcW w:w="776" w:type="dxa"/>
            <w:noWrap w:val="0"/>
            <w:vAlign w:val="center"/>
          </w:tcPr>
          <w:p w14:paraId="013DA9F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9E9761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《规范》第三十六条</w:t>
            </w:r>
          </w:p>
        </w:tc>
      </w:tr>
      <w:tr w14:paraId="102B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0" w:hRule="atLeast"/>
        </w:trPr>
        <w:tc>
          <w:tcPr>
            <w:tcW w:w="1116" w:type="dxa"/>
            <w:vMerge w:val="continue"/>
            <w:noWrap w:val="0"/>
            <w:vAlign w:val="center"/>
          </w:tcPr>
          <w:p w14:paraId="08C3594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A51A56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60</w:t>
            </w:r>
          </w:p>
        </w:tc>
        <w:tc>
          <w:tcPr>
            <w:tcW w:w="907" w:type="dxa"/>
            <w:noWrap w:val="0"/>
            <w:vAlign w:val="center"/>
          </w:tcPr>
          <w:p w14:paraId="05F356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5.1.2</w:t>
            </w:r>
          </w:p>
        </w:tc>
        <w:tc>
          <w:tcPr>
            <w:tcW w:w="4046" w:type="dxa"/>
            <w:noWrap w:val="0"/>
            <w:vAlign w:val="center"/>
          </w:tcPr>
          <w:p w14:paraId="7A6E15D9">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设备和仪器的设计、选型、安装、维护和维修应当符合预定用途，便于操作、清洁和维护。</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（一）生产设备、容器具等应当符合洁净环境控制和工艺文件的要求</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（二）与原材料或产品直接接触的设备、容器具及管道表面应当光洁、平整、无颗粒物质脱落、无毒、耐腐蚀，不与原材料或产品发生化学反应和粘连，易于清洁处理、消毒或灭菌。</w:t>
            </w:r>
          </w:p>
        </w:tc>
        <w:tc>
          <w:tcPr>
            <w:tcW w:w="776" w:type="dxa"/>
            <w:noWrap w:val="0"/>
            <w:vAlign w:val="center"/>
          </w:tcPr>
          <w:p w14:paraId="4F4B79F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8A291A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《规范》第三十六条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2.3.5、2.6.2</w:t>
            </w:r>
          </w:p>
        </w:tc>
      </w:tr>
      <w:tr w14:paraId="4199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116" w:type="dxa"/>
            <w:vMerge w:val="continue"/>
            <w:noWrap w:val="0"/>
            <w:vAlign w:val="center"/>
          </w:tcPr>
          <w:p w14:paraId="7D9DB8E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E8B853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61</w:t>
            </w:r>
          </w:p>
        </w:tc>
        <w:tc>
          <w:tcPr>
            <w:tcW w:w="907" w:type="dxa"/>
            <w:noWrap w:val="0"/>
            <w:vAlign w:val="center"/>
          </w:tcPr>
          <w:p w14:paraId="033CB1B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5.2.1</w:t>
            </w:r>
          </w:p>
        </w:tc>
        <w:tc>
          <w:tcPr>
            <w:tcW w:w="4046" w:type="dxa"/>
            <w:noWrap w:val="0"/>
            <w:vAlign w:val="center"/>
          </w:tcPr>
          <w:p w14:paraId="2AD5AF30">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企业应当建立设备和仪器档案，包括但不限于采购、安装、确认等文件和记录。</w:t>
            </w:r>
          </w:p>
        </w:tc>
        <w:tc>
          <w:tcPr>
            <w:tcW w:w="776" w:type="dxa"/>
            <w:noWrap w:val="0"/>
            <w:vAlign w:val="center"/>
          </w:tcPr>
          <w:p w14:paraId="1BEAE3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DB145E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《规范》第三十七条</w:t>
            </w:r>
          </w:p>
        </w:tc>
      </w:tr>
      <w:tr w14:paraId="2299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1116" w:type="dxa"/>
            <w:vMerge w:val="continue"/>
            <w:noWrap w:val="0"/>
            <w:vAlign w:val="center"/>
          </w:tcPr>
          <w:p w14:paraId="3EAC6500">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89A442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62</w:t>
            </w:r>
          </w:p>
        </w:tc>
        <w:tc>
          <w:tcPr>
            <w:tcW w:w="907" w:type="dxa"/>
            <w:noWrap w:val="0"/>
            <w:vAlign w:val="center"/>
          </w:tcPr>
          <w:p w14:paraId="1EF1500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5.3.1</w:t>
            </w:r>
          </w:p>
        </w:tc>
        <w:tc>
          <w:tcPr>
            <w:tcW w:w="4046" w:type="dxa"/>
            <w:noWrap w:val="0"/>
            <w:vAlign w:val="center"/>
          </w:tcPr>
          <w:p w14:paraId="17FF3C68">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企业应当建立主要设备和仪器的使用、维护和维修操作规程，保留相关记录，确保相关活动可追溯。</w:t>
            </w:r>
          </w:p>
        </w:tc>
        <w:tc>
          <w:tcPr>
            <w:tcW w:w="776" w:type="dxa"/>
            <w:noWrap w:val="0"/>
            <w:vAlign w:val="center"/>
          </w:tcPr>
          <w:p w14:paraId="2FE85B7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5021B1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w:t>
            </w:r>
            <w:r>
              <w:rPr>
                <w:rStyle w:val="6"/>
                <w:rFonts w:hint="default" w:ascii="Times New Roman" w:hAnsi="Times New Roman" w:eastAsia="仿宋_GB2312" w:cs="Times New Roman"/>
                <w:color w:val="auto"/>
                <w:sz w:val="21"/>
                <w:szCs w:val="21"/>
                <w:lang w:bidi="ar"/>
              </w:rPr>
              <w:t>第三十八条</w:t>
            </w:r>
          </w:p>
        </w:tc>
      </w:tr>
      <w:tr w14:paraId="78E8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116" w:type="dxa"/>
            <w:vMerge w:val="continue"/>
            <w:noWrap w:val="0"/>
            <w:vAlign w:val="center"/>
          </w:tcPr>
          <w:p w14:paraId="73300E6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F4BD08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63</w:t>
            </w:r>
          </w:p>
        </w:tc>
        <w:tc>
          <w:tcPr>
            <w:tcW w:w="907" w:type="dxa"/>
            <w:noWrap w:val="0"/>
            <w:vAlign w:val="center"/>
          </w:tcPr>
          <w:p w14:paraId="51D2219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5.4.1</w:t>
            </w:r>
          </w:p>
        </w:tc>
        <w:tc>
          <w:tcPr>
            <w:tcW w:w="4046" w:type="dxa"/>
            <w:noWrap w:val="0"/>
            <w:vAlign w:val="center"/>
          </w:tcPr>
          <w:p w14:paraId="6602743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企业应当标明主要设备、仪器和工装夹具的编号与名称。出现异常情况时，应当配备异常状态标识，防止非预期使用。</w:t>
            </w:r>
          </w:p>
        </w:tc>
        <w:tc>
          <w:tcPr>
            <w:tcW w:w="776" w:type="dxa"/>
            <w:noWrap w:val="0"/>
            <w:vAlign w:val="center"/>
          </w:tcPr>
          <w:p w14:paraId="4818A5D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91F6EA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《规范》第三十九条</w:t>
            </w:r>
          </w:p>
        </w:tc>
      </w:tr>
      <w:tr w14:paraId="5DA1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1116" w:type="dxa"/>
            <w:vMerge w:val="continue"/>
            <w:noWrap w:val="0"/>
            <w:vAlign w:val="center"/>
          </w:tcPr>
          <w:p w14:paraId="0468D27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8205E9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64</w:t>
            </w:r>
          </w:p>
        </w:tc>
        <w:tc>
          <w:tcPr>
            <w:tcW w:w="907" w:type="dxa"/>
            <w:noWrap w:val="0"/>
            <w:vAlign w:val="center"/>
          </w:tcPr>
          <w:p w14:paraId="036DA33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5.5.1</w:t>
            </w:r>
          </w:p>
        </w:tc>
        <w:tc>
          <w:tcPr>
            <w:tcW w:w="4046" w:type="dxa"/>
            <w:noWrap w:val="0"/>
            <w:vAlign w:val="center"/>
          </w:tcPr>
          <w:p w14:paraId="2539033F">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企业应当按照操作规程和校准或者检定计划，定期对主要设备和仪器进行校准或者检定，校准的量程范围应当涵盖实际使用范围。</w:t>
            </w:r>
          </w:p>
        </w:tc>
        <w:tc>
          <w:tcPr>
            <w:tcW w:w="776" w:type="dxa"/>
            <w:noWrap w:val="0"/>
            <w:vAlign w:val="center"/>
          </w:tcPr>
          <w:p w14:paraId="5633BFD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C8E5B4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《规范》第四十条</w:t>
            </w:r>
          </w:p>
        </w:tc>
      </w:tr>
      <w:tr w14:paraId="4225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116" w:type="dxa"/>
            <w:vMerge w:val="continue"/>
            <w:noWrap w:val="0"/>
            <w:vAlign w:val="center"/>
          </w:tcPr>
          <w:p w14:paraId="0B29773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D8D457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65</w:t>
            </w:r>
          </w:p>
        </w:tc>
        <w:tc>
          <w:tcPr>
            <w:tcW w:w="907" w:type="dxa"/>
            <w:noWrap w:val="0"/>
            <w:vAlign w:val="center"/>
          </w:tcPr>
          <w:p w14:paraId="15A6878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5.5.2</w:t>
            </w:r>
          </w:p>
        </w:tc>
        <w:tc>
          <w:tcPr>
            <w:tcW w:w="4046" w:type="dxa"/>
            <w:noWrap w:val="0"/>
            <w:vAlign w:val="center"/>
          </w:tcPr>
          <w:p w14:paraId="5BDB786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企业应当配备适当的计量器具，计量器具的量程和精度应当满足使用要求，并标明校准或者检定有效期。</w:t>
            </w:r>
          </w:p>
        </w:tc>
        <w:tc>
          <w:tcPr>
            <w:tcW w:w="776" w:type="dxa"/>
            <w:noWrap w:val="0"/>
            <w:vAlign w:val="center"/>
          </w:tcPr>
          <w:p w14:paraId="26741A8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7E0DD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《规范》第四十条</w:t>
            </w:r>
          </w:p>
        </w:tc>
      </w:tr>
      <w:tr w14:paraId="6DF7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116" w:type="dxa"/>
            <w:vMerge w:val="continue"/>
            <w:noWrap w:val="0"/>
            <w:vAlign w:val="center"/>
          </w:tcPr>
          <w:p w14:paraId="32B4472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17F60D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66</w:t>
            </w:r>
          </w:p>
        </w:tc>
        <w:tc>
          <w:tcPr>
            <w:tcW w:w="907" w:type="dxa"/>
            <w:noWrap w:val="0"/>
            <w:vAlign w:val="center"/>
          </w:tcPr>
          <w:p w14:paraId="7E08142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5.5.3</w:t>
            </w:r>
          </w:p>
        </w:tc>
        <w:tc>
          <w:tcPr>
            <w:tcW w:w="4046" w:type="dxa"/>
            <w:noWrap w:val="0"/>
            <w:vAlign w:val="center"/>
          </w:tcPr>
          <w:p w14:paraId="648CD3E7">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企业应当保留校准或者检定记录。</w:t>
            </w:r>
          </w:p>
        </w:tc>
        <w:tc>
          <w:tcPr>
            <w:tcW w:w="776" w:type="dxa"/>
            <w:noWrap w:val="0"/>
            <w:vAlign w:val="center"/>
          </w:tcPr>
          <w:p w14:paraId="6FB4B8B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6A7CF4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《规范》第四十条</w:t>
            </w:r>
          </w:p>
        </w:tc>
      </w:tr>
      <w:tr w14:paraId="3B57F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16" w:type="dxa"/>
            <w:vMerge w:val="continue"/>
            <w:noWrap w:val="0"/>
            <w:vAlign w:val="center"/>
          </w:tcPr>
          <w:p w14:paraId="1538769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8132DC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67</w:t>
            </w:r>
          </w:p>
        </w:tc>
        <w:tc>
          <w:tcPr>
            <w:tcW w:w="907" w:type="dxa"/>
            <w:noWrap w:val="0"/>
            <w:vAlign w:val="center"/>
          </w:tcPr>
          <w:p w14:paraId="256A97E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5.6.1</w:t>
            </w:r>
          </w:p>
        </w:tc>
        <w:tc>
          <w:tcPr>
            <w:tcW w:w="4046" w:type="dxa"/>
            <w:noWrap w:val="0"/>
            <w:vAlign w:val="center"/>
          </w:tcPr>
          <w:p w14:paraId="2D8D4A9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企业应当对经过改造或者重大维修的设备和仪器进行再确认，符合要求后方可使用。</w:t>
            </w:r>
          </w:p>
        </w:tc>
        <w:tc>
          <w:tcPr>
            <w:tcW w:w="776" w:type="dxa"/>
            <w:noWrap w:val="0"/>
            <w:vAlign w:val="center"/>
          </w:tcPr>
          <w:p w14:paraId="788A244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3B55F0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《规范》第四十一条</w:t>
            </w:r>
          </w:p>
        </w:tc>
      </w:tr>
      <w:tr w14:paraId="09B9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16" w:type="dxa"/>
            <w:vMerge w:val="restart"/>
            <w:noWrap w:val="0"/>
            <w:vAlign w:val="center"/>
          </w:tcPr>
          <w:p w14:paraId="6B9ADA3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第六章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文件和数据管理</w:t>
            </w:r>
          </w:p>
        </w:tc>
        <w:tc>
          <w:tcPr>
            <w:tcW w:w="708" w:type="dxa"/>
            <w:noWrap w:val="0"/>
            <w:vAlign w:val="center"/>
          </w:tcPr>
          <w:p w14:paraId="6ED6D84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68</w:t>
            </w:r>
          </w:p>
        </w:tc>
        <w:tc>
          <w:tcPr>
            <w:tcW w:w="907" w:type="dxa"/>
            <w:noWrap w:val="0"/>
            <w:vAlign w:val="center"/>
          </w:tcPr>
          <w:p w14:paraId="0FB3BC1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6.1.1</w:t>
            </w:r>
          </w:p>
        </w:tc>
        <w:tc>
          <w:tcPr>
            <w:tcW w:w="4046" w:type="dxa"/>
            <w:noWrap w:val="0"/>
            <w:vAlign w:val="center"/>
          </w:tcPr>
          <w:p w14:paraId="280E627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企业应当建立健全质量管理体系文件，包括质量方针和质量目标、质量手册、程序文件、技术文件和记录，以及法规要求的其他文件。</w:t>
            </w:r>
          </w:p>
        </w:tc>
        <w:tc>
          <w:tcPr>
            <w:tcW w:w="776" w:type="dxa"/>
            <w:noWrap w:val="0"/>
            <w:vAlign w:val="center"/>
          </w:tcPr>
          <w:p w14:paraId="07F610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AE02BB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《规范》第四十二条</w:t>
            </w:r>
          </w:p>
        </w:tc>
      </w:tr>
      <w:tr w14:paraId="68D7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6A8AA8E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931E30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69</w:t>
            </w:r>
          </w:p>
        </w:tc>
        <w:tc>
          <w:tcPr>
            <w:tcW w:w="907" w:type="dxa"/>
            <w:noWrap w:val="0"/>
            <w:vAlign w:val="center"/>
          </w:tcPr>
          <w:p w14:paraId="4C45FF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6.1.2</w:t>
            </w:r>
          </w:p>
        </w:tc>
        <w:tc>
          <w:tcPr>
            <w:tcW w:w="4046" w:type="dxa"/>
            <w:noWrap w:val="0"/>
            <w:vAlign w:val="center"/>
          </w:tcPr>
          <w:p w14:paraId="53E6A373">
            <w:pPr>
              <w:widowControl/>
              <w:spacing w:line="29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质量手册应当对质量管理体系作出规定。程序文件应当根据产品设计开发、生产和质量管理等活动的实际需要制定，包含本规范所规定的各项程序。</w:t>
            </w:r>
          </w:p>
        </w:tc>
        <w:tc>
          <w:tcPr>
            <w:tcW w:w="776" w:type="dxa"/>
            <w:noWrap w:val="0"/>
            <w:vAlign w:val="center"/>
          </w:tcPr>
          <w:p w14:paraId="6225B13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7AFBFE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《规范》第四十二条</w:t>
            </w:r>
          </w:p>
        </w:tc>
      </w:tr>
      <w:tr w14:paraId="40C2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116" w:type="dxa"/>
            <w:vMerge w:val="continue"/>
            <w:noWrap w:val="0"/>
            <w:vAlign w:val="center"/>
          </w:tcPr>
          <w:p w14:paraId="578E53C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F6380D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70</w:t>
            </w:r>
          </w:p>
        </w:tc>
        <w:tc>
          <w:tcPr>
            <w:tcW w:w="907" w:type="dxa"/>
            <w:noWrap w:val="0"/>
            <w:vAlign w:val="center"/>
          </w:tcPr>
          <w:p w14:paraId="46EFCB7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6.1.3</w:t>
            </w:r>
          </w:p>
        </w:tc>
        <w:tc>
          <w:tcPr>
            <w:tcW w:w="4046" w:type="dxa"/>
            <w:noWrap w:val="0"/>
            <w:vAlign w:val="center"/>
          </w:tcPr>
          <w:p w14:paraId="1D36DFD0">
            <w:pPr>
              <w:widowControl/>
              <w:spacing w:line="29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技术文件应当包括产品技术要求以及相关标准、生产工艺规程、作业指导书、检验和试验操作规程、安装和服务操作规程等。</w:t>
            </w:r>
          </w:p>
        </w:tc>
        <w:tc>
          <w:tcPr>
            <w:tcW w:w="776" w:type="dxa"/>
            <w:noWrap w:val="0"/>
            <w:vAlign w:val="center"/>
          </w:tcPr>
          <w:p w14:paraId="50D993B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4DE452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《规范》第四十二条</w:t>
            </w:r>
          </w:p>
        </w:tc>
      </w:tr>
      <w:tr w14:paraId="6E44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2" w:hRule="atLeast"/>
        </w:trPr>
        <w:tc>
          <w:tcPr>
            <w:tcW w:w="1116" w:type="dxa"/>
            <w:vMerge w:val="continue"/>
            <w:noWrap w:val="0"/>
            <w:vAlign w:val="center"/>
          </w:tcPr>
          <w:p w14:paraId="10A7F88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27E18A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71</w:t>
            </w:r>
          </w:p>
        </w:tc>
        <w:tc>
          <w:tcPr>
            <w:tcW w:w="907" w:type="dxa"/>
            <w:noWrap w:val="0"/>
            <w:vAlign w:val="center"/>
          </w:tcPr>
          <w:p w14:paraId="6D89222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6.2.1</w:t>
            </w:r>
          </w:p>
        </w:tc>
        <w:tc>
          <w:tcPr>
            <w:tcW w:w="4046" w:type="dxa"/>
            <w:noWrap w:val="0"/>
            <w:vAlign w:val="center"/>
          </w:tcPr>
          <w:p w14:paraId="73BEEBB4">
            <w:pPr>
              <w:widowControl/>
              <w:spacing w:line="29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企业应当建立文件控制程序，系统设计、制定、审核、批准、发放和保存质量管理体系文件，并符合下列要求：</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（一）文件的起草、修订、审核、批准、替换或者撤销、复制、保管和销毁等应当按照文件控制程序管理，并有相应分发、替换或者撤销、销毁记录</w:t>
            </w:r>
            <w:r>
              <w:rPr>
                <w:rFonts w:ascii="Times New Roman" w:hAnsi="Times New Roman" w:eastAsia="仿宋_GB2312" w:cs="Times New Roman"/>
                <w:kern w:val="0"/>
                <w:szCs w:val="21"/>
                <w:lang w:val="en" w:bidi="ar"/>
              </w:rPr>
              <w:t>，</w:t>
            </w:r>
            <w:r>
              <w:rPr>
                <w:rFonts w:ascii="Times New Roman" w:hAnsi="Times New Roman" w:eastAsia="仿宋_GB2312" w:cs="Times New Roman"/>
                <w:kern w:val="0"/>
                <w:szCs w:val="21"/>
                <w:lang w:bidi="ar"/>
              </w:rPr>
              <w:t>应当根据文件不同用途与类型，明确适宜受控方法</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（二）修订或者更新文件时，应当经过评审和批准，并确保能够识别文件修订或者更新状态</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（三）分发和使用的文件应当为适宜文本，已撤销或者作废文件应当进行标识，防止误用</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（四）明确必要的质量管理体系文件如技术文件等作废后的保存期限，以满足产品维修和产品质量责任追溯等需要。</w:t>
            </w:r>
          </w:p>
        </w:tc>
        <w:tc>
          <w:tcPr>
            <w:tcW w:w="776" w:type="dxa"/>
            <w:noWrap w:val="0"/>
            <w:vAlign w:val="center"/>
          </w:tcPr>
          <w:p w14:paraId="3546BA3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A5704B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《规范》第四十三条</w:t>
            </w:r>
          </w:p>
        </w:tc>
      </w:tr>
      <w:tr w14:paraId="2644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16" w:type="dxa"/>
            <w:vMerge w:val="continue"/>
            <w:noWrap w:val="0"/>
            <w:vAlign w:val="center"/>
          </w:tcPr>
          <w:p w14:paraId="1D37FD10">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4F8A1E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72</w:t>
            </w:r>
          </w:p>
        </w:tc>
        <w:tc>
          <w:tcPr>
            <w:tcW w:w="907" w:type="dxa"/>
            <w:noWrap w:val="0"/>
            <w:vAlign w:val="center"/>
          </w:tcPr>
          <w:p w14:paraId="1F3451D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6.3.1</w:t>
            </w:r>
          </w:p>
        </w:tc>
        <w:tc>
          <w:tcPr>
            <w:tcW w:w="4046" w:type="dxa"/>
            <w:noWrap w:val="0"/>
            <w:vAlign w:val="center"/>
          </w:tcPr>
          <w:p w14:paraId="04B80E05">
            <w:pPr>
              <w:widowControl/>
              <w:spacing w:line="29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企业应当指定部门或者人员负责识别医疗器械相关法律、法规、规范、标准等外部文件变化情况，及时更新质量管理体系文件。</w:t>
            </w:r>
          </w:p>
        </w:tc>
        <w:tc>
          <w:tcPr>
            <w:tcW w:w="776" w:type="dxa"/>
            <w:noWrap w:val="0"/>
            <w:vAlign w:val="center"/>
          </w:tcPr>
          <w:p w14:paraId="6262D0B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E8380D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《规范》第四十四条</w:t>
            </w:r>
          </w:p>
        </w:tc>
      </w:tr>
      <w:tr w14:paraId="20EE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1116" w:type="dxa"/>
            <w:vMerge w:val="continue"/>
            <w:noWrap w:val="0"/>
            <w:vAlign w:val="center"/>
          </w:tcPr>
          <w:p w14:paraId="556B8C0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ADFD2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73</w:t>
            </w:r>
          </w:p>
        </w:tc>
        <w:tc>
          <w:tcPr>
            <w:tcW w:w="907" w:type="dxa"/>
            <w:noWrap w:val="0"/>
            <w:vAlign w:val="center"/>
          </w:tcPr>
          <w:p w14:paraId="6737CC2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6.4.1</w:t>
            </w:r>
          </w:p>
        </w:tc>
        <w:tc>
          <w:tcPr>
            <w:tcW w:w="4046" w:type="dxa"/>
            <w:noWrap w:val="0"/>
            <w:vAlign w:val="center"/>
          </w:tcPr>
          <w:p w14:paraId="45FEBA77">
            <w:pPr>
              <w:widowControl/>
              <w:spacing w:line="290" w:lineRule="exact"/>
              <w:textAlignment w:val="center"/>
              <w:rPr>
                <w:rFonts w:hint="eastAsia" w:ascii="Times New Roman" w:hAnsi="Times New Roman" w:eastAsia="仿宋_GB2312" w:cs="Times New Roman"/>
                <w:kern w:val="0"/>
                <w:szCs w:val="21"/>
                <w:lang w:val="en" w:eastAsia="zh-CN" w:bidi="ar"/>
              </w:rPr>
            </w:pPr>
            <w:r>
              <w:rPr>
                <w:rFonts w:ascii="Times New Roman" w:hAnsi="Times New Roman" w:eastAsia="仿宋_GB2312" w:cs="Times New Roman"/>
                <w:kern w:val="0"/>
                <w:szCs w:val="21"/>
                <w:lang w:bidi="ar"/>
              </w:rPr>
              <w:t>企业应当建立记录控制程序，包括记录的标识、保管、检索、保存期限和处置要求等，并符合下列要求：</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（一）记录应当保证产品设计开发、生产、质量控制和产品放行等活动可追溯</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（二）记录应当真实、准确、完整、及时、清晰，易于识别和检索，防止破损和丢失</w:t>
            </w:r>
            <w:r>
              <w:rPr>
                <w:rFonts w:hint="eastAsia" w:ascii="Times New Roman" w:hAnsi="Times New Roman" w:eastAsia="仿宋_GB2312" w:cs="Times New Roman"/>
                <w:kern w:val="0"/>
                <w:szCs w:val="21"/>
                <w:lang w:val="en" w:eastAsia="zh-CN" w:bidi="ar"/>
              </w:rPr>
              <w:t>；</w:t>
            </w:r>
          </w:p>
        </w:tc>
        <w:tc>
          <w:tcPr>
            <w:tcW w:w="776" w:type="dxa"/>
            <w:noWrap w:val="0"/>
            <w:vAlign w:val="center"/>
          </w:tcPr>
          <w:p w14:paraId="63EFCE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1C8B27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《规范》第四十五条</w:t>
            </w:r>
          </w:p>
        </w:tc>
      </w:tr>
      <w:tr w14:paraId="7B71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718405F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6718AD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74</w:t>
            </w:r>
          </w:p>
        </w:tc>
        <w:tc>
          <w:tcPr>
            <w:tcW w:w="907" w:type="dxa"/>
            <w:noWrap w:val="0"/>
            <w:vAlign w:val="center"/>
          </w:tcPr>
          <w:p w14:paraId="6B72F84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6.4.2</w:t>
            </w:r>
          </w:p>
        </w:tc>
        <w:tc>
          <w:tcPr>
            <w:tcW w:w="4046" w:type="dxa"/>
            <w:noWrap w:val="0"/>
            <w:vAlign w:val="center"/>
          </w:tcPr>
          <w:p w14:paraId="6B50ED1F">
            <w:pPr>
              <w:widowControl/>
              <w:spacing w:line="29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（三）记录不得随意涂改或者销毁，必须更改时，应当注明更改理由、更改人员和日期，原有信息清晰可辨</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（四）记录保存期限至少应当与企业所规定的医疗器械寿命期保持一致或者符合相关法规要求，且自产品放行之日起不少于2年。</w:t>
            </w:r>
          </w:p>
        </w:tc>
        <w:tc>
          <w:tcPr>
            <w:tcW w:w="776" w:type="dxa"/>
            <w:noWrap w:val="0"/>
            <w:vAlign w:val="center"/>
          </w:tcPr>
          <w:p w14:paraId="405F26B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EA6F3E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《规范》第四十五条</w:t>
            </w:r>
          </w:p>
        </w:tc>
      </w:tr>
      <w:tr w14:paraId="710E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7" w:hRule="atLeast"/>
        </w:trPr>
        <w:tc>
          <w:tcPr>
            <w:tcW w:w="1116" w:type="dxa"/>
            <w:vMerge w:val="continue"/>
            <w:noWrap w:val="0"/>
            <w:vAlign w:val="center"/>
          </w:tcPr>
          <w:p w14:paraId="19E780F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44D413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75</w:t>
            </w:r>
          </w:p>
        </w:tc>
        <w:tc>
          <w:tcPr>
            <w:tcW w:w="907" w:type="dxa"/>
            <w:noWrap w:val="0"/>
            <w:vAlign w:val="center"/>
          </w:tcPr>
          <w:p w14:paraId="5A65816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6.5.1</w:t>
            </w:r>
          </w:p>
        </w:tc>
        <w:tc>
          <w:tcPr>
            <w:tcW w:w="4046" w:type="dxa"/>
            <w:noWrap w:val="0"/>
            <w:vAlign w:val="center"/>
          </w:tcPr>
          <w:p w14:paraId="069A9140">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采用信息化管理方式的，企业应当确保电子记录或者数据真实、准确、完整、及时和可追溯，并符合下列要求：</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（一）建立用户权限管理，确保可能对电子记录或者数据真实准确产生影响的权限得到有效控制</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（二）电子记录或者数据更改、删除应当由经授权的人员操作，保留更改、删除记录</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（三）电子记录或者数据应当进行备份，保存期限应当不低于本章定义的记录保存期限，且在保存期内便于查阅</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（四）采用电子签名的，应当符合相关法律法规要求。</w:t>
            </w:r>
          </w:p>
        </w:tc>
        <w:tc>
          <w:tcPr>
            <w:tcW w:w="776" w:type="dxa"/>
            <w:noWrap w:val="0"/>
            <w:vAlign w:val="center"/>
          </w:tcPr>
          <w:p w14:paraId="38A3CA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FD010F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《规范》第四十六条</w:t>
            </w:r>
          </w:p>
        </w:tc>
      </w:tr>
      <w:tr w14:paraId="3741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1116" w:type="dxa"/>
            <w:vMerge w:val="restart"/>
            <w:noWrap w:val="0"/>
            <w:vAlign w:val="center"/>
          </w:tcPr>
          <w:p w14:paraId="0921E947">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第七章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设计开发</w:t>
            </w:r>
          </w:p>
          <w:p w14:paraId="4BE7A2E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A490F0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76</w:t>
            </w:r>
          </w:p>
        </w:tc>
        <w:tc>
          <w:tcPr>
            <w:tcW w:w="907" w:type="dxa"/>
            <w:noWrap w:val="0"/>
            <w:vAlign w:val="center"/>
          </w:tcPr>
          <w:p w14:paraId="79C131F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7.1.1</w:t>
            </w:r>
          </w:p>
        </w:tc>
        <w:tc>
          <w:tcPr>
            <w:tcW w:w="4046" w:type="dxa"/>
            <w:noWrap w:val="0"/>
            <w:vAlign w:val="center"/>
          </w:tcPr>
          <w:p w14:paraId="5A07B473">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企业应当建立设计开发控制程序，对设计开发的阶段进行划分，规定设计开发的策划、输入、输出、验证、确认、转换、变更和评审等活动以及相关文档控制要求，对医疗器械设计开发全过程实施策划和控制。</w:t>
            </w:r>
          </w:p>
        </w:tc>
        <w:tc>
          <w:tcPr>
            <w:tcW w:w="776" w:type="dxa"/>
            <w:noWrap w:val="0"/>
            <w:vAlign w:val="center"/>
          </w:tcPr>
          <w:p w14:paraId="76ED681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A35AF3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《规范》第四十七条</w:t>
            </w:r>
          </w:p>
        </w:tc>
      </w:tr>
      <w:tr w14:paraId="7C2C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116" w:type="dxa"/>
            <w:vMerge w:val="continue"/>
            <w:noWrap w:val="0"/>
            <w:vAlign w:val="center"/>
          </w:tcPr>
          <w:p w14:paraId="0EDB6B3E">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4C7E8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77</w:t>
            </w:r>
          </w:p>
        </w:tc>
        <w:tc>
          <w:tcPr>
            <w:tcW w:w="907" w:type="dxa"/>
            <w:noWrap w:val="0"/>
            <w:vAlign w:val="center"/>
          </w:tcPr>
          <w:p w14:paraId="5A82A1E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7.2.1</w:t>
            </w:r>
          </w:p>
        </w:tc>
        <w:tc>
          <w:tcPr>
            <w:tcW w:w="4046" w:type="dxa"/>
            <w:noWrap w:val="0"/>
            <w:vAlign w:val="center"/>
          </w:tcPr>
          <w:p w14:paraId="0A88BA7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企业应当将风险管理理念贯穿到设计开发至产品实现全过程，制定相关要求并形成文件，使用风险管理方法和工具开展风险管理活动并保留相关记录。</w:t>
            </w:r>
          </w:p>
        </w:tc>
        <w:tc>
          <w:tcPr>
            <w:tcW w:w="776" w:type="dxa"/>
            <w:noWrap w:val="0"/>
            <w:vAlign w:val="center"/>
          </w:tcPr>
          <w:p w14:paraId="1B84FF2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37F81A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《规范》第四十八条</w:t>
            </w:r>
          </w:p>
        </w:tc>
      </w:tr>
      <w:tr w14:paraId="1BD0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6E4BF24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763D39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78</w:t>
            </w:r>
          </w:p>
        </w:tc>
        <w:tc>
          <w:tcPr>
            <w:tcW w:w="907" w:type="dxa"/>
            <w:noWrap w:val="0"/>
            <w:vAlign w:val="center"/>
          </w:tcPr>
          <w:p w14:paraId="7ECD122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7.3.1</w:t>
            </w:r>
          </w:p>
        </w:tc>
        <w:tc>
          <w:tcPr>
            <w:tcW w:w="4046" w:type="dxa"/>
            <w:noWrap w:val="0"/>
            <w:vAlign w:val="center"/>
          </w:tcPr>
          <w:p w14:paraId="05BB4B62">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企业应当根据产品特性对设计开发进行策划，明确设计开发输入、输出、转换、验证与确认等阶段需要开展的具体活动。</w:t>
            </w:r>
          </w:p>
        </w:tc>
        <w:tc>
          <w:tcPr>
            <w:tcW w:w="776" w:type="dxa"/>
            <w:noWrap w:val="0"/>
            <w:vAlign w:val="center"/>
          </w:tcPr>
          <w:p w14:paraId="24AA127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F08FE6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《规范》第四十九条</w:t>
            </w:r>
          </w:p>
        </w:tc>
      </w:tr>
      <w:tr w14:paraId="0CCD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116" w:type="dxa"/>
            <w:vMerge w:val="continue"/>
            <w:noWrap w:val="0"/>
            <w:vAlign w:val="center"/>
          </w:tcPr>
          <w:p w14:paraId="5FC2B70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C0510A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79</w:t>
            </w:r>
          </w:p>
        </w:tc>
        <w:tc>
          <w:tcPr>
            <w:tcW w:w="907" w:type="dxa"/>
            <w:noWrap w:val="0"/>
            <w:vAlign w:val="center"/>
          </w:tcPr>
          <w:p w14:paraId="3A81EA9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7.3.2</w:t>
            </w:r>
          </w:p>
        </w:tc>
        <w:tc>
          <w:tcPr>
            <w:tcW w:w="4046" w:type="dxa"/>
            <w:noWrap w:val="0"/>
            <w:vAlign w:val="center"/>
          </w:tcPr>
          <w:p w14:paraId="1088749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776" w:type="dxa"/>
            <w:noWrap w:val="0"/>
            <w:vAlign w:val="center"/>
          </w:tcPr>
          <w:p w14:paraId="4C4F770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E93E61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《规范》第四十九条</w:t>
            </w:r>
          </w:p>
        </w:tc>
      </w:tr>
      <w:tr w14:paraId="4934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04F57F0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B197E7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80</w:t>
            </w:r>
          </w:p>
        </w:tc>
        <w:tc>
          <w:tcPr>
            <w:tcW w:w="907" w:type="dxa"/>
            <w:noWrap w:val="0"/>
            <w:vAlign w:val="center"/>
          </w:tcPr>
          <w:p w14:paraId="089C7E1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7.4.1</w:t>
            </w:r>
          </w:p>
        </w:tc>
        <w:tc>
          <w:tcPr>
            <w:tcW w:w="4046" w:type="dxa"/>
            <w:noWrap w:val="0"/>
            <w:vAlign w:val="center"/>
          </w:tcPr>
          <w:p w14:paraId="6AF5393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设计开发输入至少应当包括根据用户需求以及预期用途所确定的功能、性能、安全以及法规、标准、风险控制措施等要求。</w:t>
            </w:r>
          </w:p>
        </w:tc>
        <w:tc>
          <w:tcPr>
            <w:tcW w:w="776" w:type="dxa"/>
            <w:noWrap w:val="0"/>
            <w:vAlign w:val="center"/>
          </w:tcPr>
          <w:p w14:paraId="7CDBE9E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D81CB3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《规范》第五十条</w:t>
            </w:r>
          </w:p>
        </w:tc>
      </w:tr>
      <w:tr w14:paraId="6F73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777E047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2EE382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81</w:t>
            </w:r>
          </w:p>
        </w:tc>
        <w:tc>
          <w:tcPr>
            <w:tcW w:w="907" w:type="dxa"/>
            <w:noWrap w:val="0"/>
            <w:vAlign w:val="center"/>
          </w:tcPr>
          <w:p w14:paraId="3DEF291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7.4.2</w:t>
            </w:r>
          </w:p>
        </w:tc>
        <w:tc>
          <w:tcPr>
            <w:tcW w:w="4046" w:type="dxa"/>
            <w:noWrap w:val="0"/>
            <w:vAlign w:val="center"/>
          </w:tcPr>
          <w:p w14:paraId="6FDCD4B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设计开发输入要求应当清晰、完整，并经过评审和批准。</w:t>
            </w:r>
          </w:p>
        </w:tc>
        <w:tc>
          <w:tcPr>
            <w:tcW w:w="776" w:type="dxa"/>
            <w:noWrap w:val="0"/>
            <w:vAlign w:val="center"/>
          </w:tcPr>
          <w:p w14:paraId="30F8EDA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A22338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《规范》第五十条</w:t>
            </w:r>
          </w:p>
        </w:tc>
      </w:tr>
      <w:tr w14:paraId="660B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6F4F404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DB5D0E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82</w:t>
            </w:r>
          </w:p>
        </w:tc>
        <w:tc>
          <w:tcPr>
            <w:tcW w:w="907" w:type="dxa"/>
            <w:noWrap w:val="0"/>
            <w:vAlign w:val="center"/>
          </w:tcPr>
          <w:p w14:paraId="3D93FF9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7.5.1</w:t>
            </w:r>
          </w:p>
        </w:tc>
        <w:tc>
          <w:tcPr>
            <w:tcW w:w="4046" w:type="dxa"/>
            <w:noWrap w:val="0"/>
            <w:vAlign w:val="center"/>
          </w:tcPr>
          <w:p w14:paraId="4FEDFBD3">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设计开发输出应当满足各阶段的输入要求。</w:t>
            </w:r>
          </w:p>
        </w:tc>
        <w:tc>
          <w:tcPr>
            <w:tcW w:w="776" w:type="dxa"/>
            <w:noWrap w:val="0"/>
            <w:vAlign w:val="center"/>
          </w:tcPr>
          <w:p w14:paraId="6ED9417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4596F6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《规范》第五十一条</w:t>
            </w:r>
          </w:p>
        </w:tc>
      </w:tr>
      <w:tr w14:paraId="6890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38F6C3D0">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24D564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83</w:t>
            </w:r>
          </w:p>
        </w:tc>
        <w:tc>
          <w:tcPr>
            <w:tcW w:w="907" w:type="dxa"/>
            <w:noWrap w:val="0"/>
            <w:vAlign w:val="center"/>
          </w:tcPr>
          <w:p w14:paraId="19D3049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7.5.2</w:t>
            </w:r>
          </w:p>
        </w:tc>
        <w:tc>
          <w:tcPr>
            <w:tcW w:w="4046" w:type="dxa"/>
            <w:noWrap w:val="0"/>
            <w:vAlign w:val="center"/>
          </w:tcPr>
          <w:p w14:paraId="7F87F38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设计开发输出至少应当包括采购、生产、检验、使用和服务所需的相关信息以及产品技术要求等。设计开发输出应当经过验证并得到批准。</w:t>
            </w:r>
          </w:p>
        </w:tc>
        <w:tc>
          <w:tcPr>
            <w:tcW w:w="776" w:type="dxa"/>
            <w:noWrap w:val="0"/>
            <w:vAlign w:val="center"/>
          </w:tcPr>
          <w:p w14:paraId="4FBA2BB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15A71F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《规范》第五十一条</w:t>
            </w:r>
          </w:p>
        </w:tc>
      </w:tr>
      <w:tr w14:paraId="2561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116" w:type="dxa"/>
            <w:vMerge w:val="continue"/>
            <w:noWrap w:val="0"/>
            <w:vAlign w:val="center"/>
          </w:tcPr>
          <w:p w14:paraId="205E377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6B34AC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84</w:t>
            </w:r>
          </w:p>
        </w:tc>
        <w:tc>
          <w:tcPr>
            <w:tcW w:w="907" w:type="dxa"/>
            <w:noWrap w:val="0"/>
            <w:vAlign w:val="center"/>
          </w:tcPr>
          <w:p w14:paraId="48DB1BB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7.6.1</w:t>
            </w:r>
          </w:p>
        </w:tc>
        <w:tc>
          <w:tcPr>
            <w:tcW w:w="4046" w:type="dxa"/>
            <w:noWrap w:val="0"/>
            <w:vAlign w:val="center"/>
          </w:tcPr>
          <w:p w14:paraId="78D17B5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776" w:type="dxa"/>
            <w:noWrap w:val="0"/>
            <w:vAlign w:val="center"/>
          </w:tcPr>
          <w:p w14:paraId="5BD85A3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653188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《规范》第五十二条</w:t>
            </w:r>
          </w:p>
        </w:tc>
      </w:tr>
      <w:tr w14:paraId="05B9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16" w:type="dxa"/>
            <w:vMerge w:val="continue"/>
            <w:noWrap w:val="0"/>
            <w:vAlign w:val="center"/>
          </w:tcPr>
          <w:p w14:paraId="38DC36F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07A728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85</w:t>
            </w:r>
          </w:p>
        </w:tc>
        <w:tc>
          <w:tcPr>
            <w:tcW w:w="907" w:type="dxa"/>
            <w:noWrap w:val="0"/>
            <w:vAlign w:val="center"/>
          </w:tcPr>
          <w:p w14:paraId="67AE31A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7.7.1</w:t>
            </w:r>
          </w:p>
        </w:tc>
        <w:tc>
          <w:tcPr>
            <w:tcW w:w="4046" w:type="dxa"/>
            <w:noWrap w:val="0"/>
            <w:vAlign w:val="center"/>
          </w:tcPr>
          <w:p w14:paraId="43F12E8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企业应当在设计开发的适宜阶段进行评审，持续评价设计开发输出满足输入要求的能力，识别问题并提出必要的改进措施。</w:t>
            </w:r>
          </w:p>
        </w:tc>
        <w:tc>
          <w:tcPr>
            <w:tcW w:w="776" w:type="dxa"/>
            <w:noWrap w:val="0"/>
            <w:vAlign w:val="center"/>
          </w:tcPr>
          <w:p w14:paraId="0D04475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A87FCC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《规范》第五十三条</w:t>
            </w:r>
          </w:p>
        </w:tc>
      </w:tr>
      <w:tr w14:paraId="43D3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58B308E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F804B1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86</w:t>
            </w:r>
          </w:p>
        </w:tc>
        <w:tc>
          <w:tcPr>
            <w:tcW w:w="907" w:type="dxa"/>
            <w:noWrap w:val="0"/>
            <w:vAlign w:val="center"/>
          </w:tcPr>
          <w:p w14:paraId="2464622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7.8.1</w:t>
            </w:r>
          </w:p>
        </w:tc>
        <w:tc>
          <w:tcPr>
            <w:tcW w:w="4046" w:type="dxa"/>
            <w:noWrap w:val="0"/>
            <w:vAlign w:val="center"/>
          </w:tcPr>
          <w:p w14:paraId="5521481F">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企业应当对设计开发进行验证，确保设计开发输出满足输入要求。</w:t>
            </w:r>
          </w:p>
        </w:tc>
        <w:tc>
          <w:tcPr>
            <w:tcW w:w="776" w:type="dxa"/>
            <w:noWrap w:val="0"/>
            <w:vAlign w:val="center"/>
          </w:tcPr>
          <w:p w14:paraId="5F61DF2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D7E190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《规范》第五十四条</w:t>
            </w:r>
          </w:p>
        </w:tc>
      </w:tr>
      <w:tr w14:paraId="1BE2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4B87B5E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939AF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87</w:t>
            </w:r>
          </w:p>
        </w:tc>
        <w:tc>
          <w:tcPr>
            <w:tcW w:w="907" w:type="dxa"/>
            <w:noWrap w:val="0"/>
            <w:vAlign w:val="center"/>
          </w:tcPr>
          <w:p w14:paraId="617B737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7.8.2</w:t>
            </w:r>
          </w:p>
        </w:tc>
        <w:tc>
          <w:tcPr>
            <w:tcW w:w="4046" w:type="dxa"/>
            <w:noWrap w:val="0"/>
            <w:vAlign w:val="center"/>
          </w:tcPr>
          <w:p w14:paraId="20A4486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企业应当保留验证相关文件，至少包括验证方案、验证报告、验证结果和结论以及验证过程记录等。</w:t>
            </w:r>
          </w:p>
        </w:tc>
        <w:tc>
          <w:tcPr>
            <w:tcW w:w="776" w:type="dxa"/>
            <w:noWrap w:val="0"/>
            <w:vAlign w:val="center"/>
          </w:tcPr>
          <w:p w14:paraId="242CDD4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311FAF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《规范》第五十四条</w:t>
            </w:r>
          </w:p>
        </w:tc>
      </w:tr>
      <w:tr w14:paraId="7985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0F21992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75B2EF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88</w:t>
            </w:r>
          </w:p>
        </w:tc>
        <w:tc>
          <w:tcPr>
            <w:tcW w:w="907" w:type="dxa"/>
            <w:noWrap w:val="0"/>
            <w:vAlign w:val="center"/>
          </w:tcPr>
          <w:p w14:paraId="75215A1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7.9.1</w:t>
            </w:r>
          </w:p>
        </w:tc>
        <w:tc>
          <w:tcPr>
            <w:tcW w:w="4046" w:type="dxa"/>
            <w:noWrap w:val="0"/>
            <w:vAlign w:val="center"/>
          </w:tcPr>
          <w:p w14:paraId="484AD2F4">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企业应当对设计开发进行确认，确保产品满足规定使用要求或者预期用途。</w:t>
            </w:r>
          </w:p>
        </w:tc>
        <w:tc>
          <w:tcPr>
            <w:tcW w:w="776" w:type="dxa"/>
            <w:noWrap w:val="0"/>
            <w:vAlign w:val="center"/>
          </w:tcPr>
          <w:p w14:paraId="50D5CFC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A7E816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《规范》第五十五条</w:t>
            </w:r>
          </w:p>
        </w:tc>
      </w:tr>
      <w:tr w14:paraId="490E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6986A22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934ADF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89</w:t>
            </w:r>
          </w:p>
        </w:tc>
        <w:tc>
          <w:tcPr>
            <w:tcW w:w="907" w:type="dxa"/>
            <w:noWrap w:val="0"/>
            <w:vAlign w:val="center"/>
          </w:tcPr>
          <w:p w14:paraId="28AB368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7.9.2</w:t>
            </w:r>
          </w:p>
        </w:tc>
        <w:tc>
          <w:tcPr>
            <w:tcW w:w="4046" w:type="dxa"/>
            <w:noWrap w:val="0"/>
            <w:vAlign w:val="center"/>
          </w:tcPr>
          <w:p w14:paraId="366951C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设计开发确认可以采用临床评价或者非临床评价方式。开展临床试验的，应当符合医疗器械临床试验相关要求。</w:t>
            </w:r>
          </w:p>
        </w:tc>
        <w:tc>
          <w:tcPr>
            <w:tcW w:w="776" w:type="dxa"/>
            <w:noWrap w:val="0"/>
            <w:vAlign w:val="center"/>
          </w:tcPr>
          <w:p w14:paraId="587257E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65E2EF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《规范》第五十五条</w:t>
            </w:r>
          </w:p>
        </w:tc>
      </w:tr>
      <w:tr w14:paraId="6BD4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469638C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003799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90</w:t>
            </w:r>
          </w:p>
        </w:tc>
        <w:tc>
          <w:tcPr>
            <w:tcW w:w="907" w:type="dxa"/>
            <w:noWrap w:val="0"/>
            <w:vAlign w:val="center"/>
          </w:tcPr>
          <w:p w14:paraId="3802034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7.10.1</w:t>
            </w:r>
          </w:p>
        </w:tc>
        <w:tc>
          <w:tcPr>
            <w:tcW w:w="4046" w:type="dxa"/>
            <w:noWrap w:val="0"/>
            <w:vAlign w:val="center"/>
          </w:tcPr>
          <w:p w14:paraId="106A446F">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企业应当对设计开发变更进行识别并评估变更影响。必要时，应当对设计开发变更进行验证、确认，并在实施前得到批准。</w:t>
            </w:r>
          </w:p>
        </w:tc>
        <w:tc>
          <w:tcPr>
            <w:tcW w:w="776" w:type="dxa"/>
            <w:noWrap w:val="0"/>
            <w:vAlign w:val="center"/>
          </w:tcPr>
          <w:p w14:paraId="2C425E0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ADBE57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《规范》第五十六条</w:t>
            </w:r>
          </w:p>
        </w:tc>
      </w:tr>
      <w:tr w14:paraId="10C7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16" w:type="dxa"/>
            <w:vMerge w:val="continue"/>
            <w:noWrap w:val="0"/>
            <w:vAlign w:val="center"/>
          </w:tcPr>
          <w:p w14:paraId="01A6C54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C04AAE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91</w:t>
            </w:r>
          </w:p>
        </w:tc>
        <w:tc>
          <w:tcPr>
            <w:tcW w:w="907" w:type="dxa"/>
            <w:noWrap w:val="0"/>
            <w:vAlign w:val="center"/>
          </w:tcPr>
          <w:p w14:paraId="5AE96F0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7.11.1</w:t>
            </w:r>
          </w:p>
        </w:tc>
        <w:tc>
          <w:tcPr>
            <w:tcW w:w="4046" w:type="dxa"/>
            <w:noWrap w:val="0"/>
            <w:vAlign w:val="center"/>
          </w:tcPr>
          <w:p w14:paraId="134D30B0">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企业应当建立产品设计开发文档，包括设计开发过程中建立或者引用的记录，确保历次设计开发输出过程以及相关活动可追溯。</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（一）研制条件，包括配合使用的设备、仪器和试剂应当满足研究所需，研制所用的设备、仪器和试剂应当保存使用记录</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（二）研制过程中主要原料、中间体、重要辅料应当明确来源，其数量、使用量及其剩余量应当保存记录</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工艺研究、技术要求/分析性能研究、稳定性研究、检验、临床试验/评价（包括预实验）研究、参考值研究等各个阶段的样品数量、贮存条件、留样、使用或销毁情况应当保存记录，样品试制量应当满足从事研究所需要的数量。</w:t>
            </w:r>
          </w:p>
        </w:tc>
        <w:tc>
          <w:tcPr>
            <w:tcW w:w="776" w:type="dxa"/>
            <w:noWrap w:val="0"/>
            <w:vAlign w:val="center"/>
          </w:tcPr>
          <w:p w14:paraId="1DE79F6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676BA6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《规范》第五十七条</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2.4.1、2.4.2、2.4.3</w:t>
            </w:r>
            <w:r>
              <w:rPr>
                <w:rFonts w:ascii="Times New Roman" w:hAnsi="Times New Roman" w:eastAsia="仿宋_GB2312" w:cs="Times New Roman"/>
                <w:kern w:val="0"/>
                <w:szCs w:val="21"/>
                <w:lang w:bidi="ar"/>
              </w:rPr>
              <w:br w:type="textWrapping"/>
            </w:r>
          </w:p>
        </w:tc>
      </w:tr>
      <w:tr w14:paraId="606A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16" w:type="dxa"/>
            <w:vMerge w:val="continue"/>
            <w:noWrap w:val="0"/>
            <w:vAlign w:val="center"/>
          </w:tcPr>
          <w:p w14:paraId="1263733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DF3FA8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92</w:t>
            </w:r>
          </w:p>
        </w:tc>
        <w:tc>
          <w:tcPr>
            <w:tcW w:w="907" w:type="dxa"/>
            <w:noWrap w:val="0"/>
            <w:vAlign w:val="center"/>
          </w:tcPr>
          <w:p w14:paraId="5FAC0A2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7.12.1</w:t>
            </w:r>
          </w:p>
        </w:tc>
        <w:tc>
          <w:tcPr>
            <w:tcW w:w="4046" w:type="dxa"/>
            <w:noWrap w:val="0"/>
            <w:vAlign w:val="center"/>
          </w:tcPr>
          <w:p w14:paraId="0D9907C4">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委托设计开发医疗器械的，委托方应当对受托方研发与持续技术支持能力进行评估。</w:t>
            </w:r>
          </w:p>
        </w:tc>
        <w:tc>
          <w:tcPr>
            <w:tcW w:w="776" w:type="dxa"/>
            <w:noWrap w:val="0"/>
            <w:vAlign w:val="center"/>
          </w:tcPr>
          <w:p w14:paraId="702A32B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615118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《规范》第五十八条</w:t>
            </w:r>
          </w:p>
        </w:tc>
      </w:tr>
      <w:tr w14:paraId="194A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1E43A71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FF00FF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93</w:t>
            </w:r>
          </w:p>
        </w:tc>
        <w:tc>
          <w:tcPr>
            <w:tcW w:w="907" w:type="dxa"/>
            <w:noWrap w:val="0"/>
            <w:vAlign w:val="center"/>
          </w:tcPr>
          <w:p w14:paraId="350D220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7.12.2</w:t>
            </w:r>
          </w:p>
        </w:tc>
        <w:tc>
          <w:tcPr>
            <w:tcW w:w="4046" w:type="dxa"/>
            <w:noWrap w:val="0"/>
            <w:vAlign w:val="center"/>
          </w:tcPr>
          <w:p w14:paraId="32FF9D8F">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企业应当与受托方签订协议，明确委托设计开发活动范围、责任以及设计开发文档转移要求。</w:t>
            </w:r>
          </w:p>
        </w:tc>
        <w:tc>
          <w:tcPr>
            <w:tcW w:w="776" w:type="dxa"/>
            <w:noWrap w:val="0"/>
            <w:vAlign w:val="center"/>
          </w:tcPr>
          <w:p w14:paraId="0769597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18A9BC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《规范》第五十八条</w:t>
            </w:r>
          </w:p>
        </w:tc>
      </w:tr>
      <w:tr w14:paraId="20EE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3E1C33E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3B9AF4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94</w:t>
            </w:r>
          </w:p>
        </w:tc>
        <w:tc>
          <w:tcPr>
            <w:tcW w:w="907" w:type="dxa"/>
            <w:noWrap w:val="0"/>
            <w:vAlign w:val="center"/>
          </w:tcPr>
          <w:p w14:paraId="0A83412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7.12.3</w:t>
            </w:r>
          </w:p>
        </w:tc>
        <w:tc>
          <w:tcPr>
            <w:tcW w:w="4046" w:type="dxa"/>
            <w:noWrap w:val="0"/>
            <w:vAlign w:val="center"/>
          </w:tcPr>
          <w:p w14:paraId="634A090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企业应当对委托设计开发过程和结果进行管理并承担相应责任，确保设计开发过程满足法律法规和协议要求。</w:t>
            </w:r>
          </w:p>
        </w:tc>
        <w:tc>
          <w:tcPr>
            <w:tcW w:w="776" w:type="dxa"/>
            <w:noWrap w:val="0"/>
            <w:vAlign w:val="center"/>
          </w:tcPr>
          <w:p w14:paraId="163929C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106377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《规范》第五十八条</w:t>
            </w:r>
          </w:p>
        </w:tc>
      </w:tr>
      <w:tr w14:paraId="20949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restart"/>
            <w:noWrap w:val="0"/>
            <w:vAlign w:val="center"/>
          </w:tcPr>
          <w:p w14:paraId="25E328F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第八章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采购与原材料管理</w:t>
            </w:r>
          </w:p>
        </w:tc>
        <w:tc>
          <w:tcPr>
            <w:tcW w:w="708" w:type="dxa"/>
            <w:noWrap w:val="0"/>
            <w:vAlign w:val="center"/>
          </w:tcPr>
          <w:p w14:paraId="48A11B7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95</w:t>
            </w:r>
          </w:p>
        </w:tc>
        <w:tc>
          <w:tcPr>
            <w:tcW w:w="907" w:type="dxa"/>
            <w:noWrap w:val="0"/>
            <w:vAlign w:val="center"/>
          </w:tcPr>
          <w:p w14:paraId="2F837C3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8.1.1</w:t>
            </w:r>
          </w:p>
        </w:tc>
        <w:tc>
          <w:tcPr>
            <w:tcW w:w="4046" w:type="dxa"/>
            <w:noWrap w:val="0"/>
            <w:vAlign w:val="center"/>
          </w:tcPr>
          <w:p w14:paraId="4CBAFFD9">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企业应当建立采购控制程序，确保采购的原材料或者服务符合规定要求，且不低于法律、法规、规章和强制性标准相关要求。</w:t>
            </w:r>
          </w:p>
        </w:tc>
        <w:tc>
          <w:tcPr>
            <w:tcW w:w="776" w:type="dxa"/>
            <w:noWrap w:val="0"/>
            <w:vAlign w:val="center"/>
          </w:tcPr>
          <w:p w14:paraId="0D5C59E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63C974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《规范》第五十九条</w:t>
            </w:r>
          </w:p>
        </w:tc>
      </w:tr>
      <w:tr w14:paraId="1AA5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04F4948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C802F8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96</w:t>
            </w:r>
          </w:p>
        </w:tc>
        <w:tc>
          <w:tcPr>
            <w:tcW w:w="907" w:type="dxa"/>
            <w:noWrap w:val="0"/>
            <w:vAlign w:val="center"/>
          </w:tcPr>
          <w:p w14:paraId="019BCF1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8.2.1</w:t>
            </w:r>
          </w:p>
        </w:tc>
        <w:tc>
          <w:tcPr>
            <w:tcW w:w="4046" w:type="dxa"/>
            <w:noWrap w:val="0"/>
            <w:vAlign w:val="center"/>
          </w:tcPr>
          <w:p w14:paraId="607A94C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企业应当根据采购原材料或者服务对产品影响程度，对采购原材料或者服务以及供应商进行分类管理。</w:t>
            </w:r>
          </w:p>
        </w:tc>
        <w:tc>
          <w:tcPr>
            <w:tcW w:w="776" w:type="dxa"/>
            <w:noWrap w:val="0"/>
            <w:vAlign w:val="center"/>
          </w:tcPr>
          <w:p w14:paraId="7364937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50A2BC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《规范》第六十条</w:t>
            </w:r>
          </w:p>
        </w:tc>
      </w:tr>
      <w:tr w14:paraId="4037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16" w:type="dxa"/>
            <w:vMerge w:val="continue"/>
            <w:noWrap w:val="0"/>
            <w:vAlign w:val="center"/>
          </w:tcPr>
          <w:p w14:paraId="4B50C1B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7D8B72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97</w:t>
            </w:r>
          </w:p>
        </w:tc>
        <w:tc>
          <w:tcPr>
            <w:tcW w:w="907" w:type="dxa"/>
            <w:noWrap w:val="0"/>
            <w:vAlign w:val="center"/>
          </w:tcPr>
          <w:p w14:paraId="61968D0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8.2.2</w:t>
            </w:r>
          </w:p>
        </w:tc>
        <w:tc>
          <w:tcPr>
            <w:tcW w:w="4046" w:type="dxa"/>
            <w:noWrap w:val="0"/>
            <w:vAlign w:val="center"/>
          </w:tcPr>
          <w:p w14:paraId="71CD67A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供应商管理应当考虑采购原材料或者服务、生产工艺复杂程度、对产品质量安全影响程度、首次供应或者持续供应等因素。</w:t>
            </w:r>
          </w:p>
        </w:tc>
        <w:tc>
          <w:tcPr>
            <w:tcW w:w="776" w:type="dxa"/>
            <w:noWrap w:val="0"/>
            <w:vAlign w:val="center"/>
          </w:tcPr>
          <w:p w14:paraId="4D82D8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B7028A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《规范》第六十条</w:t>
            </w:r>
          </w:p>
        </w:tc>
      </w:tr>
      <w:tr w14:paraId="0BF7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5101D0B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291391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98</w:t>
            </w:r>
          </w:p>
        </w:tc>
        <w:tc>
          <w:tcPr>
            <w:tcW w:w="907" w:type="dxa"/>
            <w:noWrap w:val="0"/>
            <w:vAlign w:val="center"/>
          </w:tcPr>
          <w:p w14:paraId="29D4FCF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8.3.1</w:t>
            </w:r>
          </w:p>
        </w:tc>
        <w:tc>
          <w:tcPr>
            <w:tcW w:w="4046" w:type="dxa"/>
            <w:noWrap w:val="0"/>
            <w:vAlign w:val="center"/>
          </w:tcPr>
          <w:p w14:paraId="6A1A77FF">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企业应当建立供应商审核制度，明确供应商选择、评价和再评价准则和方法，根据审核评价结果建立合格供应商名单。</w:t>
            </w:r>
          </w:p>
        </w:tc>
        <w:tc>
          <w:tcPr>
            <w:tcW w:w="776" w:type="dxa"/>
            <w:noWrap w:val="0"/>
            <w:vAlign w:val="center"/>
          </w:tcPr>
          <w:p w14:paraId="5153E44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F41FEA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《规范》第六十一条</w:t>
            </w:r>
          </w:p>
        </w:tc>
      </w:tr>
      <w:tr w14:paraId="4A8D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7F23CA2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A1A974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99</w:t>
            </w:r>
          </w:p>
        </w:tc>
        <w:tc>
          <w:tcPr>
            <w:tcW w:w="907" w:type="dxa"/>
            <w:noWrap w:val="0"/>
            <w:vAlign w:val="center"/>
          </w:tcPr>
          <w:p w14:paraId="187A983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8.3.2</w:t>
            </w:r>
          </w:p>
        </w:tc>
        <w:tc>
          <w:tcPr>
            <w:tcW w:w="4046" w:type="dxa"/>
            <w:noWrap w:val="0"/>
            <w:vAlign w:val="center"/>
          </w:tcPr>
          <w:p w14:paraId="4D2B793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企业应当结合产品质量风险、原材料用量以及对产品质量影响程度，确定是否对供应商进行现场审核。</w:t>
            </w:r>
          </w:p>
        </w:tc>
        <w:tc>
          <w:tcPr>
            <w:tcW w:w="776" w:type="dxa"/>
            <w:noWrap w:val="0"/>
            <w:vAlign w:val="center"/>
          </w:tcPr>
          <w:p w14:paraId="5CEFC30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7A1154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《规范》第六十一条</w:t>
            </w:r>
          </w:p>
        </w:tc>
      </w:tr>
      <w:tr w14:paraId="5C51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38EABEA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9E04A7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100</w:t>
            </w:r>
          </w:p>
        </w:tc>
        <w:tc>
          <w:tcPr>
            <w:tcW w:w="907" w:type="dxa"/>
            <w:noWrap w:val="0"/>
            <w:vAlign w:val="center"/>
          </w:tcPr>
          <w:p w14:paraId="2646F6F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8.4.1</w:t>
            </w:r>
          </w:p>
        </w:tc>
        <w:tc>
          <w:tcPr>
            <w:tcW w:w="4046" w:type="dxa"/>
            <w:noWrap w:val="0"/>
            <w:vAlign w:val="center"/>
          </w:tcPr>
          <w:p w14:paraId="4C38C464">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企业应当对供应商定期进行综合评价，回顾分析其供应原材料或者服务的质量、技术水平、交付能力等。</w:t>
            </w:r>
          </w:p>
        </w:tc>
        <w:tc>
          <w:tcPr>
            <w:tcW w:w="776" w:type="dxa"/>
            <w:noWrap w:val="0"/>
            <w:vAlign w:val="center"/>
          </w:tcPr>
          <w:p w14:paraId="4146CAA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260248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《规范》第六十二条</w:t>
            </w:r>
          </w:p>
        </w:tc>
      </w:tr>
      <w:tr w14:paraId="1741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79444F0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B5D39B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w:t>
            </w:r>
          </w:p>
        </w:tc>
        <w:tc>
          <w:tcPr>
            <w:tcW w:w="907" w:type="dxa"/>
            <w:noWrap w:val="0"/>
            <w:vAlign w:val="center"/>
          </w:tcPr>
          <w:p w14:paraId="733125D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8.4.2</w:t>
            </w:r>
          </w:p>
        </w:tc>
        <w:tc>
          <w:tcPr>
            <w:tcW w:w="4046" w:type="dxa"/>
            <w:noWrap w:val="0"/>
            <w:vAlign w:val="center"/>
          </w:tcPr>
          <w:p w14:paraId="2263C11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经评估认为供应商存在重大缺陷的，企业应当中止采购，及时分析相关缺陷对产品带来的风险，必要时采取相应措施。</w:t>
            </w:r>
          </w:p>
        </w:tc>
        <w:tc>
          <w:tcPr>
            <w:tcW w:w="776" w:type="dxa"/>
            <w:noWrap w:val="0"/>
            <w:vAlign w:val="center"/>
          </w:tcPr>
          <w:p w14:paraId="0A9FAAA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50BFD1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《规范》第六十二条</w:t>
            </w:r>
          </w:p>
        </w:tc>
      </w:tr>
      <w:tr w14:paraId="6294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21C112FE">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F48752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102</w:t>
            </w:r>
          </w:p>
        </w:tc>
        <w:tc>
          <w:tcPr>
            <w:tcW w:w="907" w:type="dxa"/>
            <w:noWrap w:val="0"/>
            <w:vAlign w:val="center"/>
          </w:tcPr>
          <w:p w14:paraId="7B8B460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8.5.1</w:t>
            </w:r>
          </w:p>
        </w:tc>
        <w:tc>
          <w:tcPr>
            <w:tcW w:w="4046" w:type="dxa"/>
            <w:noWrap w:val="0"/>
            <w:vAlign w:val="center"/>
          </w:tcPr>
          <w:p w14:paraId="34D984D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企业应当与关键供应商签订质量协议，明确采购原材料或者服务的技术要求、验收标准和双方质量责任。</w:t>
            </w:r>
          </w:p>
        </w:tc>
        <w:tc>
          <w:tcPr>
            <w:tcW w:w="776" w:type="dxa"/>
            <w:noWrap w:val="0"/>
            <w:vAlign w:val="center"/>
          </w:tcPr>
          <w:p w14:paraId="79605CD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31B4C1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《规范》第六十三条</w:t>
            </w:r>
          </w:p>
        </w:tc>
      </w:tr>
      <w:tr w14:paraId="47C4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63EAAE7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248B38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103</w:t>
            </w:r>
          </w:p>
        </w:tc>
        <w:tc>
          <w:tcPr>
            <w:tcW w:w="907" w:type="dxa"/>
            <w:noWrap w:val="0"/>
            <w:vAlign w:val="center"/>
          </w:tcPr>
          <w:p w14:paraId="4AA1024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8.5.2</w:t>
            </w:r>
          </w:p>
        </w:tc>
        <w:tc>
          <w:tcPr>
            <w:tcW w:w="4046" w:type="dxa"/>
            <w:noWrap w:val="0"/>
            <w:vAlign w:val="center"/>
          </w:tcPr>
          <w:p w14:paraId="779A84EB">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企业应当建立关键供应商质量档案。</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档案至少包括：供应商资质证明文件、审核报告、采购合同或者质量协议、采购物品清单、产品技术要求或者质量标准、验收准则，供应商能力或者绩效监测、定期审核、评价和再评价结果以及由其引发的相关措施记录等。</w:t>
            </w:r>
          </w:p>
        </w:tc>
        <w:tc>
          <w:tcPr>
            <w:tcW w:w="776" w:type="dxa"/>
            <w:noWrap w:val="0"/>
            <w:vAlign w:val="center"/>
          </w:tcPr>
          <w:p w14:paraId="525E329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F000E8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《规范》第六十三条</w:t>
            </w:r>
          </w:p>
        </w:tc>
      </w:tr>
      <w:tr w14:paraId="2464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08EF648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5919F9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104</w:t>
            </w:r>
          </w:p>
        </w:tc>
        <w:tc>
          <w:tcPr>
            <w:tcW w:w="907" w:type="dxa"/>
            <w:noWrap w:val="0"/>
            <w:vAlign w:val="center"/>
          </w:tcPr>
          <w:p w14:paraId="29EF6D3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8.6.1</w:t>
            </w:r>
          </w:p>
        </w:tc>
        <w:tc>
          <w:tcPr>
            <w:tcW w:w="4046" w:type="dxa"/>
            <w:noWrap w:val="0"/>
            <w:vAlign w:val="center"/>
          </w:tcPr>
          <w:p w14:paraId="46B849C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企业应当明确采购信息和采购要求，包括采购原材料或者服务的类别、验收准则、规格型号、规程、图样等内容。</w:t>
            </w:r>
          </w:p>
        </w:tc>
        <w:tc>
          <w:tcPr>
            <w:tcW w:w="776" w:type="dxa"/>
            <w:noWrap w:val="0"/>
            <w:vAlign w:val="center"/>
          </w:tcPr>
          <w:p w14:paraId="243EB75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CAEF11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《规范》第六十四条</w:t>
            </w:r>
          </w:p>
        </w:tc>
      </w:tr>
      <w:tr w14:paraId="0CDC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3FAA640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11BEE2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105</w:t>
            </w:r>
          </w:p>
        </w:tc>
        <w:tc>
          <w:tcPr>
            <w:tcW w:w="907" w:type="dxa"/>
            <w:noWrap w:val="0"/>
            <w:vAlign w:val="center"/>
          </w:tcPr>
          <w:p w14:paraId="3FEC5C9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8.6.2</w:t>
            </w:r>
          </w:p>
        </w:tc>
        <w:tc>
          <w:tcPr>
            <w:tcW w:w="4046" w:type="dxa"/>
            <w:noWrap w:val="0"/>
            <w:vAlign w:val="center"/>
          </w:tcPr>
          <w:p w14:paraId="7EAC772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企业应当保留采购记录，包括采购合同、采购清单、检验报告等，采购记录应当真实、准确、完整和可追溯。</w:t>
            </w:r>
          </w:p>
        </w:tc>
        <w:tc>
          <w:tcPr>
            <w:tcW w:w="776" w:type="dxa"/>
            <w:noWrap w:val="0"/>
            <w:vAlign w:val="center"/>
          </w:tcPr>
          <w:p w14:paraId="4C60D6E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4E9ED6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《规范》第六十四条</w:t>
            </w:r>
          </w:p>
        </w:tc>
      </w:tr>
      <w:tr w14:paraId="6201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trPr>
        <w:tc>
          <w:tcPr>
            <w:tcW w:w="1116" w:type="dxa"/>
            <w:vMerge w:val="continue"/>
            <w:noWrap w:val="0"/>
            <w:vAlign w:val="center"/>
          </w:tcPr>
          <w:p w14:paraId="2913F91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D314CC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106</w:t>
            </w:r>
          </w:p>
        </w:tc>
        <w:tc>
          <w:tcPr>
            <w:tcW w:w="907" w:type="dxa"/>
            <w:noWrap w:val="0"/>
            <w:vAlign w:val="center"/>
          </w:tcPr>
          <w:p w14:paraId="3F2102C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8.7.1</w:t>
            </w:r>
          </w:p>
        </w:tc>
        <w:tc>
          <w:tcPr>
            <w:tcW w:w="4046" w:type="dxa"/>
            <w:noWrap w:val="0"/>
            <w:vAlign w:val="center"/>
          </w:tcPr>
          <w:p w14:paraId="5CA6F7B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原材料进货验收制度，对采购的原材料进行检查、检验或者验证，确保满足要求后方可入库。外购的标准品、校准品、质控品、生产用或质控用血液的采购应满足可追溯要求。应当由企业或提供机构测定病原微生物及明确定值范围</w:t>
            </w:r>
            <w:r>
              <w:rPr>
                <w:rFonts w:ascii="Times New Roman" w:hAnsi="Times New Roman" w:eastAsia="仿宋_GB2312" w:cs="Times New Roman"/>
                <w:kern w:val="0"/>
                <w:szCs w:val="21"/>
                <w:lang w:val="en" w:bidi="ar"/>
              </w:rPr>
              <w:t>，</w:t>
            </w:r>
            <w:r>
              <w:rPr>
                <w:rFonts w:ascii="Times New Roman" w:hAnsi="Times New Roman" w:eastAsia="仿宋_GB2312" w:cs="Times New Roman"/>
                <w:kern w:val="0"/>
                <w:szCs w:val="21"/>
                <w:lang w:bidi="ar"/>
              </w:rPr>
              <w:t>应当对其来源地、定值范围、灭活状态、数量、保存、使用状态等信息有明确记录，并由专人负责。</w:t>
            </w:r>
          </w:p>
        </w:tc>
        <w:tc>
          <w:tcPr>
            <w:tcW w:w="776" w:type="dxa"/>
            <w:noWrap w:val="0"/>
            <w:vAlign w:val="center"/>
          </w:tcPr>
          <w:p w14:paraId="2141C3D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4B7C4F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w:t>
            </w:r>
            <w:r>
              <w:rPr>
                <w:rStyle w:val="6"/>
                <w:rFonts w:hint="default" w:ascii="Times New Roman" w:hAnsi="Times New Roman" w:eastAsia="仿宋_GB2312" w:cs="Times New Roman"/>
                <w:color w:val="auto"/>
                <w:sz w:val="21"/>
                <w:szCs w:val="21"/>
                <w:lang w:bidi="ar"/>
              </w:rPr>
              <w:t>第六十五条</w:t>
            </w:r>
            <w:r>
              <w:rPr>
                <w:rStyle w:val="6"/>
                <w:rFonts w:hint="default" w:ascii="Times New Roman" w:hAnsi="Times New Roman" w:eastAsia="仿宋_GB2312" w:cs="Times New Roman"/>
                <w:color w:val="auto"/>
                <w:sz w:val="21"/>
                <w:szCs w:val="21"/>
                <w:lang w:val="en" w:bidi="ar"/>
              </w:rPr>
              <w:t>，</w:t>
            </w:r>
            <w:r>
              <w:rPr>
                <w:rStyle w:val="5"/>
                <w:rFonts w:hint="default" w:ascii="Times New Roman" w:hAnsi="Times New Roman" w:eastAsia="仿宋_GB2312" w:cs="Times New Roman"/>
                <w:color w:val="auto"/>
                <w:sz w:val="21"/>
                <w:szCs w:val="21"/>
                <w:lang w:val="en" w:bidi="ar"/>
              </w:rPr>
              <w:t>《体外诊断试剂附录》</w:t>
            </w:r>
            <w:r>
              <w:rPr>
                <w:rStyle w:val="5"/>
                <w:rFonts w:hint="default" w:ascii="Times New Roman" w:hAnsi="Times New Roman" w:eastAsia="仿宋_GB2312" w:cs="Times New Roman"/>
                <w:color w:val="auto"/>
                <w:sz w:val="21"/>
                <w:szCs w:val="21"/>
                <w:lang w:bidi="ar"/>
              </w:rPr>
              <w:t>2.5.1</w:t>
            </w:r>
          </w:p>
        </w:tc>
      </w:tr>
      <w:tr w14:paraId="2CF4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1116" w:type="dxa"/>
            <w:vMerge w:val="continue"/>
            <w:noWrap w:val="0"/>
            <w:vAlign w:val="center"/>
          </w:tcPr>
          <w:p w14:paraId="0EEA012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EBB867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107</w:t>
            </w:r>
          </w:p>
        </w:tc>
        <w:tc>
          <w:tcPr>
            <w:tcW w:w="907" w:type="dxa"/>
            <w:noWrap w:val="0"/>
            <w:vAlign w:val="center"/>
          </w:tcPr>
          <w:p w14:paraId="22A6C82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8.7.2</w:t>
            </w:r>
          </w:p>
        </w:tc>
        <w:tc>
          <w:tcPr>
            <w:tcW w:w="4046" w:type="dxa"/>
            <w:noWrap w:val="0"/>
            <w:vAlign w:val="center"/>
          </w:tcPr>
          <w:p w14:paraId="2D1AAC62">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验收取样应当遵循抽样规则并在相应环境下进行。</w:t>
            </w:r>
          </w:p>
        </w:tc>
        <w:tc>
          <w:tcPr>
            <w:tcW w:w="776" w:type="dxa"/>
            <w:noWrap w:val="0"/>
            <w:vAlign w:val="center"/>
          </w:tcPr>
          <w:p w14:paraId="65E9C8B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A479A6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《规范》第六十五条</w:t>
            </w:r>
          </w:p>
        </w:tc>
      </w:tr>
      <w:tr w14:paraId="2FC2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4CA4D14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C72241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108</w:t>
            </w:r>
          </w:p>
        </w:tc>
        <w:tc>
          <w:tcPr>
            <w:tcW w:w="907" w:type="dxa"/>
            <w:noWrap w:val="0"/>
            <w:vAlign w:val="center"/>
          </w:tcPr>
          <w:p w14:paraId="4F17875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8.8.1</w:t>
            </w:r>
          </w:p>
        </w:tc>
        <w:tc>
          <w:tcPr>
            <w:tcW w:w="4046" w:type="dxa"/>
            <w:noWrap w:val="0"/>
            <w:vAlign w:val="center"/>
          </w:tcPr>
          <w:p w14:paraId="46C0162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企业应当建立仓储管理制度，确保原材料、中间产品以及成品等能够正确贮存、发放、使用和运输，防止污染、交叉污染、混淆和差错。相关活动应当保留记录。</w:t>
            </w:r>
          </w:p>
        </w:tc>
        <w:tc>
          <w:tcPr>
            <w:tcW w:w="776" w:type="dxa"/>
            <w:noWrap w:val="0"/>
            <w:vAlign w:val="center"/>
          </w:tcPr>
          <w:p w14:paraId="39DD937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3A32E1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《规范》第六十六条</w:t>
            </w:r>
          </w:p>
        </w:tc>
      </w:tr>
      <w:tr w14:paraId="5A1A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1116" w:type="dxa"/>
            <w:vMerge w:val="continue"/>
            <w:noWrap w:val="0"/>
            <w:vAlign w:val="center"/>
          </w:tcPr>
          <w:p w14:paraId="11E3BF3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1C89A1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109</w:t>
            </w:r>
          </w:p>
        </w:tc>
        <w:tc>
          <w:tcPr>
            <w:tcW w:w="907" w:type="dxa"/>
            <w:noWrap w:val="0"/>
            <w:vAlign w:val="center"/>
          </w:tcPr>
          <w:p w14:paraId="16FDB21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8.9.1</w:t>
            </w:r>
          </w:p>
        </w:tc>
        <w:tc>
          <w:tcPr>
            <w:tcW w:w="4046" w:type="dxa"/>
            <w:noWrap w:val="0"/>
            <w:vAlign w:val="center"/>
          </w:tcPr>
          <w:p w14:paraId="293FA73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企业应当按照原材料的性状和储存要求进行分类存放管理，并明确原材料的储存条件和期限。无有效期规定的，企业应当根据原材料的稳定性数据确定贮存期。原材料的发放和使用应当遵循先进先出原则。</w:t>
            </w:r>
          </w:p>
        </w:tc>
        <w:tc>
          <w:tcPr>
            <w:tcW w:w="776" w:type="dxa"/>
            <w:noWrap w:val="0"/>
            <w:vAlign w:val="center"/>
          </w:tcPr>
          <w:p w14:paraId="74FB4A5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EC567A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《规范》第六十七条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2.6.3</w:t>
            </w:r>
          </w:p>
        </w:tc>
      </w:tr>
      <w:tr w14:paraId="7A76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116" w:type="dxa"/>
            <w:vMerge w:val="continue"/>
            <w:noWrap w:val="0"/>
            <w:vAlign w:val="center"/>
          </w:tcPr>
          <w:p w14:paraId="78F3B09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B58697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110</w:t>
            </w:r>
          </w:p>
        </w:tc>
        <w:tc>
          <w:tcPr>
            <w:tcW w:w="907" w:type="dxa"/>
            <w:noWrap w:val="0"/>
            <w:vAlign w:val="center"/>
          </w:tcPr>
          <w:p w14:paraId="3EA45D0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8.9.2</w:t>
            </w:r>
          </w:p>
        </w:tc>
        <w:tc>
          <w:tcPr>
            <w:tcW w:w="4046" w:type="dxa"/>
            <w:noWrap w:val="0"/>
            <w:vAlign w:val="center"/>
          </w:tcPr>
          <w:p w14:paraId="4BF3E6FB">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原材料超过贮存期或储存条件发生变化且可能影响产品质量的，应当进行复验，经评估符合规定后方可使用。超过有效期的原材料，应当按照不合格品处理。</w:t>
            </w:r>
          </w:p>
        </w:tc>
        <w:tc>
          <w:tcPr>
            <w:tcW w:w="776" w:type="dxa"/>
            <w:noWrap w:val="0"/>
            <w:vAlign w:val="center"/>
          </w:tcPr>
          <w:p w14:paraId="5D5D3DF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460C86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《规范》第六十七条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2.6.3</w:t>
            </w:r>
          </w:p>
        </w:tc>
      </w:tr>
      <w:tr w14:paraId="328A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0776242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ED24C5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w:t>
            </w:r>
          </w:p>
        </w:tc>
        <w:tc>
          <w:tcPr>
            <w:tcW w:w="907" w:type="dxa"/>
            <w:noWrap w:val="0"/>
            <w:vAlign w:val="center"/>
          </w:tcPr>
          <w:p w14:paraId="069518D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8.10.1</w:t>
            </w:r>
          </w:p>
        </w:tc>
        <w:tc>
          <w:tcPr>
            <w:tcW w:w="4046" w:type="dxa"/>
            <w:noWrap w:val="0"/>
            <w:vAlign w:val="center"/>
          </w:tcPr>
          <w:p w14:paraId="3E86E009">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企业应当要求供应商提前告知关键原材料生产条件、规格型号、图样、生产工艺、质量标准和检验方法等发生的变更。</w:t>
            </w:r>
          </w:p>
        </w:tc>
        <w:tc>
          <w:tcPr>
            <w:tcW w:w="776" w:type="dxa"/>
            <w:noWrap w:val="0"/>
            <w:vAlign w:val="center"/>
          </w:tcPr>
          <w:p w14:paraId="3739D39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F904AE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《规范》第六十八条</w:t>
            </w:r>
          </w:p>
        </w:tc>
      </w:tr>
      <w:tr w14:paraId="7C11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4D42920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02F6A4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112</w:t>
            </w:r>
          </w:p>
        </w:tc>
        <w:tc>
          <w:tcPr>
            <w:tcW w:w="907" w:type="dxa"/>
            <w:noWrap w:val="0"/>
            <w:vAlign w:val="center"/>
          </w:tcPr>
          <w:p w14:paraId="067BAAA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8.10.2</w:t>
            </w:r>
          </w:p>
        </w:tc>
        <w:tc>
          <w:tcPr>
            <w:tcW w:w="4046" w:type="dxa"/>
            <w:noWrap w:val="0"/>
            <w:vAlign w:val="center"/>
          </w:tcPr>
          <w:p w14:paraId="2BB8641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企业应当评估变更对产品质量影响的范围和程度，必要时采取措施并对供应商进行现场审核。</w:t>
            </w:r>
          </w:p>
        </w:tc>
        <w:tc>
          <w:tcPr>
            <w:tcW w:w="776" w:type="dxa"/>
            <w:noWrap w:val="0"/>
            <w:vAlign w:val="center"/>
          </w:tcPr>
          <w:p w14:paraId="74C4BC3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7EBEBF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《规范》第六十八条</w:t>
            </w:r>
          </w:p>
        </w:tc>
      </w:tr>
      <w:tr w14:paraId="0DB6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restart"/>
            <w:noWrap w:val="0"/>
            <w:vAlign w:val="center"/>
          </w:tcPr>
          <w:p w14:paraId="40ADF78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第九章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验证与确认</w:t>
            </w:r>
          </w:p>
        </w:tc>
        <w:tc>
          <w:tcPr>
            <w:tcW w:w="708" w:type="dxa"/>
            <w:noWrap w:val="0"/>
            <w:vAlign w:val="center"/>
          </w:tcPr>
          <w:p w14:paraId="4DF79E6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113</w:t>
            </w:r>
          </w:p>
        </w:tc>
        <w:tc>
          <w:tcPr>
            <w:tcW w:w="907" w:type="dxa"/>
            <w:noWrap w:val="0"/>
            <w:vAlign w:val="center"/>
          </w:tcPr>
          <w:p w14:paraId="0BFA0AB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9.1.1</w:t>
            </w:r>
          </w:p>
        </w:tc>
        <w:tc>
          <w:tcPr>
            <w:tcW w:w="4046" w:type="dxa"/>
            <w:noWrap w:val="0"/>
            <w:vAlign w:val="center"/>
          </w:tcPr>
          <w:p w14:paraId="369B7FF8">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企业应当基于风险评估确定验证或者确认的范围和程度，以证明相关设施设备、操作以及产品实现过程中的关键要素得到有效控制。</w:t>
            </w:r>
          </w:p>
        </w:tc>
        <w:tc>
          <w:tcPr>
            <w:tcW w:w="776" w:type="dxa"/>
            <w:noWrap w:val="0"/>
            <w:vAlign w:val="center"/>
          </w:tcPr>
          <w:p w14:paraId="29631AA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7DA453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《规范》第六十九条</w:t>
            </w:r>
          </w:p>
        </w:tc>
      </w:tr>
      <w:tr w14:paraId="465E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116" w:type="dxa"/>
            <w:vMerge w:val="continue"/>
            <w:noWrap w:val="0"/>
            <w:vAlign w:val="center"/>
          </w:tcPr>
          <w:p w14:paraId="15D1EF7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58842A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114</w:t>
            </w:r>
          </w:p>
        </w:tc>
        <w:tc>
          <w:tcPr>
            <w:tcW w:w="907" w:type="dxa"/>
            <w:noWrap w:val="0"/>
            <w:vAlign w:val="center"/>
          </w:tcPr>
          <w:p w14:paraId="5A6F34D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9.2.1</w:t>
            </w:r>
          </w:p>
        </w:tc>
        <w:tc>
          <w:tcPr>
            <w:tcW w:w="4046" w:type="dxa"/>
            <w:noWrap w:val="0"/>
            <w:vAlign w:val="center"/>
          </w:tcPr>
          <w:p w14:paraId="4773B44F">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厂房、设施以及主要设备应当经过确认。企业应当采用经过验证或者确认的生产工艺、操作规程和检验方法进行生产和检验，确保在验证或者确认过的状态下开展相关活动。</w:t>
            </w:r>
          </w:p>
        </w:tc>
        <w:tc>
          <w:tcPr>
            <w:tcW w:w="776" w:type="dxa"/>
            <w:noWrap w:val="0"/>
            <w:vAlign w:val="center"/>
          </w:tcPr>
          <w:p w14:paraId="7F9A07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021A9A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《规范》第七十条</w:t>
            </w:r>
          </w:p>
        </w:tc>
      </w:tr>
      <w:tr w14:paraId="6383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continue"/>
            <w:noWrap w:val="0"/>
            <w:vAlign w:val="center"/>
          </w:tcPr>
          <w:p w14:paraId="5F44C32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94BAD3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115</w:t>
            </w:r>
          </w:p>
        </w:tc>
        <w:tc>
          <w:tcPr>
            <w:tcW w:w="907" w:type="dxa"/>
            <w:noWrap w:val="0"/>
            <w:vAlign w:val="center"/>
          </w:tcPr>
          <w:p w14:paraId="292B848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9.3.1</w:t>
            </w:r>
          </w:p>
        </w:tc>
        <w:tc>
          <w:tcPr>
            <w:tcW w:w="4046" w:type="dxa"/>
            <w:noWrap w:val="0"/>
            <w:vAlign w:val="center"/>
          </w:tcPr>
          <w:p w14:paraId="14C7557B">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776" w:type="dxa"/>
            <w:noWrap w:val="0"/>
            <w:vAlign w:val="center"/>
          </w:tcPr>
          <w:p w14:paraId="0938E93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29B30B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《规范》第七十一条</w:t>
            </w:r>
          </w:p>
        </w:tc>
      </w:tr>
      <w:tr w14:paraId="30F9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116" w:type="dxa"/>
            <w:vMerge w:val="continue"/>
            <w:noWrap w:val="0"/>
            <w:vAlign w:val="center"/>
          </w:tcPr>
          <w:p w14:paraId="5BC8A19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ABDD43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116</w:t>
            </w:r>
          </w:p>
        </w:tc>
        <w:tc>
          <w:tcPr>
            <w:tcW w:w="907" w:type="dxa"/>
            <w:noWrap w:val="0"/>
            <w:vAlign w:val="center"/>
          </w:tcPr>
          <w:p w14:paraId="1E747EF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9.4.1</w:t>
            </w:r>
          </w:p>
        </w:tc>
        <w:tc>
          <w:tcPr>
            <w:tcW w:w="4046" w:type="dxa"/>
            <w:noWrap w:val="0"/>
            <w:vAlign w:val="center"/>
          </w:tcPr>
          <w:p w14:paraId="66838C3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工艺验证或者确认应当证明生产过程按照规定的工艺参数能够持续生产出符合强制性标准、产品技术要求和预期用途的产品。</w:t>
            </w:r>
          </w:p>
        </w:tc>
        <w:tc>
          <w:tcPr>
            <w:tcW w:w="776" w:type="dxa"/>
            <w:noWrap w:val="0"/>
            <w:vAlign w:val="center"/>
          </w:tcPr>
          <w:p w14:paraId="020A1C1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A6C412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《规范》第七十二条</w:t>
            </w:r>
          </w:p>
        </w:tc>
      </w:tr>
      <w:tr w14:paraId="673F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116" w:type="dxa"/>
            <w:vMerge w:val="continue"/>
            <w:noWrap w:val="0"/>
            <w:vAlign w:val="center"/>
          </w:tcPr>
          <w:p w14:paraId="49388EF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61FEC4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117</w:t>
            </w:r>
          </w:p>
        </w:tc>
        <w:tc>
          <w:tcPr>
            <w:tcW w:w="907" w:type="dxa"/>
            <w:noWrap w:val="0"/>
            <w:vAlign w:val="center"/>
          </w:tcPr>
          <w:p w14:paraId="6CF8CD4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9.4.2</w:t>
            </w:r>
          </w:p>
        </w:tc>
        <w:tc>
          <w:tcPr>
            <w:tcW w:w="4046" w:type="dxa"/>
            <w:noWrap w:val="0"/>
            <w:vAlign w:val="center"/>
          </w:tcPr>
          <w:p w14:paraId="01F5BC0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特殊过程应当经过确认，关键工序应当经过验证。</w:t>
            </w:r>
          </w:p>
        </w:tc>
        <w:tc>
          <w:tcPr>
            <w:tcW w:w="776" w:type="dxa"/>
            <w:noWrap w:val="0"/>
            <w:vAlign w:val="center"/>
          </w:tcPr>
          <w:p w14:paraId="3D21AFE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5B0BA7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《规范》第七十二条</w:t>
            </w:r>
          </w:p>
        </w:tc>
      </w:tr>
      <w:tr w14:paraId="30EE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16" w:type="dxa"/>
            <w:vMerge w:val="continue"/>
            <w:noWrap w:val="0"/>
            <w:vAlign w:val="center"/>
          </w:tcPr>
          <w:p w14:paraId="6127822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1BFB3A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118</w:t>
            </w:r>
          </w:p>
        </w:tc>
        <w:tc>
          <w:tcPr>
            <w:tcW w:w="907" w:type="dxa"/>
            <w:noWrap w:val="0"/>
            <w:vAlign w:val="center"/>
          </w:tcPr>
          <w:p w14:paraId="4709658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9.5.1</w:t>
            </w:r>
          </w:p>
        </w:tc>
        <w:tc>
          <w:tcPr>
            <w:tcW w:w="4046" w:type="dxa"/>
            <w:noWrap w:val="0"/>
            <w:vAlign w:val="center"/>
          </w:tcPr>
          <w:p w14:paraId="2D3A6BA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企业应当结合产品特性、工艺特点以及设备设施使用情况等对清洁方法实施验证，证实其清洁效果，有效防止污染和交叉污染。</w:t>
            </w:r>
          </w:p>
        </w:tc>
        <w:tc>
          <w:tcPr>
            <w:tcW w:w="776" w:type="dxa"/>
            <w:noWrap w:val="0"/>
            <w:vAlign w:val="center"/>
          </w:tcPr>
          <w:p w14:paraId="5F491D1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52C376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《规范》第七十三条</w:t>
            </w:r>
          </w:p>
        </w:tc>
      </w:tr>
      <w:tr w14:paraId="2181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116" w:type="dxa"/>
            <w:vMerge w:val="continue"/>
            <w:noWrap w:val="0"/>
            <w:vAlign w:val="center"/>
          </w:tcPr>
          <w:p w14:paraId="6781926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4B670E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119</w:t>
            </w:r>
          </w:p>
        </w:tc>
        <w:tc>
          <w:tcPr>
            <w:tcW w:w="907" w:type="dxa"/>
            <w:noWrap w:val="0"/>
            <w:vAlign w:val="center"/>
          </w:tcPr>
          <w:p w14:paraId="6C66DD0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9.6.1</w:t>
            </w:r>
          </w:p>
        </w:tc>
        <w:tc>
          <w:tcPr>
            <w:tcW w:w="4046" w:type="dxa"/>
            <w:noWrap w:val="0"/>
            <w:vAlign w:val="center"/>
          </w:tcPr>
          <w:p w14:paraId="6E044438">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关键原材料、生产环境、生产工艺、主要生产和检验设备、检验方法等影响产品质量的主要因素发生变更时，企业应当进行验证或者确认。需要进行注册变更、备案变更或者生产事项变更报告的，企业应当按照相关要求完成。</w:t>
            </w:r>
          </w:p>
        </w:tc>
        <w:tc>
          <w:tcPr>
            <w:tcW w:w="776" w:type="dxa"/>
            <w:noWrap w:val="0"/>
            <w:vAlign w:val="center"/>
          </w:tcPr>
          <w:p w14:paraId="0786EC3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BA6C4B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《规范》第七十四条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2.6.13</w:t>
            </w:r>
          </w:p>
        </w:tc>
      </w:tr>
      <w:tr w14:paraId="2417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continue"/>
            <w:noWrap w:val="0"/>
            <w:vAlign w:val="center"/>
          </w:tcPr>
          <w:p w14:paraId="103CA22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56D4D6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120</w:t>
            </w:r>
          </w:p>
        </w:tc>
        <w:tc>
          <w:tcPr>
            <w:tcW w:w="907" w:type="dxa"/>
            <w:noWrap w:val="0"/>
            <w:vAlign w:val="center"/>
          </w:tcPr>
          <w:p w14:paraId="498D01D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9.7.1</w:t>
            </w:r>
          </w:p>
        </w:tc>
        <w:tc>
          <w:tcPr>
            <w:tcW w:w="4046" w:type="dxa"/>
            <w:noWrap w:val="0"/>
            <w:vAlign w:val="center"/>
          </w:tcPr>
          <w:p w14:paraId="7E4DDF01">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首次验证或者确认后，企业应当根据产品质量回顾分析情况对生产工艺、设备设施等进行再验证或者再确认，确保其能够达到预期结果。企业应当根据不同产品特性提出验证的时间。</w:t>
            </w:r>
          </w:p>
        </w:tc>
        <w:tc>
          <w:tcPr>
            <w:tcW w:w="776" w:type="dxa"/>
            <w:noWrap w:val="0"/>
            <w:vAlign w:val="center"/>
          </w:tcPr>
          <w:p w14:paraId="6975F90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FE5F49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《规范》第七十五条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2.6.13</w:t>
            </w:r>
          </w:p>
        </w:tc>
      </w:tr>
      <w:tr w14:paraId="5CCD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116" w:type="dxa"/>
            <w:vMerge w:val="continue"/>
            <w:noWrap w:val="0"/>
            <w:vAlign w:val="center"/>
          </w:tcPr>
          <w:p w14:paraId="62BAB23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252883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121</w:t>
            </w:r>
          </w:p>
        </w:tc>
        <w:tc>
          <w:tcPr>
            <w:tcW w:w="907" w:type="dxa"/>
            <w:noWrap w:val="0"/>
            <w:vAlign w:val="center"/>
          </w:tcPr>
          <w:p w14:paraId="73478B3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9.7.2</w:t>
            </w:r>
          </w:p>
        </w:tc>
        <w:tc>
          <w:tcPr>
            <w:tcW w:w="4046" w:type="dxa"/>
            <w:noWrap w:val="0"/>
            <w:vAlign w:val="center"/>
          </w:tcPr>
          <w:p w14:paraId="790C484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使用历史数据开展回顾性验证或者确认的，企业应当确保所使用数据适当且充分。</w:t>
            </w:r>
          </w:p>
        </w:tc>
        <w:tc>
          <w:tcPr>
            <w:tcW w:w="776" w:type="dxa"/>
            <w:noWrap w:val="0"/>
            <w:vAlign w:val="center"/>
          </w:tcPr>
          <w:p w14:paraId="053F900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505A0D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《规范》第七十五条</w:t>
            </w:r>
          </w:p>
        </w:tc>
      </w:tr>
      <w:tr w14:paraId="0559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continue"/>
            <w:noWrap w:val="0"/>
            <w:vAlign w:val="center"/>
          </w:tcPr>
          <w:p w14:paraId="05BC7D2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D83DE0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122</w:t>
            </w:r>
          </w:p>
        </w:tc>
        <w:tc>
          <w:tcPr>
            <w:tcW w:w="907" w:type="dxa"/>
            <w:noWrap w:val="0"/>
            <w:vAlign w:val="center"/>
          </w:tcPr>
          <w:p w14:paraId="5CAD262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9.8.1</w:t>
            </w:r>
          </w:p>
        </w:tc>
        <w:tc>
          <w:tcPr>
            <w:tcW w:w="4046" w:type="dxa"/>
            <w:noWrap w:val="0"/>
            <w:vAlign w:val="center"/>
          </w:tcPr>
          <w:p w14:paraId="2A6B8E1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企业应当制定验证或者确认计划，并根据验证或者确认对象制定方案。方案应当经过审核和批准，至少包括：验证或者确认对象、部门和人员职责、实施环境、方法、取样要求、接收准则等。</w:t>
            </w:r>
          </w:p>
        </w:tc>
        <w:tc>
          <w:tcPr>
            <w:tcW w:w="776" w:type="dxa"/>
            <w:noWrap w:val="0"/>
            <w:vAlign w:val="center"/>
          </w:tcPr>
          <w:p w14:paraId="013F46F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693296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《规范》第七十六条</w:t>
            </w:r>
          </w:p>
        </w:tc>
      </w:tr>
      <w:tr w14:paraId="0BC0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116" w:type="dxa"/>
            <w:vMerge w:val="continue"/>
            <w:noWrap w:val="0"/>
            <w:vAlign w:val="center"/>
          </w:tcPr>
          <w:p w14:paraId="7B4CE8D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07A764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123</w:t>
            </w:r>
          </w:p>
        </w:tc>
        <w:tc>
          <w:tcPr>
            <w:tcW w:w="907" w:type="dxa"/>
            <w:noWrap w:val="0"/>
            <w:vAlign w:val="center"/>
          </w:tcPr>
          <w:p w14:paraId="2734FE6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9.8.2</w:t>
            </w:r>
          </w:p>
        </w:tc>
        <w:tc>
          <w:tcPr>
            <w:tcW w:w="4046" w:type="dxa"/>
            <w:noWrap w:val="0"/>
            <w:vAlign w:val="center"/>
          </w:tcPr>
          <w:p w14:paraId="397281A3">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企业应当按照方案实施验证或者确认，形成报告并保留相关记录。</w:t>
            </w:r>
          </w:p>
        </w:tc>
        <w:tc>
          <w:tcPr>
            <w:tcW w:w="776" w:type="dxa"/>
            <w:noWrap w:val="0"/>
            <w:vAlign w:val="center"/>
          </w:tcPr>
          <w:p w14:paraId="6980E58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B615D4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《规范》第七十六条</w:t>
            </w:r>
          </w:p>
        </w:tc>
      </w:tr>
      <w:tr w14:paraId="7227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116" w:type="dxa"/>
            <w:vMerge w:val="continue"/>
            <w:noWrap w:val="0"/>
            <w:vAlign w:val="center"/>
          </w:tcPr>
          <w:p w14:paraId="5E3295D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03CFD1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124</w:t>
            </w:r>
          </w:p>
        </w:tc>
        <w:tc>
          <w:tcPr>
            <w:tcW w:w="907" w:type="dxa"/>
            <w:noWrap w:val="0"/>
            <w:vAlign w:val="center"/>
          </w:tcPr>
          <w:p w14:paraId="34E4753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9.9.1</w:t>
            </w:r>
          </w:p>
        </w:tc>
        <w:tc>
          <w:tcPr>
            <w:tcW w:w="4046" w:type="dxa"/>
            <w:noWrap w:val="0"/>
            <w:vAlign w:val="center"/>
          </w:tcPr>
          <w:p w14:paraId="4D02FE94">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776" w:type="dxa"/>
            <w:noWrap w:val="0"/>
            <w:vAlign w:val="center"/>
          </w:tcPr>
          <w:p w14:paraId="496D4AA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2C29D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《规范》第七十七条</w:t>
            </w:r>
          </w:p>
        </w:tc>
      </w:tr>
      <w:tr w14:paraId="3086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116" w:type="dxa"/>
            <w:vMerge w:val="restart"/>
            <w:noWrap w:val="0"/>
            <w:vAlign w:val="center"/>
          </w:tcPr>
          <w:p w14:paraId="58C7E36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第十章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生产管理</w:t>
            </w:r>
          </w:p>
        </w:tc>
        <w:tc>
          <w:tcPr>
            <w:tcW w:w="708" w:type="dxa"/>
            <w:noWrap w:val="0"/>
            <w:vAlign w:val="center"/>
          </w:tcPr>
          <w:p w14:paraId="273C222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125</w:t>
            </w:r>
          </w:p>
        </w:tc>
        <w:tc>
          <w:tcPr>
            <w:tcW w:w="907" w:type="dxa"/>
            <w:noWrap w:val="0"/>
            <w:vAlign w:val="center"/>
          </w:tcPr>
          <w:p w14:paraId="351158B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10.1.1</w:t>
            </w:r>
          </w:p>
        </w:tc>
        <w:tc>
          <w:tcPr>
            <w:tcW w:w="4046" w:type="dxa"/>
            <w:noWrap w:val="0"/>
            <w:vAlign w:val="center"/>
          </w:tcPr>
          <w:p w14:paraId="67F78B73">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企业应当建立生产过程控制程序，明确操作人员、生产设备、原材料和中间产品、生产工艺和操作规程、生产环境、过程检验或者监控等要求，并按照要求组织生产。</w:t>
            </w:r>
          </w:p>
        </w:tc>
        <w:tc>
          <w:tcPr>
            <w:tcW w:w="776" w:type="dxa"/>
            <w:noWrap w:val="0"/>
            <w:vAlign w:val="center"/>
          </w:tcPr>
          <w:p w14:paraId="54B05DD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A9413F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《规范》第七十八条</w:t>
            </w:r>
          </w:p>
        </w:tc>
      </w:tr>
      <w:tr w14:paraId="0DBB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1116" w:type="dxa"/>
            <w:vMerge w:val="continue"/>
            <w:noWrap w:val="0"/>
            <w:vAlign w:val="center"/>
          </w:tcPr>
          <w:p w14:paraId="6FD10E8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4555E4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126</w:t>
            </w:r>
          </w:p>
        </w:tc>
        <w:tc>
          <w:tcPr>
            <w:tcW w:w="907" w:type="dxa"/>
            <w:noWrap w:val="0"/>
            <w:vAlign w:val="center"/>
          </w:tcPr>
          <w:p w14:paraId="4A4F4CD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10.1.2</w:t>
            </w:r>
          </w:p>
        </w:tc>
        <w:tc>
          <w:tcPr>
            <w:tcW w:w="4046" w:type="dxa"/>
            <w:noWrap w:val="0"/>
            <w:vAlign w:val="center"/>
          </w:tcPr>
          <w:p w14:paraId="59ACB78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企业应当制定洁净室（区）的卫生管理文件。按照规定对洁净室（区）进行清洁处理和消毒，并作好记录。</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（一）所用的消毒剂或消毒方法不得对设备、容器具、原材料和产品造成污染。消毒剂品种应当定期更换，防止产生耐药菌株</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（二）生产设备所用的润滑剂、清洗剂均不得对产品造成污染。</w:t>
            </w:r>
          </w:p>
        </w:tc>
        <w:tc>
          <w:tcPr>
            <w:tcW w:w="776" w:type="dxa"/>
            <w:noWrap w:val="0"/>
            <w:vAlign w:val="center"/>
          </w:tcPr>
          <w:p w14:paraId="5BBA232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AE7A27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2.6.9、2.6.10</w:t>
            </w:r>
          </w:p>
        </w:tc>
      </w:tr>
      <w:tr w14:paraId="66B5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1116" w:type="dxa"/>
            <w:vMerge w:val="continue"/>
            <w:noWrap w:val="0"/>
            <w:vAlign w:val="center"/>
          </w:tcPr>
          <w:p w14:paraId="19DBAE2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A73AB8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127</w:t>
            </w:r>
          </w:p>
        </w:tc>
        <w:tc>
          <w:tcPr>
            <w:tcW w:w="907" w:type="dxa"/>
            <w:noWrap w:val="0"/>
            <w:vAlign w:val="center"/>
          </w:tcPr>
          <w:p w14:paraId="67A7F33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10.1.3</w:t>
            </w:r>
          </w:p>
        </w:tc>
        <w:tc>
          <w:tcPr>
            <w:tcW w:w="4046" w:type="dxa"/>
            <w:noWrap w:val="0"/>
            <w:vAlign w:val="center"/>
          </w:tcPr>
          <w:p w14:paraId="2E19701F">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对人员的清洁要求，制定洁净室（区）工作人员卫生守则。人员进入洁净室（区）应当按照程序进行净化，并穿戴工作帽、口罩、洁净工作服、工作鞋。裸手接触产品的操作人员每隔一定时间应当对手再次进行消毒。裸手消毒剂的种类应当定期更换。</w:t>
            </w:r>
          </w:p>
        </w:tc>
        <w:tc>
          <w:tcPr>
            <w:tcW w:w="776" w:type="dxa"/>
            <w:noWrap w:val="0"/>
            <w:vAlign w:val="center"/>
          </w:tcPr>
          <w:p w14:paraId="2192AF32">
            <w:pPr>
              <w:widowControl/>
              <w:spacing w:line="300" w:lineRule="exact"/>
              <w:jc w:val="center"/>
              <w:textAlignment w:val="center"/>
              <w:rPr>
                <w:rFonts w:ascii="Times New Roman" w:hAnsi="Times New Roman" w:eastAsia="仿宋_GB2312" w:cs="Times New Roman"/>
                <w:szCs w:val="21"/>
                <w:highlight w:val="yellow"/>
              </w:rPr>
            </w:pPr>
            <w:r>
              <w:rPr>
                <w:rFonts w:ascii="Times New Roman" w:hAnsi="Times New Roman" w:eastAsia="仿宋_GB2312" w:cs="Times New Roman"/>
                <w:kern w:val="0"/>
                <w:szCs w:val="21"/>
                <w:lang w:bidi="ar"/>
              </w:rPr>
              <w:t>*</w:t>
            </w:r>
          </w:p>
        </w:tc>
        <w:tc>
          <w:tcPr>
            <w:tcW w:w="1643" w:type="dxa"/>
            <w:noWrap w:val="0"/>
            <w:vAlign w:val="center"/>
          </w:tcPr>
          <w:p w14:paraId="3CBA99B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2.1.4</w:t>
            </w:r>
          </w:p>
        </w:tc>
      </w:tr>
      <w:tr w14:paraId="219BB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trPr>
        <w:tc>
          <w:tcPr>
            <w:tcW w:w="1116" w:type="dxa"/>
            <w:vMerge w:val="continue"/>
            <w:noWrap w:val="0"/>
            <w:vAlign w:val="center"/>
          </w:tcPr>
          <w:p w14:paraId="124A5BD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3F3500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128</w:t>
            </w:r>
          </w:p>
        </w:tc>
        <w:tc>
          <w:tcPr>
            <w:tcW w:w="907" w:type="dxa"/>
            <w:noWrap w:val="0"/>
            <w:vAlign w:val="center"/>
          </w:tcPr>
          <w:p w14:paraId="5633001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10.1.4</w:t>
            </w:r>
          </w:p>
        </w:tc>
        <w:tc>
          <w:tcPr>
            <w:tcW w:w="4046" w:type="dxa"/>
            <w:noWrap w:val="0"/>
            <w:vAlign w:val="center"/>
          </w:tcPr>
          <w:p w14:paraId="79E54828">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明确人员服装要求，制定洁净和无菌工作服的管理规定。工作服及其质量应当与生产操作的要求及操作区的洁净度级别相适应，其式样和穿着方式应当能够满足保护产品和人员的要求。无菌工作服应当能够包盖全部头发、胡须及脚部，并能阻留人体脱落物。洁净工作服和无菌工作服不得脱落纤维和颗粒性物质。</w:t>
            </w:r>
          </w:p>
        </w:tc>
        <w:tc>
          <w:tcPr>
            <w:tcW w:w="776" w:type="dxa"/>
            <w:noWrap w:val="0"/>
            <w:vAlign w:val="center"/>
          </w:tcPr>
          <w:p w14:paraId="5CEB585C">
            <w:pPr>
              <w:widowControl/>
              <w:spacing w:line="300" w:lineRule="exact"/>
              <w:jc w:val="center"/>
              <w:textAlignment w:val="center"/>
              <w:rPr>
                <w:rFonts w:ascii="Times New Roman" w:hAnsi="Times New Roman" w:eastAsia="仿宋_GB2312" w:cs="Times New Roman"/>
                <w:szCs w:val="21"/>
                <w:highlight w:val="yellow"/>
              </w:rPr>
            </w:pPr>
            <w:r>
              <w:rPr>
                <w:rFonts w:ascii="Times New Roman" w:hAnsi="Times New Roman" w:eastAsia="仿宋_GB2312" w:cs="Times New Roman"/>
                <w:kern w:val="0"/>
                <w:szCs w:val="21"/>
                <w:lang w:bidi="ar"/>
              </w:rPr>
              <w:t>*</w:t>
            </w:r>
          </w:p>
        </w:tc>
        <w:tc>
          <w:tcPr>
            <w:tcW w:w="1643" w:type="dxa"/>
            <w:noWrap w:val="0"/>
            <w:vAlign w:val="center"/>
          </w:tcPr>
          <w:p w14:paraId="11716AC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2.1.6</w:t>
            </w:r>
          </w:p>
        </w:tc>
      </w:tr>
      <w:tr w14:paraId="4EFA1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1116" w:type="dxa"/>
            <w:vMerge w:val="continue"/>
            <w:noWrap w:val="0"/>
            <w:vAlign w:val="center"/>
          </w:tcPr>
          <w:p w14:paraId="56D90EB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56AFDE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129</w:t>
            </w:r>
          </w:p>
        </w:tc>
        <w:tc>
          <w:tcPr>
            <w:tcW w:w="907" w:type="dxa"/>
            <w:noWrap w:val="0"/>
            <w:vAlign w:val="center"/>
          </w:tcPr>
          <w:p w14:paraId="467CD44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10.2.1</w:t>
            </w:r>
          </w:p>
        </w:tc>
        <w:tc>
          <w:tcPr>
            <w:tcW w:w="4046" w:type="dxa"/>
            <w:noWrap w:val="0"/>
            <w:vAlign w:val="center"/>
          </w:tcPr>
          <w:p w14:paraId="389619D0">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企业应当在生产过程中对原材料、中间产品等进行有效管控。</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（一）进入洁净室（区）的原材料和物品应当按程序进行净化处理</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（二）需要清洁处理的，应当明确清洁方法和要求，并对清洁效果进行验证</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（三）明确中间产品储存条件和期限。</w:t>
            </w:r>
          </w:p>
        </w:tc>
        <w:tc>
          <w:tcPr>
            <w:tcW w:w="776" w:type="dxa"/>
            <w:noWrap w:val="0"/>
            <w:vAlign w:val="center"/>
          </w:tcPr>
          <w:p w14:paraId="3D7AA5A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3A202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《规范》第七十九条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2.6.3、2.6.4</w:t>
            </w:r>
          </w:p>
        </w:tc>
      </w:tr>
      <w:tr w14:paraId="7A9C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116" w:type="dxa"/>
            <w:vMerge w:val="continue"/>
            <w:noWrap w:val="0"/>
            <w:vAlign w:val="center"/>
          </w:tcPr>
          <w:p w14:paraId="78CD465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56113A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130</w:t>
            </w:r>
          </w:p>
        </w:tc>
        <w:tc>
          <w:tcPr>
            <w:tcW w:w="907" w:type="dxa"/>
            <w:noWrap w:val="0"/>
            <w:vAlign w:val="center"/>
          </w:tcPr>
          <w:p w14:paraId="1C94CB2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10.3.1</w:t>
            </w:r>
          </w:p>
        </w:tc>
        <w:tc>
          <w:tcPr>
            <w:tcW w:w="4046" w:type="dxa"/>
            <w:noWrap w:val="0"/>
            <w:vAlign w:val="center"/>
          </w:tcPr>
          <w:p w14:paraId="4AEC3973">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企业应当根据产品和生产工艺特点对环境进行监测和控制，并保留记录。</w:t>
            </w:r>
          </w:p>
        </w:tc>
        <w:tc>
          <w:tcPr>
            <w:tcW w:w="776" w:type="dxa"/>
            <w:noWrap w:val="0"/>
            <w:vAlign w:val="center"/>
          </w:tcPr>
          <w:p w14:paraId="764B36D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284684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《规范》第八十条</w:t>
            </w:r>
          </w:p>
        </w:tc>
      </w:tr>
      <w:tr w14:paraId="2F28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4" w:hRule="atLeast"/>
        </w:trPr>
        <w:tc>
          <w:tcPr>
            <w:tcW w:w="1116" w:type="dxa"/>
            <w:vMerge w:val="continue"/>
            <w:noWrap w:val="0"/>
            <w:vAlign w:val="center"/>
          </w:tcPr>
          <w:p w14:paraId="2C4398C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8A1AF9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131</w:t>
            </w:r>
          </w:p>
        </w:tc>
        <w:tc>
          <w:tcPr>
            <w:tcW w:w="907" w:type="dxa"/>
            <w:noWrap w:val="0"/>
            <w:vAlign w:val="center"/>
          </w:tcPr>
          <w:p w14:paraId="433961C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10.4.1</w:t>
            </w:r>
          </w:p>
        </w:tc>
        <w:tc>
          <w:tcPr>
            <w:tcW w:w="4046" w:type="dxa"/>
            <w:noWrap w:val="0"/>
            <w:vAlign w:val="center"/>
          </w:tcPr>
          <w:p w14:paraId="5EC1933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每批产品均应当有生产记录，并满足追溯要求。</w:t>
            </w:r>
          </w:p>
          <w:p w14:paraId="4E425FC4">
            <w:pPr>
              <w:widowControl/>
              <w:numPr>
                <w:ilvl w:val="0"/>
                <w:numId w:val="1"/>
              </w:numPr>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企业应当制定批号管理制度，对关键原材料、中间产品和成品按规定进行批号管理，并保存和提供可追溯的记录</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（二）同一试剂盒内各组分批号不同时应尽量将生产日期接近的组分进行组合，应当在每个组分的容器上均标明各自的批号和有效期</w:t>
            </w:r>
            <w:r>
              <w:rPr>
                <w:rFonts w:hint="eastAsia" w:ascii="Times New Roman" w:hAnsi="Times New Roman" w:eastAsia="仿宋_GB2312" w:cs="Times New Roman"/>
                <w:kern w:val="0"/>
                <w:szCs w:val="21"/>
                <w:lang w:eastAsia="zh-CN" w:bidi="ar"/>
              </w:rPr>
              <w:t>；</w:t>
            </w:r>
          </w:p>
          <w:p w14:paraId="640BEC4B">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（三）整个试剂盒的有效期应以最先到有效期的组分的效期为准。</w:t>
            </w:r>
          </w:p>
        </w:tc>
        <w:tc>
          <w:tcPr>
            <w:tcW w:w="776" w:type="dxa"/>
            <w:noWrap w:val="0"/>
            <w:vAlign w:val="center"/>
          </w:tcPr>
          <w:p w14:paraId="3055090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C6A70E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《规范》第八十一条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2.6.7</w:t>
            </w:r>
          </w:p>
        </w:tc>
      </w:tr>
      <w:tr w14:paraId="4D97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116" w:type="dxa"/>
            <w:vMerge w:val="continue"/>
            <w:noWrap w:val="0"/>
            <w:vAlign w:val="center"/>
          </w:tcPr>
          <w:p w14:paraId="13A202C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914EC2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132</w:t>
            </w:r>
          </w:p>
        </w:tc>
        <w:tc>
          <w:tcPr>
            <w:tcW w:w="907" w:type="dxa"/>
            <w:noWrap w:val="0"/>
            <w:vAlign w:val="center"/>
          </w:tcPr>
          <w:p w14:paraId="2AE944D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10.4.2</w:t>
            </w:r>
          </w:p>
        </w:tc>
        <w:tc>
          <w:tcPr>
            <w:tcW w:w="4046" w:type="dxa"/>
            <w:noWrap w:val="0"/>
            <w:vAlign w:val="center"/>
          </w:tcPr>
          <w:p w14:paraId="08FBA62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生产记录至少包括产品名称、规格型号、生产批号或者产品编号（医疗器械唯一标识）、生产日期、数量、关键原材料编号/批号/序列号、中间产品批号、主要设备、工艺参数、操作人员等内容，并体现物料平衡或者记录关键原材料使用情况。</w:t>
            </w:r>
          </w:p>
        </w:tc>
        <w:tc>
          <w:tcPr>
            <w:tcW w:w="776" w:type="dxa"/>
            <w:noWrap w:val="0"/>
            <w:vAlign w:val="center"/>
          </w:tcPr>
          <w:p w14:paraId="56454CE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6BBB4F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《规范》第八十一条</w:t>
            </w:r>
          </w:p>
        </w:tc>
      </w:tr>
      <w:tr w14:paraId="44F6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continue"/>
            <w:noWrap w:val="0"/>
            <w:vAlign w:val="center"/>
          </w:tcPr>
          <w:p w14:paraId="0FEF1F2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C5062D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133</w:t>
            </w:r>
          </w:p>
        </w:tc>
        <w:tc>
          <w:tcPr>
            <w:tcW w:w="907" w:type="dxa"/>
            <w:noWrap w:val="0"/>
            <w:vAlign w:val="center"/>
          </w:tcPr>
          <w:p w14:paraId="1D212FE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10.5.1</w:t>
            </w:r>
          </w:p>
        </w:tc>
        <w:tc>
          <w:tcPr>
            <w:tcW w:w="4046" w:type="dxa"/>
            <w:noWrap w:val="0"/>
            <w:vAlign w:val="center"/>
          </w:tcPr>
          <w:p w14:paraId="5189892C">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企业应当根据产品特性检查实际产量和关键原材料实际用量间的物料平衡，确保符合设定限度要求。如有偏差，企业应当查明原因，确认无潜在质量风险后，方可按照正常产品处理。</w:t>
            </w:r>
          </w:p>
        </w:tc>
        <w:tc>
          <w:tcPr>
            <w:tcW w:w="776" w:type="dxa"/>
            <w:noWrap w:val="0"/>
            <w:vAlign w:val="center"/>
          </w:tcPr>
          <w:p w14:paraId="2C77CA5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4D4A10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《规范》第八十二条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2.6.6</w:t>
            </w:r>
          </w:p>
        </w:tc>
      </w:tr>
      <w:tr w14:paraId="09CF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2CFFEB8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9692BE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134</w:t>
            </w:r>
          </w:p>
        </w:tc>
        <w:tc>
          <w:tcPr>
            <w:tcW w:w="907" w:type="dxa"/>
            <w:noWrap w:val="0"/>
            <w:vAlign w:val="center"/>
          </w:tcPr>
          <w:p w14:paraId="66B009C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10.6.1</w:t>
            </w:r>
          </w:p>
        </w:tc>
        <w:tc>
          <w:tcPr>
            <w:tcW w:w="4046" w:type="dxa"/>
            <w:noWrap w:val="0"/>
            <w:vAlign w:val="center"/>
          </w:tcPr>
          <w:p w14:paraId="2EAB57A5">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企业应当建立产品标识和生产状态标识控制程序，采用适宜方法对产品和生产状态进行标识，防止混淆、差错以及不合格中间产品流入下道工序。</w:t>
            </w:r>
          </w:p>
        </w:tc>
        <w:tc>
          <w:tcPr>
            <w:tcW w:w="776" w:type="dxa"/>
            <w:noWrap w:val="0"/>
            <w:vAlign w:val="center"/>
          </w:tcPr>
          <w:p w14:paraId="59D47A9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99D6E7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《规范》第八十三条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2.6.5</w:t>
            </w:r>
          </w:p>
        </w:tc>
      </w:tr>
      <w:tr w14:paraId="5B45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5AFD811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132E58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135</w:t>
            </w:r>
          </w:p>
        </w:tc>
        <w:tc>
          <w:tcPr>
            <w:tcW w:w="907" w:type="dxa"/>
            <w:noWrap w:val="0"/>
            <w:vAlign w:val="center"/>
          </w:tcPr>
          <w:p w14:paraId="418FB95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10.7.1</w:t>
            </w:r>
          </w:p>
        </w:tc>
        <w:tc>
          <w:tcPr>
            <w:tcW w:w="4046" w:type="dxa"/>
            <w:noWrap w:val="0"/>
            <w:vAlign w:val="center"/>
          </w:tcPr>
          <w:p w14:paraId="204C7481">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产品说明书、标签应当符合相关法律、法规、规章以及标准要求并进行有效管控。</w:t>
            </w:r>
          </w:p>
        </w:tc>
        <w:tc>
          <w:tcPr>
            <w:tcW w:w="776" w:type="dxa"/>
            <w:noWrap w:val="0"/>
            <w:vAlign w:val="center"/>
          </w:tcPr>
          <w:p w14:paraId="1F62D97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2DE39A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《规范》第八十四条</w:t>
            </w:r>
          </w:p>
        </w:tc>
      </w:tr>
      <w:tr w14:paraId="3DDA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7E1A6DDB">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75F089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136</w:t>
            </w:r>
          </w:p>
        </w:tc>
        <w:tc>
          <w:tcPr>
            <w:tcW w:w="907" w:type="dxa"/>
            <w:noWrap w:val="0"/>
            <w:vAlign w:val="center"/>
          </w:tcPr>
          <w:p w14:paraId="43DE5FF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10.8.1</w:t>
            </w:r>
          </w:p>
        </w:tc>
        <w:tc>
          <w:tcPr>
            <w:tcW w:w="4046" w:type="dxa"/>
            <w:noWrap w:val="0"/>
            <w:vAlign w:val="center"/>
          </w:tcPr>
          <w:p w14:paraId="4374399E">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产品防护程序，规定产品及其组成部分的防护要求，包括污染防护、静电防护、粉尘防护、腐蚀防护、运输防护和网络安全防护等。防护措施包括但不限于包装、标识、防护罩以及特殊的搬运和贮存要求等。</w:t>
            </w:r>
          </w:p>
        </w:tc>
        <w:tc>
          <w:tcPr>
            <w:tcW w:w="776" w:type="dxa"/>
            <w:noWrap w:val="0"/>
            <w:vAlign w:val="center"/>
          </w:tcPr>
          <w:p w14:paraId="51EBA76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6E7280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《规范》第八十五条</w:t>
            </w:r>
          </w:p>
        </w:tc>
      </w:tr>
      <w:tr w14:paraId="5096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1116" w:type="dxa"/>
            <w:vMerge w:val="continue"/>
            <w:noWrap w:val="0"/>
            <w:vAlign w:val="center"/>
          </w:tcPr>
          <w:p w14:paraId="3291CC2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6EF869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137</w:t>
            </w:r>
          </w:p>
        </w:tc>
        <w:tc>
          <w:tcPr>
            <w:tcW w:w="907" w:type="dxa"/>
            <w:noWrap w:val="0"/>
            <w:vAlign w:val="center"/>
          </w:tcPr>
          <w:p w14:paraId="6C794F9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10.9.1</w:t>
            </w:r>
          </w:p>
        </w:tc>
        <w:tc>
          <w:tcPr>
            <w:tcW w:w="4046" w:type="dxa"/>
            <w:noWrap w:val="0"/>
            <w:vAlign w:val="center"/>
          </w:tcPr>
          <w:p w14:paraId="03935F66">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企业应当结合产品特性和生产实际建立清场管理制度，防止生产涉及的原材料、中间产品和成品污染与混用、相关文件差错使用。</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（一）前一道工序结束后或前一种产品生产结束后必须进行清场</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（二）相关的配制和分装器具必须专用，使用后进行清洗、干燥等洁净处理。</w:t>
            </w:r>
          </w:p>
        </w:tc>
        <w:tc>
          <w:tcPr>
            <w:tcW w:w="776" w:type="dxa"/>
            <w:noWrap w:val="0"/>
            <w:vAlign w:val="center"/>
          </w:tcPr>
          <w:p w14:paraId="241E1DE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09CAE2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《规范》第八十六条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2.6.11</w:t>
            </w:r>
          </w:p>
        </w:tc>
      </w:tr>
      <w:tr w14:paraId="6E2F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1116" w:type="dxa"/>
            <w:vMerge w:val="continue"/>
            <w:noWrap w:val="0"/>
            <w:vAlign w:val="center"/>
          </w:tcPr>
          <w:p w14:paraId="360E641B">
            <w:pPr>
              <w:widowControl/>
              <w:spacing w:line="300" w:lineRule="exact"/>
              <w:jc w:val="center"/>
              <w:textAlignment w:val="center"/>
              <w:rPr>
                <w:rFonts w:ascii="Times New Roman" w:hAnsi="Times New Roman" w:eastAsia="仿宋_GB2312" w:cs="Times New Roman"/>
                <w:color w:val="auto"/>
                <w:szCs w:val="21"/>
              </w:rPr>
            </w:pPr>
          </w:p>
        </w:tc>
        <w:tc>
          <w:tcPr>
            <w:tcW w:w="708" w:type="dxa"/>
            <w:noWrap w:val="0"/>
            <w:vAlign w:val="center"/>
          </w:tcPr>
          <w:p w14:paraId="4E00587E">
            <w:pPr>
              <w:widowControl/>
              <w:spacing w:line="300" w:lineRule="exact"/>
              <w:jc w:val="center"/>
              <w:textAlignment w:val="center"/>
              <w:rPr>
                <w:rFonts w:ascii="Times New Roman" w:hAnsi="Times New Roman" w:eastAsia="仿宋_GB2312" w:cs="Times New Roman"/>
                <w:color w:val="auto"/>
                <w:szCs w:val="21"/>
              </w:rPr>
            </w:pPr>
            <w:r>
              <w:rPr>
                <w:rFonts w:ascii="Times New Roman" w:hAnsi="Times New Roman" w:eastAsia="仿宋_GB2312" w:cs="Times New Roman"/>
                <w:color w:val="auto"/>
                <w:kern w:val="0"/>
                <w:szCs w:val="21"/>
                <w:lang w:bidi="ar"/>
              </w:rPr>
              <w:t>138</w:t>
            </w:r>
          </w:p>
        </w:tc>
        <w:tc>
          <w:tcPr>
            <w:tcW w:w="907" w:type="dxa"/>
            <w:noWrap w:val="0"/>
            <w:vAlign w:val="center"/>
          </w:tcPr>
          <w:p w14:paraId="4A5D0123">
            <w:pPr>
              <w:widowControl/>
              <w:spacing w:line="300" w:lineRule="exact"/>
              <w:jc w:val="center"/>
              <w:textAlignment w:val="center"/>
              <w:rPr>
                <w:rFonts w:ascii="Times New Roman" w:hAnsi="Times New Roman" w:eastAsia="仿宋_GB2312" w:cs="Times New Roman"/>
                <w:color w:val="auto"/>
                <w:szCs w:val="21"/>
              </w:rPr>
            </w:pPr>
            <w:r>
              <w:rPr>
                <w:rFonts w:ascii="Times New Roman" w:hAnsi="Times New Roman" w:eastAsia="仿宋_GB2312" w:cs="Times New Roman"/>
                <w:color w:val="auto"/>
                <w:kern w:val="0"/>
                <w:szCs w:val="21"/>
                <w:lang w:bidi="ar"/>
              </w:rPr>
              <w:t>10.9.2</w:t>
            </w:r>
          </w:p>
        </w:tc>
        <w:tc>
          <w:tcPr>
            <w:tcW w:w="4046" w:type="dxa"/>
            <w:noWrap w:val="0"/>
            <w:vAlign w:val="center"/>
          </w:tcPr>
          <w:p w14:paraId="39FEF797">
            <w:pPr>
              <w:widowControl/>
              <w:spacing w:line="300" w:lineRule="exact"/>
              <w:textAlignment w:val="center"/>
              <w:rPr>
                <w:rFonts w:ascii="Times New Roman" w:hAnsi="Times New Roman" w:eastAsia="仿宋_GB2312" w:cs="Times New Roman"/>
                <w:color w:val="auto"/>
                <w:kern w:val="0"/>
                <w:szCs w:val="21"/>
                <w:lang w:bidi="ar"/>
              </w:rPr>
            </w:pPr>
            <w:r>
              <w:rPr>
                <w:rFonts w:ascii="Times New Roman" w:hAnsi="Times New Roman" w:eastAsia="仿宋_GB2312" w:cs="Times New Roman"/>
                <w:color w:val="auto"/>
                <w:kern w:val="0"/>
                <w:szCs w:val="21"/>
                <w:lang w:bidi="ar"/>
              </w:rPr>
              <w:t>生产开始前，企业应当对前次清场情况进行确认，确认合格后才可以进行其他生产。清场记录和确认应当纳入批生产记录。</w:t>
            </w:r>
          </w:p>
        </w:tc>
        <w:tc>
          <w:tcPr>
            <w:tcW w:w="776" w:type="dxa"/>
            <w:noWrap w:val="0"/>
            <w:vAlign w:val="center"/>
          </w:tcPr>
          <w:p w14:paraId="690BEAD2">
            <w:pPr>
              <w:widowControl/>
              <w:spacing w:line="300" w:lineRule="exact"/>
              <w:jc w:val="center"/>
              <w:textAlignment w:val="center"/>
              <w:rPr>
                <w:rFonts w:ascii="Times New Roman" w:hAnsi="Times New Roman" w:eastAsia="仿宋_GB2312" w:cs="Times New Roman"/>
                <w:color w:val="auto"/>
                <w:szCs w:val="21"/>
              </w:rPr>
            </w:pPr>
            <w:r>
              <w:rPr>
                <w:rFonts w:ascii="Times New Roman" w:hAnsi="Times New Roman" w:eastAsia="仿宋_GB2312" w:cs="Times New Roman"/>
                <w:color w:val="auto"/>
                <w:kern w:val="0"/>
                <w:szCs w:val="21"/>
                <w:lang w:bidi="ar"/>
              </w:rPr>
              <w:t>*</w:t>
            </w:r>
          </w:p>
        </w:tc>
        <w:tc>
          <w:tcPr>
            <w:tcW w:w="1643" w:type="dxa"/>
            <w:noWrap w:val="0"/>
            <w:vAlign w:val="center"/>
          </w:tcPr>
          <w:p w14:paraId="5C583761">
            <w:pPr>
              <w:widowControl/>
              <w:spacing w:line="300" w:lineRule="exact"/>
              <w:jc w:val="center"/>
              <w:textAlignment w:val="center"/>
              <w:rPr>
                <w:rFonts w:hint="eastAsia" w:ascii="Times New Roman" w:hAnsi="Times New Roman" w:eastAsia="仿宋_GB2312" w:cs="Times New Roman"/>
                <w:color w:val="auto"/>
                <w:szCs w:val="21"/>
                <w:lang w:eastAsia="zh-CN"/>
              </w:rPr>
            </w:pPr>
            <w:r>
              <w:rPr>
                <w:rFonts w:ascii="Times New Roman" w:hAnsi="Times New Roman" w:eastAsia="仿宋_GB2312" w:cs="Times New Roman"/>
                <w:color w:val="auto"/>
                <w:kern w:val="0"/>
                <w:szCs w:val="21"/>
                <w:lang w:bidi="ar"/>
              </w:rPr>
              <w:t>《规范》第八十六条</w:t>
            </w:r>
            <w:r>
              <w:rPr>
                <w:rFonts w:hint="eastAsia" w:ascii="Times New Roman" w:hAnsi="Times New Roman" w:eastAsia="仿宋_GB2312" w:cs="Times New Roman"/>
                <w:color w:val="auto"/>
                <w:kern w:val="0"/>
                <w:szCs w:val="21"/>
                <w:lang w:eastAsia="zh-CN" w:bidi="ar"/>
              </w:rPr>
              <w:t>，</w:t>
            </w:r>
            <w:r>
              <w:rPr>
                <w:rFonts w:ascii="Times New Roman" w:hAnsi="Times New Roman" w:eastAsia="仿宋_GB2312" w:cs="Times New Roman"/>
                <w:color w:val="auto"/>
                <w:kern w:val="0"/>
                <w:szCs w:val="21"/>
                <w:lang w:val="en" w:bidi="ar"/>
              </w:rPr>
              <w:t>《体外诊断试剂附录》</w:t>
            </w:r>
            <w:r>
              <w:rPr>
                <w:rFonts w:ascii="Times New Roman" w:hAnsi="Times New Roman" w:eastAsia="仿宋_GB2312" w:cs="Times New Roman"/>
                <w:color w:val="auto"/>
                <w:kern w:val="0"/>
                <w:szCs w:val="21"/>
                <w:lang w:bidi="ar"/>
              </w:rPr>
              <w:t>2.6.11</w:t>
            </w:r>
          </w:p>
        </w:tc>
      </w:tr>
      <w:tr w14:paraId="6035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continue"/>
            <w:noWrap w:val="0"/>
            <w:vAlign w:val="center"/>
          </w:tcPr>
          <w:p w14:paraId="57E9341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11C351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139</w:t>
            </w:r>
          </w:p>
        </w:tc>
        <w:tc>
          <w:tcPr>
            <w:tcW w:w="907" w:type="dxa"/>
            <w:noWrap w:val="0"/>
            <w:vAlign w:val="center"/>
          </w:tcPr>
          <w:p w14:paraId="01EB0D4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10.10.1</w:t>
            </w:r>
          </w:p>
        </w:tc>
        <w:tc>
          <w:tcPr>
            <w:tcW w:w="4046" w:type="dxa"/>
            <w:noWrap w:val="0"/>
            <w:vAlign w:val="center"/>
          </w:tcPr>
          <w:p w14:paraId="47880368">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企业应当结合产品生产工艺特点建立偏差处理程序，规定偏差的识别、报告、记录、评估调查、处理以及所采取的纠正预防措施等，并保留相应记录。偏差处理应当涵盖医疗器械生产、检验全过程。</w:t>
            </w:r>
          </w:p>
        </w:tc>
        <w:tc>
          <w:tcPr>
            <w:tcW w:w="776" w:type="dxa"/>
            <w:noWrap w:val="0"/>
            <w:vAlign w:val="center"/>
          </w:tcPr>
          <w:p w14:paraId="2CF1071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AB4B6F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《规范》第八十七条</w:t>
            </w:r>
          </w:p>
        </w:tc>
      </w:tr>
      <w:tr w14:paraId="7471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16" w:type="dxa"/>
            <w:vMerge w:val="continue"/>
            <w:noWrap w:val="0"/>
            <w:vAlign w:val="center"/>
          </w:tcPr>
          <w:p w14:paraId="76E4339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2E9BAB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140</w:t>
            </w:r>
          </w:p>
        </w:tc>
        <w:tc>
          <w:tcPr>
            <w:tcW w:w="907" w:type="dxa"/>
            <w:noWrap w:val="0"/>
            <w:vAlign w:val="center"/>
          </w:tcPr>
          <w:p w14:paraId="1D1CA26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10.11.1</w:t>
            </w:r>
          </w:p>
        </w:tc>
        <w:tc>
          <w:tcPr>
            <w:tcW w:w="4046" w:type="dxa"/>
            <w:noWrap w:val="0"/>
            <w:vAlign w:val="center"/>
          </w:tcPr>
          <w:p w14:paraId="3B87F854">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企业应当建立不合格品控制程序，对生产过程中的不合格原材料、中间产品和成品等进行及时有效的标识、记录、隔离并开展评审。</w:t>
            </w:r>
          </w:p>
        </w:tc>
        <w:tc>
          <w:tcPr>
            <w:tcW w:w="776" w:type="dxa"/>
            <w:noWrap w:val="0"/>
            <w:vAlign w:val="center"/>
          </w:tcPr>
          <w:p w14:paraId="6154EC0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09D54E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《规范》第八十八条</w:t>
            </w:r>
          </w:p>
        </w:tc>
      </w:tr>
      <w:tr w14:paraId="49FE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228453D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9D5770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141</w:t>
            </w:r>
          </w:p>
        </w:tc>
        <w:tc>
          <w:tcPr>
            <w:tcW w:w="907" w:type="dxa"/>
            <w:noWrap w:val="0"/>
            <w:vAlign w:val="center"/>
          </w:tcPr>
          <w:p w14:paraId="5F72125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10.11.2</w:t>
            </w:r>
          </w:p>
        </w:tc>
        <w:tc>
          <w:tcPr>
            <w:tcW w:w="4046" w:type="dxa"/>
            <w:noWrap w:val="0"/>
            <w:vAlign w:val="center"/>
          </w:tcPr>
          <w:p w14:paraId="2C9E6BDD">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返工和降级使用应当符合相关法规规定以及顾客要求。</w:t>
            </w:r>
          </w:p>
        </w:tc>
        <w:tc>
          <w:tcPr>
            <w:tcW w:w="776" w:type="dxa"/>
            <w:noWrap w:val="0"/>
            <w:vAlign w:val="center"/>
          </w:tcPr>
          <w:p w14:paraId="1B74528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8C792A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《规范》第八十八条</w:t>
            </w:r>
          </w:p>
        </w:tc>
      </w:tr>
      <w:tr w14:paraId="3892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369B08E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503937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142</w:t>
            </w:r>
          </w:p>
        </w:tc>
        <w:tc>
          <w:tcPr>
            <w:tcW w:w="907" w:type="dxa"/>
            <w:noWrap w:val="0"/>
            <w:vAlign w:val="center"/>
          </w:tcPr>
          <w:p w14:paraId="0A93AEE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10.12.1</w:t>
            </w:r>
          </w:p>
        </w:tc>
        <w:tc>
          <w:tcPr>
            <w:tcW w:w="4046" w:type="dxa"/>
            <w:noWrap w:val="0"/>
            <w:vAlign w:val="center"/>
          </w:tcPr>
          <w:p w14:paraId="18916FCF">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不合格品进行返工的，企业应当建立返工控制程序，包括作业指导书、重新检验和重新验证要求等。应当对返工带来的风险进行评估。</w:t>
            </w:r>
          </w:p>
        </w:tc>
        <w:tc>
          <w:tcPr>
            <w:tcW w:w="776" w:type="dxa"/>
            <w:noWrap w:val="0"/>
            <w:vAlign w:val="center"/>
          </w:tcPr>
          <w:p w14:paraId="5D082E9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BB514D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《规范》第八十九条</w:t>
            </w:r>
          </w:p>
        </w:tc>
      </w:tr>
      <w:tr w14:paraId="33F0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116" w:type="dxa"/>
            <w:vMerge w:val="continue"/>
            <w:noWrap w:val="0"/>
            <w:vAlign w:val="center"/>
          </w:tcPr>
          <w:p w14:paraId="6AE03380">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61207B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143</w:t>
            </w:r>
          </w:p>
        </w:tc>
        <w:tc>
          <w:tcPr>
            <w:tcW w:w="907" w:type="dxa"/>
            <w:noWrap w:val="0"/>
            <w:vAlign w:val="center"/>
          </w:tcPr>
          <w:p w14:paraId="00F2916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10.13.1</w:t>
            </w:r>
          </w:p>
        </w:tc>
        <w:tc>
          <w:tcPr>
            <w:tcW w:w="4046" w:type="dxa"/>
            <w:noWrap w:val="0"/>
            <w:vAlign w:val="center"/>
          </w:tcPr>
          <w:p w14:paraId="0188998A">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企业应当建立产品追溯程序，规定产品追溯范围、程度、标识和必要的记录，包括原材料编号、批号管理、医疗器械唯一标识、生产过程、生产设备、操作人员和生产环境等。</w:t>
            </w:r>
          </w:p>
        </w:tc>
        <w:tc>
          <w:tcPr>
            <w:tcW w:w="776" w:type="dxa"/>
            <w:noWrap w:val="0"/>
            <w:vAlign w:val="center"/>
          </w:tcPr>
          <w:p w14:paraId="1EB6BF9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2C6AC8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2.6.12</w:t>
            </w:r>
          </w:p>
        </w:tc>
      </w:tr>
      <w:tr w14:paraId="17F4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731C76B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91A85A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144</w:t>
            </w:r>
          </w:p>
        </w:tc>
        <w:tc>
          <w:tcPr>
            <w:tcW w:w="907" w:type="dxa"/>
            <w:noWrap w:val="0"/>
            <w:vAlign w:val="center"/>
          </w:tcPr>
          <w:p w14:paraId="3310A6F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10.14.1</w:t>
            </w:r>
          </w:p>
        </w:tc>
        <w:tc>
          <w:tcPr>
            <w:tcW w:w="4046" w:type="dxa"/>
            <w:noWrap w:val="0"/>
            <w:vAlign w:val="center"/>
          </w:tcPr>
          <w:p w14:paraId="69F363BB">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企业应当按照国家实施医疗器械唯一标识有关要求开展赋码、数据上传和维护更新，保证信息真实、准确、完整和可追溯。</w:t>
            </w:r>
          </w:p>
        </w:tc>
        <w:tc>
          <w:tcPr>
            <w:tcW w:w="776" w:type="dxa"/>
            <w:noWrap w:val="0"/>
            <w:vAlign w:val="center"/>
          </w:tcPr>
          <w:p w14:paraId="5416388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C223A7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《规范》第九十一条</w:t>
            </w:r>
          </w:p>
        </w:tc>
      </w:tr>
      <w:tr w14:paraId="464A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4779A2BB">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BFA8E0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145</w:t>
            </w:r>
          </w:p>
        </w:tc>
        <w:tc>
          <w:tcPr>
            <w:tcW w:w="907" w:type="dxa"/>
            <w:noWrap w:val="0"/>
            <w:vAlign w:val="center"/>
          </w:tcPr>
          <w:p w14:paraId="58C6EF0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10.15.1</w:t>
            </w:r>
          </w:p>
        </w:tc>
        <w:tc>
          <w:tcPr>
            <w:tcW w:w="4046" w:type="dxa"/>
            <w:noWrap w:val="0"/>
            <w:vAlign w:val="center"/>
          </w:tcPr>
          <w:p w14:paraId="2CEFB7B4">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共用生产车间、生产线或者生产设备的，企业应当基于产品质量风险管理原则，建立相应管理制度，防止可能产生的原材料、中间产品或者成品混淆、交叉污染、工艺参数误用等风险。不同品种产品的生产应当做到有效隔离，以避免相互混淆和污染。有数条包装线同时进行包装时，应当采取隔离或其他有效防止混淆的措施。</w:t>
            </w:r>
          </w:p>
        </w:tc>
        <w:tc>
          <w:tcPr>
            <w:tcW w:w="776" w:type="dxa"/>
            <w:noWrap w:val="0"/>
            <w:vAlign w:val="center"/>
          </w:tcPr>
          <w:p w14:paraId="473F6E4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8FD63D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《规范》第九十二条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2.6.8</w:t>
            </w:r>
          </w:p>
        </w:tc>
      </w:tr>
      <w:tr w14:paraId="588D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16" w:type="dxa"/>
            <w:vMerge w:val="continue"/>
            <w:noWrap w:val="0"/>
            <w:vAlign w:val="center"/>
          </w:tcPr>
          <w:p w14:paraId="3D87D5AE">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6E79C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146</w:t>
            </w:r>
          </w:p>
        </w:tc>
        <w:tc>
          <w:tcPr>
            <w:tcW w:w="907" w:type="dxa"/>
            <w:noWrap w:val="0"/>
            <w:vAlign w:val="center"/>
          </w:tcPr>
          <w:p w14:paraId="67E8D1F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10.16.1</w:t>
            </w:r>
          </w:p>
        </w:tc>
        <w:tc>
          <w:tcPr>
            <w:tcW w:w="4046" w:type="dxa"/>
            <w:noWrap w:val="0"/>
            <w:vAlign w:val="center"/>
          </w:tcPr>
          <w:p w14:paraId="0215D0E2">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开展连续生产的，企业应当规定最大批次数量或者最长生产时间，并验证连续生产对环境和设备等的影响。</w:t>
            </w:r>
          </w:p>
        </w:tc>
        <w:tc>
          <w:tcPr>
            <w:tcW w:w="776" w:type="dxa"/>
            <w:noWrap w:val="0"/>
            <w:vAlign w:val="center"/>
          </w:tcPr>
          <w:p w14:paraId="06D31A3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6039E6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《规范》第九十三条</w:t>
            </w:r>
          </w:p>
        </w:tc>
      </w:tr>
      <w:tr w14:paraId="6FDA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116" w:type="dxa"/>
            <w:vMerge w:val="continue"/>
            <w:noWrap w:val="0"/>
            <w:vAlign w:val="center"/>
          </w:tcPr>
          <w:p w14:paraId="415A574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92D32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147</w:t>
            </w:r>
          </w:p>
        </w:tc>
        <w:tc>
          <w:tcPr>
            <w:tcW w:w="907" w:type="dxa"/>
            <w:noWrap w:val="0"/>
            <w:vAlign w:val="center"/>
          </w:tcPr>
          <w:p w14:paraId="1D04D00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10.16.2</w:t>
            </w:r>
          </w:p>
        </w:tc>
        <w:tc>
          <w:tcPr>
            <w:tcW w:w="4046" w:type="dxa"/>
            <w:noWrap w:val="0"/>
            <w:vAlign w:val="center"/>
          </w:tcPr>
          <w:p w14:paraId="1AD07DC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达到最大批次数量或者最长生产时间后，企业应当进行相应的清洁、维护。</w:t>
            </w:r>
          </w:p>
        </w:tc>
        <w:tc>
          <w:tcPr>
            <w:tcW w:w="776" w:type="dxa"/>
            <w:noWrap w:val="0"/>
            <w:vAlign w:val="center"/>
          </w:tcPr>
          <w:p w14:paraId="0698D9A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7F647C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《规范》第九十三条</w:t>
            </w:r>
          </w:p>
        </w:tc>
      </w:tr>
      <w:tr w14:paraId="33F9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116" w:type="dxa"/>
            <w:vMerge w:val="continue"/>
            <w:noWrap w:val="0"/>
            <w:vAlign w:val="center"/>
          </w:tcPr>
          <w:p w14:paraId="2C2F667B">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A7E431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148</w:t>
            </w:r>
          </w:p>
        </w:tc>
        <w:tc>
          <w:tcPr>
            <w:tcW w:w="907" w:type="dxa"/>
            <w:noWrap w:val="0"/>
            <w:vAlign w:val="center"/>
          </w:tcPr>
          <w:p w14:paraId="5257B03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10.17.1</w:t>
            </w:r>
          </w:p>
        </w:tc>
        <w:tc>
          <w:tcPr>
            <w:tcW w:w="4046" w:type="dxa"/>
            <w:noWrap w:val="0"/>
            <w:vAlign w:val="center"/>
          </w:tcPr>
          <w:p w14:paraId="1A545687">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停产后重新生产的，企业应当制定相应规程，明确评估要求，必要时开展验证或者确认。</w:t>
            </w:r>
          </w:p>
          <w:p w14:paraId="10E8B9D4">
            <w:pPr>
              <w:widowControl/>
              <w:numPr>
                <w:ilvl w:val="0"/>
                <w:numId w:val="0"/>
              </w:numPr>
              <w:spacing w:line="300" w:lineRule="exact"/>
              <w:textAlignment w:val="center"/>
              <w:rPr>
                <w:rFonts w:hint="eastAsia" w:ascii="Times New Roman" w:hAnsi="Times New Roman" w:eastAsia="仿宋_GB2312" w:cs="Times New Roman"/>
                <w:kern w:val="0"/>
                <w:szCs w:val="21"/>
                <w:lang w:eastAsia="zh-CN" w:bidi="ar"/>
              </w:rPr>
            </w:pPr>
            <w:r>
              <w:rPr>
                <w:rFonts w:ascii="Times New Roman" w:hAnsi="Times New Roman" w:eastAsia="仿宋_GB2312" w:cs="Times New Roman"/>
                <w:kern w:val="0"/>
                <w:szCs w:val="21"/>
                <w:lang w:bidi="ar"/>
              </w:rPr>
              <w:t>（一）生产车间连续停产一年以上的，重新组织生产前应当对生产环境及设施设备、主要原辅材料、关键工序、检验设备及质量控制方法等重新进行验证</w:t>
            </w:r>
            <w:r>
              <w:rPr>
                <w:rFonts w:hint="eastAsia" w:ascii="Times New Roman" w:hAnsi="Times New Roman" w:eastAsia="仿宋_GB2312" w:cs="Times New Roman"/>
                <w:kern w:val="0"/>
                <w:szCs w:val="21"/>
                <w:lang w:eastAsia="zh-CN" w:bidi="ar"/>
              </w:rPr>
              <w:t>；</w:t>
            </w:r>
          </w:p>
          <w:p w14:paraId="30EB596E">
            <w:pPr>
              <w:widowControl/>
              <w:numPr>
                <w:ilvl w:val="0"/>
                <w:numId w:val="0"/>
              </w:numPr>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（二）连续停产不足一年的，如有必要，也应当重新对生产环境和设施设备进行验证。</w:t>
            </w:r>
          </w:p>
        </w:tc>
        <w:tc>
          <w:tcPr>
            <w:tcW w:w="776" w:type="dxa"/>
            <w:noWrap w:val="0"/>
            <w:vAlign w:val="center"/>
          </w:tcPr>
          <w:p w14:paraId="14F1CCB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1FB33B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《规范》第九十四条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2.6.14</w:t>
            </w:r>
          </w:p>
        </w:tc>
      </w:tr>
      <w:tr w14:paraId="606B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3" w:hRule="atLeast"/>
        </w:trPr>
        <w:tc>
          <w:tcPr>
            <w:tcW w:w="1116" w:type="dxa"/>
            <w:vMerge w:val="continue"/>
            <w:noWrap w:val="0"/>
            <w:vAlign w:val="center"/>
          </w:tcPr>
          <w:p w14:paraId="630267E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2611F7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149</w:t>
            </w:r>
          </w:p>
        </w:tc>
        <w:tc>
          <w:tcPr>
            <w:tcW w:w="907" w:type="dxa"/>
            <w:noWrap w:val="0"/>
            <w:vAlign w:val="center"/>
          </w:tcPr>
          <w:p w14:paraId="5C5C6C7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10.18.1</w:t>
            </w:r>
          </w:p>
        </w:tc>
        <w:tc>
          <w:tcPr>
            <w:tcW w:w="4046" w:type="dxa"/>
            <w:noWrap w:val="0"/>
            <w:vAlign w:val="center"/>
          </w:tcPr>
          <w:p w14:paraId="28AF60AE">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对生产用需要灭活的血清或血浆建立灭活处理的操作规程。按照操作规程的要求，对生产用灭活前后的血清或血浆状态进行明显的区分和标识。生产中的废液、废物等应当进行无害化处理，并符合相关的环保要求。</w:t>
            </w:r>
          </w:p>
        </w:tc>
        <w:tc>
          <w:tcPr>
            <w:tcW w:w="776" w:type="dxa"/>
            <w:noWrap w:val="0"/>
            <w:vAlign w:val="center"/>
          </w:tcPr>
          <w:p w14:paraId="6BD0F3A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81DF29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2.6.15、2.6.16</w:t>
            </w:r>
          </w:p>
        </w:tc>
      </w:tr>
      <w:tr w14:paraId="4960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restart"/>
            <w:noWrap w:val="0"/>
            <w:vAlign w:val="center"/>
          </w:tcPr>
          <w:p w14:paraId="7D9FC4F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第十一章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质量控制与产品放行</w:t>
            </w:r>
          </w:p>
        </w:tc>
        <w:tc>
          <w:tcPr>
            <w:tcW w:w="708" w:type="dxa"/>
            <w:noWrap w:val="0"/>
            <w:vAlign w:val="center"/>
          </w:tcPr>
          <w:p w14:paraId="6C792BF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150</w:t>
            </w:r>
          </w:p>
        </w:tc>
        <w:tc>
          <w:tcPr>
            <w:tcW w:w="907" w:type="dxa"/>
            <w:noWrap w:val="0"/>
            <w:vAlign w:val="center"/>
          </w:tcPr>
          <w:p w14:paraId="05452D6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11.1.1</w:t>
            </w:r>
          </w:p>
        </w:tc>
        <w:tc>
          <w:tcPr>
            <w:tcW w:w="4046" w:type="dxa"/>
            <w:noWrap w:val="0"/>
            <w:vAlign w:val="center"/>
          </w:tcPr>
          <w:p w14:paraId="6DDA9AE1">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企业应当建立质量控制程序，明确产品质量管理组织机构、检验人员、检验操作规程以及取样、检验设备、产品放行以及留样等要求，确保原材料或者成品在放行前完成必要的检验，质量符合要求。</w:t>
            </w:r>
          </w:p>
        </w:tc>
        <w:tc>
          <w:tcPr>
            <w:tcW w:w="776" w:type="dxa"/>
            <w:noWrap w:val="0"/>
            <w:vAlign w:val="center"/>
          </w:tcPr>
          <w:p w14:paraId="20F9943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4EE84C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《规范》第九十五条</w:t>
            </w:r>
          </w:p>
        </w:tc>
      </w:tr>
      <w:tr w14:paraId="6C3E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0541E247">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3D8C1D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151</w:t>
            </w:r>
          </w:p>
        </w:tc>
        <w:tc>
          <w:tcPr>
            <w:tcW w:w="907" w:type="dxa"/>
            <w:noWrap w:val="0"/>
            <w:vAlign w:val="center"/>
          </w:tcPr>
          <w:p w14:paraId="1C2A8A5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11.2.1</w:t>
            </w:r>
          </w:p>
        </w:tc>
        <w:tc>
          <w:tcPr>
            <w:tcW w:w="4046" w:type="dxa"/>
            <w:noWrap w:val="0"/>
            <w:vAlign w:val="center"/>
          </w:tcPr>
          <w:p w14:paraId="248A739E">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检验人员教育背景、技术能力和数量应当与产品检验检测工作相匹配，经过与所从事检验检测操作相关的实践培训并考核合格后上岗。</w:t>
            </w:r>
          </w:p>
        </w:tc>
        <w:tc>
          <w:tcPr>
            <w:tcW w:w="776" w:type="dxa"/>
            <w:noWrap w:val="0"/>
            <w:vAlign w:val="center"/>
          </w:tcPr>
          <w:p w14:paraId="5683FB0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D43EE1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《规范》第九十六条</w:t>
            </w:r>
          </w:p>
        </w:tc>
      </w:tr>
      <w:tr w14:paraId="1B2B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continue"/>
            <w:noWrap w:val="0"/>
            <w:vAlign w:val="center"/>
          </w:tcPr>
          <w:p w14:paraId="02E8054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BA995B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152</w:t>
            </w:r>
          </w:p>
        </w:tc>
        <w:tc>
          <w:tcPr>
            <w:tcW w:w="907" w:type="dxa"/>
            <w:noWrap w:val="0"/>
            <w:vAlign w:val="center"/>
          </w:tcPr>
          <w:p w14:paraId="3B17891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11.3.1</w:t>
            </w:r>
          </w:p>
        </w:tc>
        <w:tc>
          <w:tcPr>
            <w:tcW w:w="4046" w:type="dxa"/>
            <w:noWrap w:val="0"/>
            <w:vAlign w:val="center"/>
          </w:tcPr>
          <w:p w14:paraId="370AB555">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企业应当依据法律、法规、规章、强制性标准以及经注册或者备案的产品技术要求，基于风险管理原则和产品质量保证能力等，制定进货检验规程、过程检验规程和成品检验规程等文件。</w:t>
            </w:r>
          </w:p>
        </w:tc>
        <w:tc>
          <w:tcPr>
            <w:tcW w:w="776" w:type="dxa"/>
            <w:noWrap w:val="0"/>
            <w:vAlign w:val="center"/>
          </w:tcPr>
          <w:p w14:paraId="186CC7B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275746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《规范》第九十七条</w:t>
            </w:r>
          </w:p>
        </w:tc>
      </w:tr>
      <w:tr w14:paraId="37C4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1116" w:type="dxa"/>
            <w:vMerge w:val="continue"/>
            <w:noWrap w:val="0"/>
            <w:vAlign w:val="center"/>
          </w:tcPr>
          <w:p w14:paraId="33D4710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90F833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153</w:t>
            </w:r>
          </w:p>
        </w:tc>
        <w:tc>
          <w:tcPr>
            <w:tcW w:w="907" w:type="dxa"/>
            <w:noWrap w:val="0"/>
            <w:vAlign w:val="center"/>
          </w:tcPr>
          <w:p w14:paraId="273358E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11.3.2</w:t>
            </w:r>
          </w:p>
        </w:tc>
        <w:tc>
          <w:tcPr>
            <w:tcW w:w="4046" w:type="dxa"/>
            <w:noWrap w:val="0"/>
            <w:vAlign w:val="center"/>
          </w:tcPr>
          <w:p w14:paraId="2BC9F1FC">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检验规程应当覆盖产品技术要求载明的性能指标，不能覆盖的应当予以说明，必要时给出经确认的替代解决方案。</w:t>
            </w:r>
          </w:p>
        </w:tc>
        <w:tc>
          <w:tcPr>
            <w:tcW w:w="776" w:type="dxa"/>
            <w:noWrap w:val="0"/>
            <w:vAlign w:val="center"/>
          </w:tcPr>
          <w:p w14:paraId="6D63F41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B84294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《规范》第九十七条</w:t>
            </w:r>
          </w:p>
        </w:tc>
      </w:tr>
      <w:tr w14:paraId="7AF1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1116" w:type="dxa"/>
            <w:vMerge w:val="continue"/>
            <w:noWrap w:val="0"/>
            <w:vAlign w:val="center"/>
          </w:tcPr>
          <w:p w14:paraId="1E41C17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D4A17A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154</w:t>
            </w:r>
          </w:p>
        </w:tc>
        <w:tc>
          <w:tcPr>
            <w:tcW w:w="907" w:type="dxa"/>
            <w:noWrap w:val="0"/>
            <w:vAlign w:val="center"/>
          </w:tcPr>
          <w:p w14:paraId="49F8407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11.4.1</w:t>
            </w:r>
          </w:p>
        </w:tc>
        <w:tc>
          <w:tcPr>
            <w:tcW w:w="4046" w:type="dxa"/>
            <w:noWrap w:val="0"/>
            <w:vAlign w:val="center"/>
          </w:tcPr>
          <w:p w14:paraId="7FE99665">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检验方法应当与产品的性能指标相适应。</w:t>
            </w:r>
          </w:p>
        </w:tc>
        <w:tc>
          <w:tcPr>
            <w:tcW w:w="776" w:type="dxa"/>
            <w:noWrap w:val="0"/>
            <w:vAlign w:val="center"/>
          </w:tcPr>
          <w:p w14:paraId="5D40915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E73159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《规范》第九十八条</w:t>
            </w:r>
          </w:p>
        </w:tc>
      </w:tr>
      <w:tr w14:paraId="1143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63BB99F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C2B34F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155</w:t>
            </w:r>
          </w:p>
        </w:tc>
        <w:tc>
          <w:tcPr>
            <w:tcW w:w="907" w:type="dxa"/>
            <w:noWrap w:val="0"/>
            <w:vAlign w:val="center"/>
          </w:tcPr>
          <w:p w14:paraId="466CB7C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11.4.2</w:t>
            </w:r>
          </w:p>
        </w:tc>
        <w:tc>
          <w:tcPr>
            <w:tcW w:w="4046" w:type="dxa"/>
            <w:noWrap w:val="0"/>
            <w:vAlign w:val="center"/>
          </w:tcPr>
          <w:p w14:paraId="5110057E">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对检验工作所需的标准品（参考品）、菌种、培养基以及其他辅助用品，企业应当根据其控制特点制定管理文件，确保满足检验要求。</w:t>
            </w:r>
          </w:p>
        </w:tc>
        <w:tc>
          <w:tcPr>
            <w:tcW w:w="776" w:type="dxa"/>
            <w:noWrap w:val="0"/>
            <w:vAlign w:val="center"/>
          </w:tcPr>
          <w:p w14:paraId="6A3B8EC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056291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《规范》第九十八条</w:t>
            </w:r>
          </w:p>
        </w:tc>
      </w:tr>
      <w:tr w14:paraId="18AA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116" w:type="dxa"/>
            <w:vMerge w:val="continue"/>
            <w:noWrap w:val="0"/>
            <w:vAlign w:val="center"/>
          </w:tcPr>
          <w:p w14:paraId="520182AE">
            <w:pPr>
              <w:widowControl/>
              <w:spacing w:line="300" w:lineRule="exact"/>
              <w:jc w:val="center"/>
              <w:textAlignment w:val="center"/>
              <w:rPr>
                <w:rFonts w:ascii="Times New Roman" w:hAnsi="Times New Roman" w:eastAsia="仿宋_GB2312" w:cs="Times New Roman"/>
                <w:kern w:val="0"/>
                <w:szCs w:val="21"/>
                <w:lang w:bidi="ar"/>
              </w:rPr>
            </w:pPr>
          </w:p>
        </w:tc>
        <w:tc>
          <w:tcPr>
            <w:tcW w:w="708" w:type="dxa"/>
            <w:noWrap w:val="0"/>
            <w:vAlign w:val="center"/>
          </w:tcPr>
          <w:p w14:paraId="34C36FB3">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156</w:t>
            </w:r>
          </w:p>
        </w:tc>
        <w:tc>
          <w:tcPr>
            <w:tcW w:w="907" w:type="dxa"/>
            <w:noWrap w:val="0"/>
            <w:vAlign w:val="center"/>
          </w:tcPr>
          <w:p w14:paraId="637D302C">
            <w:pPr>
              <w:widowControl/>
              <w:spacing w:line="300" w:lineRule="exact"/>
              <w:jc w:val="center"/>
              <w:textAlignment w:val="center"/>
              <w:rPr>
                <w:rFonts w:ascii="Times New Roman" w:hAnsi="Times New Roman" w:eastAsia="仿宋_GB2312" w:cs="Times New Roman"/>
                <w:strike/>
                <w:szCs w:val="21"/>
              </w:rPr>
            </w:pPr>
            <w:r>
              <w:rPr>
                <w:rFonts w:ascii="Times New Roman" w:hAnsi="Times New Roman" w:eastAsia="仿宋_GB2312" w:cs="Times New Roman"/>
                <w:szCs w:val="21"/>
              </w:rPr>
              <w:t>11.4.3</w:t>
            </w:r>
          </w:p>
        </w:tc>
        <w:tc>
          <w:tcPr>
            <w:tcW w:w="4046" w:type="dxa"/>
            <w:noWrap w:val="0"/>
            <w:vAlign w:val="center"/>
          </w:tcPr>
          <w:p w14:paraId="11550FC2">
            <w:pPr>
              <w:widowControl/>
              <w:spacing w:line="300" w:lineRule="exact"/>
              <w:textAlignment w:val="center"/>
              <w:rPr>
                <w:rFonts w:ascii="Times New Roman" w:hAnsi="Times New Roman" w:eastAsia="仿宋_GB2312" w:cs="Times New Roman"/>
                <w:strike/>
                <w:szCs w:val="21"/>
              </w:rPr>
            </w:pPr>
            <w:r>
              <w:rPr>
                <w:rFonts w:ascii="Times New Roman" w:hAnsi="Times New Roman" w:eastAsia="仿宋_GB2312" w:cs="Times New Roman"/>
                <w:kern w:val="0"/>
                <w:szCs w:val="21"/>
                <w:lang w:bidi="ar"/>
              </w:rPr>
              <w:t>企业应当建立校准品、参考品量值溯源程序，以及菌毒种、细胞库的管理要求。</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（一）对每批生产的校准品、参考品进行赋值</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（二）生产和检验用的菌毒种应当标明来源，验收、储存、保管、使用、销毁应执行国家有关医学微生物菌种保管的规定和病原微生物实验室生物安全管理条例</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企业应当建立生产用菌毒种的原始种子批、主代种子批和工作种子批系统。生产用细胞原始细胞库、主代细胞库、工作细胞库，应当建立细胞库档案资料和细胞操作日志。自行制备抗原或抗体，应当对所用原料的来源和性质有详细的记录并可追溯</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企业应当对检验过程中使用的标准品、校准品、质控品建立台帐及使用记录。应当记录其来源、批号、效期、溯源途径、主要技术指标、保存状态等信息。按照规定进行标准品、校准品、质控品复验并保存记录。</w:t>
            </w:r>
          </w:p>
        </w:tc>
        <w:tc>
          <w:tcPr>
            <w:tcW w:w="776" w:type="dxa"/>
            <w:noWrap w:val="0"/>
            <w:vAlign w:val="center"/>
          </w:tcPr>
          <w:p w14:paraId="57A8A6A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23227F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2.7.1、2.7.2、2.7.3、2.7.4</w:t>
            </w:r>
          </w:p>
        </w:tc>
      </w:tr>
      <w:tr w14:paraId="71DE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09D97A7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40D122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157</w:t>
            </w:r>
          </w:p>
        </w:tc>
        <w:tc>
          <w:tcPr>
            <w:tcW w:w="907" w:type="dxa"/>
            <w:noWrap w:val="0"/>
            <w:vAlign w:val="center"/>
          </w:tcPr>
          <w:p w14:paraId="60B78CF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11.5.1</w:t>
            </w:r>
          </w:p>
        </w:tc>
        <w:tc>
          <w:tcPr>
            <w:tcW w:w="4046" w:type="dxa"/>
            <w:noWrap w:val="0"/>
            <w:vAlign w:val="center"/>
          </w:tcPr>
          <w:p w14:paraId="5882AFC6">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企业应当建立检验样品管理规程，明确取样方法、取样量、标识、存放条件等要求，确保取样、分发、接收、存放、返回或者报废等过程受控。</w:t>
            </w:r>
          </w:p>
        </w:tc>
        <w:tc>
          <w:tcPr>
            <w:tcW w:w="776" w:type="dxa"/>
            <w:noWrap w:val="0"/>
            <w:vAlign w:val="center"/>
          </w:tcPr>
          <w:p w14:paraId="2740EED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6BC2B4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《规范》第九十九条</w:t>
            </w:r>
          </w:p>
        </w:tc>
      </w:tr>
      <w:tr w14:paraId="608C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116" w:type="dxa"/>
            <w:vMerge w:val="continue"/>
            <w:noWrap w:val="0"/>
            <w:vAlign w:val="center"/>
          </w:tcPr>
          <w:p w14:paraId="5A557EC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EA133C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158</w:t>
            </w:r>
          </w:p>
        </w:tc>
        <w:tc>
          <w:tcPr>
            <w:tcW w:w="907" w:type="dxa"/>
            <w:noWrap w:val="0"/>
            <w:vAlign w:val="center"/>
          </w:tcPr>
          <w:p w14:paraId="2AB9918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11.6.1</w:t>
            </w:r>
          </w:p>
        </w:tc>
        <w:tc>
          <w:tcPr>
            <w:tcW w:w="4046" w:type="dxa"/>
            <w:noWrap w:val="0"/>
            <w:vAlign w:val="center"/>
          </w:tcPr>
          <w:p w14:paraId="167F83A1">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企业应当按照检验规程开展检验检测活动。</w:t>
            </w:r>
          </w:p>
        </w:tc>
        <w:tc>
          <w:tcPr>
            <w:tcW w:w="776" w:type="dxa"/>
            <w:noWrap w:val="0"/>
            <w:vAlign w:val="center"/>
          </w:tcPr>
          <w:p w14:paraId="41BBA2A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B6EDB0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《规范》第一百条</w:t>
            </w:r>
          </w:p>
        </w:tc>
      </w:tr>
      <w:tr w14:paraId="4071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116" w:type="dxa"/>
            <w:vMerge w:val="continue"/>
            <w:noWrap w:val="0"/>
            <w:vAlign w:val="center"/>
          </w:tcPr>
          <w:p w14:paraId="3C217A1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BF46D2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159</w:t>
            </w:r>
          </w:p>
        </w:tc>
        <w:tc>
          <w:tcPr>
            <w:tcW w:w="907" w:type="dxa"/>
            <w:noWrap w:val="0"/>
            <w:vAlign w:val="center"/>
          </w:tcPr>
          <w:p w14:paraId="1765284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11.6.2</w:t>
            </w:r>
          </w:p>
        </w:tc>
        <w:tc>
          <w:tcPr>
            <w:tcW w:w="4046" w:type="dxa"/>
            <w:noWrap w:val="0"/>
            <w:vAlign w:val="center"/>
          </w:tcPr>
          <w:p w14:paraId="4807790F">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每批产品均应当有检验记录，并满足追溯要求。</w:t>
            </w:r>
          </w:p>
        </w:tc>
        <w:tc>
          <w:tcPr>
            <w:tcW w:w="776" w:type="dxa"/>
            <w:noWrap w:val="0"/>
            <w:vAlign w:val="center"/>
          </w:tcPr>
          <w:p w14:paraId="74683EA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C4DE3C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《规范》第一百条</w:t>
            </w:r>
          </w:p>
        </w:tc>
      </w:tr>
      <w:tr w14:paraId="7E53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0F30BD2B">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BCE2E2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160</w:t>
            </w:r>
          </w:p>
        </w:tc>
        <w:tc>
          <w:tcPr>
            <w:tcW w:w="907" w:type="dxa"/>
            <w:noWrap w:val="0"/>
            <w:vAlign w:val="center"/>
          </w:tcPr>
          <w:p w14:paraId="0DEB9A1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11.6.3</w:t>
            </w:r>
          </w:p>
        </w:tc>
        <w:tc>
          <w:tcPr>
            <w:tcW w:w="4046" w:type="dxa"/>
            <w:noWrap w:val="0"/>
            <w:vAlign w:val="center"/>
          </w:tcPr>
          <w:p w14:paraId="10E56236">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检验记录应当包括进货检验、过程检验和成品检验记录、报告或者证书，内容至少包括产品或者原材料信息、检验项目、检验设备、检验结果、检验日期、检验人员、复核人员等。</w:t>
            </w:r>
          </w:p>
        </w:tc>
        <w:tc>
          <w:tcPr>
            <w:tcW w:w="776" w:type="dxa"/>
            <w:noWrap w:val="0"/>
            <w:vAlign w:val="center"/>
          </w:tcPr>
          <w:p w14:paraId="6572D2B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2E2BD0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《规范》第一百条</w:t>
            </w:r>
          </w:p>
        </w:tc>
      </w:tr>
      <w:tr w14:paraId="609D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trPr>
        <w:tc>
          <w:tcPr>
            <w:tcW w:w="1116" w:type="dxa"/>
            <w:vMerge w:val="continue"/>
            <w:noWrap w:val="0"/>
            <w:vAlign w:val="center"/>
          </w:tcPr>
          <w:p w14:paraId="0233618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F89012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161</w:t>
            </w:r>
          </w:p>
        </w:tc>
        <w:tc>
          <w:tcPr>
            <w:tcW w:w="907" w:type="dxa"/>
            <w:noWrap w:val="0"/>
            <w:vAlign w:val="center"/>
          </w:tcPr>
          <w:p w14:paraId="409C83F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11.7.1</w:t>
            </w:r>
          </w:p>
        </w:tc>
        <w:tc>
          <w:tcPr>
            <w:tcW w:w="4046" w:type="dxa"/>
            <w:noWrap w:val="0"/>
            <w:vAlign w:val="center"/>
          </w:tcPr>
          <w:p w14:paraId="642CC6C0">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检验设备管理至少包括下列内容：</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（一）检验设备经过校准或者检定，结果经过确认</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（二）明确检验设备搬运、储存、维护和维修等要求</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（三）检验设备不符合要求时，应当立即停止使用，并对以往检验结果进行评价。必要时，采取相应措施并保留记录。</w:t>
            </w:r>
          </w:p>
        </w:tc>
        <w:tc>
          <w:tcPr>
            <w:tcW w:w="776" w:type="dxa"/>
            <w:noWrap w:val="0"/>
            <w:vAlign w:val="center"/>
          </w:tcPr>
          <w:p w14:paraId="36C8BBD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30FDDA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《规范》第一百零一条</w:t>
            </w:r>
          </w:p>
        </w:tc>
      </w:tr>
      <w:tr w14:paraId="5F0C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116" w:type="dxa"/>
            <w:vMerge w:val="continue"/>
            <w:noWrap w:val="0"/>
            <w:vAlign w:val="center"/>
          </w:tcPr>
          <w:p w14:paraId="762EFA5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EB58A5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162</w:t>
            </w:r>
          </w:p>
        </w:tc>
        <w:tc>
          <w:tcPr>
            <w:tcW w:w="907" w:type="dxa"/>
            <w:noWrap w:val="0"/>
            <w:vAlign w:val="center"/>
          </w:tcPr>
          <w:p w14:paraId="09A139B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11.8.1</w:t>
            </w:r>
          </w:p>
        </w:tc>
        <w:tc>
          <w:tcPr>
            <w:tcW w:w="4046" w:type="dxa"/>
            <w:noWrap w:val="0"/>
            <w:vAlign w:val="center"/>
          </w:tcPr>
          <w:p w14:paraId="135A3397">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企业应当结合产品检验要求对检验环境进行规定、监测和控制，并保留记录。</w:t>
            </w:r>
          </w:p>
        </w:tc>
        <w:tc>
          <w:tcPr>
            <w:tcW w:w="776" w:type="dxa"/>
            <w:noWrap w:val="0"/>
            <w:vAlign w:val="center"/>
          </w:tcPr>
          <w:p w14:paraId="6EA25F7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E715E2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《规范》第一百零二条</w:t>
            </w:r>
          </w:p>
        </w:tc>
      </w:tr>
      <w:tr w14:paraId="6758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1116" w:type="dxa"/>
            <w:vMerge w:val="continue"/>
            <w:noWrap w:val="0"/>
            <w:vAlign w:val="center"/>
          </w:tcPr>
          <w:p w14:paraId="432588B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093546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163</w:t>
            </w:r>
          </w:p>
        </w:tc>
        <w:tc>
          <w:tcPr>
            <w:tcW w:w="907" w:type="dxa"/>
            <w:noWrap w:val="0"/>
            <w:vAlign w:val="center"/>
          </w:tcPr>
          <w:p w14:paraId="77DD183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11.8.2</w:t>
            </w:r>
          </w:p>
        </w:tc>
        <w:tc>
          <w:tcPr>
            <w:tcW w:w="4046" w:type="dxa"/>
            <w:noWrap w:val="0"/>
            <w:vAlign w:val="center"/>
          </w:tcPr>
          <w:p w14:paraId="1F2CFC69">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开展特殊专业检验的实验室，环境设施条件应当符合特定专业要求。</w:t>
            </w:r>
          </w:p>
        </w:tc>
        <w:tc>
          <w:tcPr>
            <w:tcW w:w="776" w:type="dxa"/>
            <w:noWrap w:val="0"/>
            <w:vAlign w:val="center"/>
          </w:tcPr>
          <w:p w14:paraId="0BA5A87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7B599B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《规范》第一百零二条</w:t>
            </w:r>
          </w:p>
        </w:tc>
      </w:tr>
      <w:tr w14:paraId="23F0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116" w:type="dxa"/>
            <w:vMerge w:val="continue"/>
            <w:noWrap w:val="0"/>
            <w:vAlign w:val="center"/>
          </w:tcPr>
          <w:p w14:paraId="077AEF8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2EA6D1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164</w:t>
            </w:r>
          </w:p>
        </w:tc>
        <w:tc>
          <w:tcPr>
            <w:tcW w:w="907" w:type="dxa"/>
            <w:noWrap w:val="0"/>
            <w:vAlign w:val="center"/>
          </w:tcPr>
          <w:p w14:paraId="691DB01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11.9.1</w:t>
            </w:r>
          </w:p>
        </w:tc>
        <w:tc>
          <w:tcPr>
            <w:tcW w:w="4046" w:type="dxa"/>
            <w:noWrap w:val="0"/>
            <w:vAlign w:val="center"/>
          </w:tcPr>
          <w:p w14:paraId="339D2C81">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企业应当根据产品特性制定检验结果不合格调查处理规程。</w:t>
            </w:r>
          </w:p>
        </w:tc>
        <w:tc>
          <w:tcPr>
            <w:tcW w:w="776" w:type="dxa"/>
            <w:noWrap w:val="0"/>
            <w:vAlign w:val="center"/>
          </w:tcPr>
          <w:p w14:paraId="48F680B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CA24C2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《规范》第一百零三条</w:t>
            </w:r>
          </w:p>
        </w:tc>
      </w:tr>
      <w:tr w14:paraId="3429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1116" w:type="dxa"/>
            <w:vMerge w:val="continue"/>
            <w:noWrap w:val="0"/>
            <w:vAlign w:val="center"/>
          </w:tcPr>
          <w:p w14:paraId="49EF1DD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B76227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165</w:t>
            </w:r>
          </w:p>
        </w:tc>
        <w:tc>
          <w:tcPr>
            <w:tcW w:w="907" w:type="dxa"/>
            <w:noWrap w:val="0"/>
            <w:vAlign w:val="center"/>
          </w:tcPr>
          <w:p w14:paraId="0D58F8B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11.9.2</w:t>
            </w:r>
          </w:p>
        </w:tc>
        <w:tc>
          <w:tcPr>
            <w:tcW w:w="4046" w:type="dxa"/>
            <w:noWrap w:val="0"/>
            <w:vAlign w:val="center"/>
          </w:tcPr>
          <w:p w14:paraId="528E5C75">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任何检验不合格均应当进行调查处理，并保留记录。</w:t>
            </w:r>
          </w:p>
        </w:tc>
        <w:tc>
          <w:tcPr>
            <w:tcW w:w="776" w:type="dxa"/>
            <w:noWrap w:val="0"/>
            <w:vAlign w:val="center"/>
          </w:tcPr>
          <w:p w14:paraId="275B43E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A2FD7A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《规范》第一百零三条</w:t>
            </w:r>
          </w:p>
        </w:tc>
      </w:tr>
      <w:tr w14:paraId="31C9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116" w:type="dxa"/>
            <w:vMerge w:val="continue"/>
            <w:noWrap w:val="0"/>
            <w:vAlign w:val="center"/>
          </w:tcPr>
          <w:p w14:paraId="0552933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C4FF2A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166</w:t>
            </w:r>
          </w:p>
        </w:tc>
        <w:tc>
          <w:tcPr>
            <w:tcW w:w="907" w:type="dxa"/>
            <w:noWrap w:val="0"/>
            <w:vAlign w:val="center"/>
          </w:tcPr>
          <w:p w14:paraId="5080269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11.9.3</w:t>
            </w:r>
          </w:p>
        </w:tc>
        <w:tc>
          <w:tcPr>
            <w:tcW w:w="4046" w:type="dxa"/>
            <w:noWrap w:val="0"/>
            <w:vAlign w:val="center"/>
          </w:tcPr>
          <w:p w14:paraId="54CC9BA7">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对检验过程偏差造成的不合格，可以进行复检。</w:t>
            </w:r>
          </w:p>
        </w:tc>
        <w:tc>
          <w:tcPr>
            <w:tcW w:w="776" w:type="dxa"/>
            <w:noWrap w:val="0"/>
            <w:vAlign w:val="center"/>
          </w:tcPr>
          <w:p w14:paraId="01DD35B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29D7B0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《规范》第一百零三条</w:t>
            </w:r>
          </w:p>
        </w:tc>
      </w:tr>
      <w:tr w14:paraId="7470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8" w:hRule="atLeast"/>
        </w:trPr>
        <w:tc>
          <w:tcPr>
            <w:tcW w:w="1116" w:type="dxa"/>
            <w:vMerge w:val="continue"/>
            <w:noWrap w:val="0"/>
            <w:vAlign w:val="center"/>
          </w:tcPr>
          <w:p w14:paraId="474E478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D6A9C4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167</w:t>
            </w:r>
          </w:p>
        </w:tc>
        <w:tc>
          <w:tcPr>
            <w:tcW w:w="907" w:type="dxa"/>
            <w:noWrap w:val="0"/>
            <w:vAlign w:val="center"/>
          </w:tcPr>
          <w:p w14:paraId="6154F92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11.10.1</w:t>
            </w:r>
          </w:p>
        </w:tc>
        <w:tc>
          <w:tcPr>
            <w:tcW w:w="4046" w:type="dxa"/>
            <w:noWrap w:val="0"/>
            <w:vAlign w:val="center"/>
          </w:tcPr>
          <w:p w14:paraId="1D292E76">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企业应当建立产品放行工作程序，明确产品放行条件、审核和批准要求等，确认产品至少符合下列条件后，经授权的放行人员按照规定签发产品放行单：</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（一）完成所有规定的工艺流程</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（二）批生产记录完整齐全</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（三）质量控制记录完整齐全，结果符合规定要求，已按照规定签发记录</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（四）产品生产过程中出现的不合格、返工、返修、降级使用、紧急放行等特殊情况已经按照规定处理完毕</w:t>
            </w:r>
            <w:r>
              <w:rPr>
                <w:rFonts w:hint="eastAsia" w:ascii="Times New Roman" w:hAnsi="Times New Roman" w:eastAsia="仿宋_GB2312" w:cs="Times New Roman"/>
                <w:kern w:val="0"/>
                <w:szCs w:val="21"/>
                <w:lang w:val="en"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（五）产品说明书、标签及其版本、医疗器械唯一标识赋码符合规定要求。</w:t>
            </w:r>
          </w:p>
        </w:tc>
        <w:tc>
          <w:tcPr>
            <w:tcW w:w="776" w:type="dxa"/>
            <w:noWrap w:val="0"/>
            <w:vAlign w:val="center"/>
          </w:tcPr>
          <w:p w14:paraId="3236557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918A68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《规范》第一百零四条</w:t>
            </w:r>
          </w:p>
        </w:tc>
      </w:tr>
      <w:tr w14:paraId="0B31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trPr>
        <w:tc>
          <w:tcPr>
            <w:tcW w:w="1116" w:type="dxa"/>
            <w:vMerge w:val="continue"/>
            <w:noWrap w:val="0"/>
            <w:vAlign w:val="center"/>
          </w:tcPr>
          <w:p w14:paraId="63AD255E">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EF93EE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168</w:t>
            </w:r>
          </w:p>
        </w:tc>
        <w:tc>
          <w:tcPr>
            <w:tcW w:w="907" w:type="dxa"/>
            <w:noWrap w:val="0"/>
            <w:vAlign w:val="center"/>
          </w:tcPr>
          <w:p w14:paraId="6255050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11.10.2</w:t>
            </w:r>
          </w:p>
        </w:tc>
        <w:tc>
          <w:tcPr>
            <w:tcW w:w="4046" w:type="dxa"/>
            <w:noWrap w:val="0"/>
            <w:vAlign w:val="center"/>
          </w:tcPr>
          <w:p w14:paraId="7EFD2B6A">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完成放行的产品应当附有合格证明文件，合格证明文件可以是产品检验报告、放行单、合格标识或者合格证等。</w:t>
            </w:r>
          </w:p>
        </w:tc>
        <w:tc>
          <w:tcPr>
            <w:tcW w:w="776" w:type="dxa"/>
            <w:noWrap w:val="0"/>
            <w:vAlign w:val="center"/>
          </w:tcPr>
          <w:p w14:paraId="37A17B6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F77A0C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《规范》第一百零四条</w:t>
            </w:r>
          </w:p>
        </w:tc>
      </w:tr>
      <w:tr w14:paraId="6BF8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59E9ABE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69E8BC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169</w:t>
            </w:r>
          </w:p>
        </w:tc>
        <w:tc>
          <w:tcPr>
            <w:tcW w:w="907" w:type="dxa"/>
            <w:noWrap w:val="0"/>
            <w:vAlign w:val="center"/>
          </w:tcPr>
          <w:p w14:paraId="7430A96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11.10.3</w:t>
            </w:r>
          </w:p>
        </w:tc>
        <w:tc>
          <w:tcPr>
            <w:tcW w:w="4046" w:type="dxa"/>
            <w:noWrap w:val="0"/>
            <w:vAlign w:val="center"/>
          </w:tcPr>
          <w:p w14:paraId="4BDA8A29">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委托生产的，产品放行包括生产放行和上市放行。医疗器械注册人、备案人负责上市放行，受托生产企业负责生产放行。</w:t>
            </w:r>
          </w:p>
        </w:tc>
        <w:tc>
          <w:tcPr>
            <w:tcW w:w="776" w:type="dxa"/>
            <w:noWrap w:val="0"/>
            <w:vAlign w:val="center"/>
          </w:tcPr>
          <w:p w14:paraId="17A6A5D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1904E5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《规范》第一百零四条</w:t>
            </w:r>
          </w:p>
        </w:tc>
      </w:tr>
      <w:tr w14:paraId="1008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7A96680F">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E01D34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170</w:t>
            </w:r>
          </w:p>
        </w:tc>
        <w:tc>
          <w:tcPr>
            <w:tcW w:w="907" w:type="dxa"/>
            <w:noWrap w:val="0"/>
            <w:vAlign w:val="center"/>
          </w:tcPr>
          <w:p w14:paraId="6F3C0CC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11.11.1</w:t>
            </w:r>
          </w:p>
        </w:tc>
        <w:tc>
          <w:tcPr>
            <w:tcW w:w="4046" w:type="dxa"/>
            <w:noWrap w:val="0"/>
            <w:vAlign w:val="center"/>
          </w:tcPr>
          <w:p w14:paraId="6BF728AE">
            <w:pPr>
              <w:widowControl/>
              <w:spacing w:line="300" w:lineRule="exact"/>
              <w:textAlignment w:val="center"/>
              <w:rPr>
                <w:rFonts w:ascii="Times New Roman" w:hAnsi="Times New Roman" w:eastAsia="仿宋_GB2312" w:cs="Times New Roman"/>
                <w:szCs w:val="21"/>
              </w:rPr>
            </w:pPr>
            <w:r>
              <w:rPr>
                <w:rStyle w:val="6"/>
                <w:rFonts w:hint="default" w:ascii="Times New Roman" w:hAnsi="Times New Roman" w:eastAsia="仿宋_GB2312" w:cs="Times New Roman"/>
                <w:color w:val="auto"/>
                <w:sz w:val="21"/>
                <w:szCs w:val="21"/>
                <w:lang w:bidi="ar"/>
              </w:rPr>
              <w:t>企业应当根据产品和工艺特点制定留样管理规程，按照规定进行留样并保存留样观察记录。</w:t>
            </w:r>
            <w:r>
              <w:rPr>
                <w:rStyle w:val="5"/>
                <w:rFonts w:hint="default" w:ascii="Times New Roman" w:hAnsi="Times New Roman" w:eastAsia="仿宋_GB2312" w:cs="Times New Roman"/>
                <w:color w:val="auto"/>
                <w:sz w:val="21"/>
                <w:szCs w:val="21"/>
                <w:lang w:bidi="ar"/>
              </w:rPr>
              <w:t>留样应当在规定条件下储存。应当建立留样台帐，及时记录留样检验信息，留样检验报告应当注明留样批号、效期、检验日期、检验人、检验结果等。留样期满后应当对留样检验报告进行汇总、分析并归档。</w:t>
            </w:r>
          </w:p>
        </w:tc>
        <w:tc>
          <w:tcPr>
            <w:tcW w:w="776" w:type="dxa"/>
            <w:noWrap w:val="0"/>
            <w:vAlign w:val="center"/>
          </w:tcPr>
          <w:p w14:paraId="32DDD0B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9A1BDF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《规范》第一百零五条</w:t>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2.7.5</w:t>
            </w:r>
          </w:p>
        </w:tc>
      </w:tr>
      <w:tr w14:paraId="0AA3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1116" w:type="dxa"/>
            <w:vMerge w:val="continue"/>
            <w:noWrap w:val="0"/>
            <w:vAlign w:val="center"/>
          </w:tcPr>
          <w:p w14:paraId="502D285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4FC358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171</w:t>
            </w:r>
          </w:p>
        </w:tc>
        <w:tc>
          <w:tcPr>
            <w:tcW w:w="907" w:type="dxa"/>
            <w:noWrap w:val="0"/>
            <w:vAlign w:val="center"/>
          </w:tcPr>
          <w:p w14:paraId="1665369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11.12.1</w:t>
            </w:r>
          </w:p>
        </w:tc>
        <w:tc>
          <w:tcPr>
            <w:tcW w:w="4046" w:type="dxa"/>
            <w:noWrap w:val="0"/>
            <w:vAlign w:val="center"/>
          </w:tcPr>
          <w:p w14:paraId="5053735F">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需要常规控制的进货检验、过程检验和成品检验项目一般不得进行委托检验。</w:t>
            </w:r>
          </w:p>
        </w:tc>
        <w:tc>
          <w:tcPr>
            <w:tcW w:w="776" w:type="dxa"/>
            <w:noWrap w:val="0"/>
            <w:vAlign w:val="center"/>
          </w:tcPr>
          <w:p w14:paraId="268E1DA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7D2524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《规范》第一百零六条</w:t>
            </w:r>
          </w:p>
        </w:tc>
      </w:tr>
      <w:tr w14:paraId="3F80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1116" w:type="dxa"/>
            <w:vMerge w:val="continue"/>
            <w:noWrap w:val="0"/>
            <w:vAlign w:val="center"/>
          </w:tcPr>
          <w:p w14:paraId="084FC3E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D14D08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172</w:t>
            </w:r>
          </w:p>
        </w:tc>
        <w:tc>
          <w:tcPr>
            <w:tcW w:w="907" w:type="dxa"/>
            <w:noWrap w:val="0"/>
            <w:vAlign w:val="center"/>
          </w:tcPr>
          <w:p w14:paraId="2F588EF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11.12.2</w:t>
            </w:r>
          </w:p>
        </w:tc>
        <w:tc>
          <w:tcPr>
            <w:tcW w:w="4046" w:type="dxa"/>
            <w:noWrap w:val="0"/>
            <w:vAlign w:val="center"/>
          </w:tcPr>
          <w:p w14:paraId="54DBFB74">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对于检验条件和设备要求较高，确需委托检验的项目，可以委托具有资质的机构进行检验。</w:t>
            </w:r>
          </w:p>
        </w:tc>
        <w:tc>
          <w:tcPr>
            <w:tcW w:w="776" w:type="dxa"/>
            <w:noWrap w:val="0"/>
            <w:vAlign w:val="center"/>
          </w:tcPr>
          <w:p w14:paraId="5F880F1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84420B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《规范》第一百零六条</w:t>
            </w:r>
          </w:p>
        </w:tc>
      </w:tr>
      <w:tr w14:paraId="73CDB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1116" w:type="dxa"/>
            <w:vMerge w:val="continue"/>
            <w:noWrap w:val="0"/>
            <w:vAlign w:val="center"/>
          </w:tcPr>
          <w:p w14:paraId="53190CF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7FBFB2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173</w:t>
            </w:r>
          </w:p>
        </w:tc>
        <w:tc>
          <w:tcPr>
            <w:tcW w:w="907" w:type="dxa"/>
            <w:noWrap w:val="0"/>
            <w:vAlign w:val="center"/>
          </w:tcPr>
          <w:p w14:paraId="4FC9922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11.12.3</w:t>
            </w:r>
          </w:p>
        </w:tc>
        <w:tc>
          <w:tcPr>
            <w:tcW w:w="4046" w:type="dxa"/>
            <w:noWrap w:val="0"/>
            <w:vAlign w:val="center"/>
          </w:tcPr>
          <w:p w14:paraId="5C654AC7">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委托检验的，企业应当与受托检验机构签订质量协议，明确规定双方责任和委托检验要求。</w:t>
            </w:r>
          </w:p>
        </w:tc>
        <w:tc>
          <w:tcPr>
            <w:tcW w:w="776" w:type="dxa"/>
            <w:noWrap w:val="0"/>
            <w:vAlign w:val="center"/>
          </w:tcPr>
          <w:p w14:paraId="63F5CC6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AC65ED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《规范》第一百零六条</w:t>
            </w:r>
          </w:p>
        </w:tc>
      </w:tr>
      <w:tr w14:paraId="4360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716FB11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37D056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174</w:t>
            </w:r>
          </w:p>
        </w:tc>
        <w:tc>
          <w:tcPr>
            <w:tcW w:w="907" w:type="dxa"/>
            <w:noWrap w:val="0"/>
            <w:vAlign w:val="center"/>
          </w:tcPr>
          <w:p w14:paraId="6EBC48E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11.12.4</w:t>
            </w:r>
          </w:p>
        </w:tc>
        <w:tc>
          <w:tcPr>
            <w:tcW w:w="4046" w:type="dxa"/>
            <w:noWrap w:val="0"/>
            <w:vAlign w:val="center"/>
          </w:tcPr>
          <w:p w14:paraId="76D77E07">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委托方应当对受托检验机构的检验能力开展评价，并对委托检验结果进行确认。</w:t>
            </w:r>
          </w:p>
        </w:tc>
        <w:tc>
          <w:tcPr>
            <w:tcW w:w="776" w:type="dxa"/>
            <w:noWrap w:val="0"/>
            <w:vAlign w:val="center"/>
          </w:tcPr>
          <w:p w14:paraId="5BD1A7D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9818A7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《规范》第一百零六条</w:t>
            </w:r>
          </w:p>
        </w:tc>
      </w:tr>
      <w:tr w14:paraId="4373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restart"/>
            <w:noWrap w:val="0"/>
            <w:vAlign w:val="center"/>
          </w:tcPr>
          <w:p w14:paraId="47F1661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第十二章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委托生产与外协加工</w:t>
            </w:r>
          </w:p>
        </w:tc>
        <w:tc>
          <w:tcPr>
            <w:tcW w:w="708" w:type="dxa"/>
            <w:noWrap w:val="0"/>
            <w:vAlign w:val="center"/>
          </w:tcPr>
          <w:p w14:paraId="7AA09C6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175</w:t>
            </w:r>
          </w:p>
        </w:tc>
        <w:tc>
          <w:tcPr>
            <w:tcW w:w="907" w:type="dxa"/>
            <w:noWrap w:val="0"/>
            <w:vAlign w:val="center"/>
          </w:tcPr>
          <w:p w14:paraId="3035C16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12.1.1</w:t>
            </w:r>
          </w:p>
        </w:tc>
        <w:tc>
          <w:tcPr>
            <w:tcW w:w="4046" w:type="dxa"/>
            <w:noWrap w:val="0"/>
            <w:vAlign w:val="center"/>
          </w:tcPr>
          <w:p w14:paraId="068A59A6">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委托生产医疗器械的，委托方质量管理体系应当覆盖医疗器械全生命周期。受托生产企业质量管理体系应当包括与受托生产活动相关内容。</w:t>
            </w:r>
          </w:p>
        </w:tc>
        <w:tc>
          <w:tcPr>
            <w:tcW w:w="776" w:type="dxa"/>
            <w:noWrap w:val="0"/>
            <w:vAlign w:val="center"/>
          </w:tcPr>
          <w:p w14:paraId="60C8031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598F6E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《规范》第一百零七条</w:t>
            </w:r>
          </w:p>
        </w:tc>
      </w:tr>
      <w:tr w14:paraId="5649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29BFBB7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CE82C1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176</w:t>
            </w:r>
          </w:p>
        </w:tc>
        <w:tc>
          <w:tcPr>
            <w:tcW w:w="907" w:type="dxa"/>
            <w:noWrap w:val="0"/>
            <w:vAlign w:val="center"/>
          </w:tcPr>
          <w:p w14:paraId="5C8486F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12.1.2</w:t>
            </w:r>
          </w:p>
        </w:tc>
        <w:tc>
          <w:tcPr>
            <w:tcW w:w="4046" w:type="dxa"/>
            <w:noWrap w:val="0"/>
            <w:vAlign w:val="center"/>
          </w:tcPr>
          <w:p w14:paraId="617C5E0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委托双方应当建立有效沟通机制，确保质量管理体系有效衔接与运行。</w:t>
            </w:r>
          </w:p>
        </w:tc>
        <w:tc>
          <w:tcPr>
            <w:tcW w:w="776" w:type="dxa"/>
            <w:noWrap w:val="0"/>
            <w:vAlign w:val="center"/>
          </w:tcPr>
          <w:p w14:paraId="2D946E7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CA17C8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《规范》第一百零七条</w:t>
            </w:r>
          </w:p>
        </w:tc>
      </w:tr>
      <w:tr w14:paraId="3383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13C49661">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E7800C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177</w:t>
            </w:r>
          </w:p>
        </w:tc>
        <w:tc>
          <w:tcPr>
            <w:tcW w:w="907" w:type="dxa"/>
            <w:noWrap w:val="0"/>
            <w:vAlign w:val="center"/>
          </w:tcPr>
          <w:p w14:paraId="4B1E551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12.2.1</w:t>
            </w:r>
          </w:p>
        </w:tc>
        <w:tc>
          <w:tcPr>
            <w:tcW w:w="4046" w:type="dxa"/>
            <w:noWrap w:val="0"/>
            <w:vAlign w:val="center"/>
          </w:tcPr>
          <w:p w14:paraId="79D65666">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委托方与受托方应当签订质量协议，明确双方在产品生产全过程中各自的权利、义务和责任。委托方不得通过协议转移依法应当由其履行的义务和责任。</w:t>
            </w:r>
          </w:p>
        </w:tc>
        <w:tc>
          <w:tcPr>
            <w:tcW w:w="776" w:type="dxa"/>
            <w:noWrap w:val="0"/>
            <w:vAlign w:val="center"/>
          </w:tcPr>
          <w:p w14:paraId="1DCE0E0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90F15E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《规范》第一百零八条</w:t>
            </w:r>
          </w:p>
        </w:tc>
      </w:tr>
      <w:tr w14:paraId="55AF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66FC35C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575A7C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178</w:t>
            </w:r>
          </w:p>
        </w:tc>
        <w:tc>
          <w:tcPr>
            <w:tcW w:w="907" w:type="dxa"/>
            <w:noWrap w:val="0"/>
            <w:vAlign w:val="center"/>
          </w:tcPr>
          <w:p w14:paraId="2756CC1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12.3.1</w:t>
            </w:r>
          </w:p>
        </w:tc>
        <w:tc>
          <w:tcPr>
            <w:tcW w:w="4046" w:type="dxa"/>
            <w:noWrap w:val="0"/>
            <w:vAlign w:val="center"/>
          </w:tcPr>
          <w:p w14:paraId="53F9579A">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委托生产前，委托方应当对受托方生产能力、质量保证能力和风险管理能力进行现场评估，确认其具备受托生产能力，并能持续符合本规范要求</w:t>
            </w:r>
            <w:r>
              <w:rPr>
                <w:rFonts w:ascii="Times New Roman" w:hAnsi="Times New Roman" w:eastAsia="仿宋_GB2312" w:cs="Times New Roman"/>
                <w:kern w:val="0"/>
                <w:szCs w:val="21"/>
                <w:lang w:val="en" w:bidi="ar"/>
              </w:rPr>
              <w:t>，</w:t>
            </w:r>
            <w:r>
              <w:rPr>
                <w:rFonts w:ascii="Times New Roman" w:hAnsi="Times New Roman" w:eastAsia="仿宋_GB2312" w:cs="Times New Roman"/>
                <w:kern w:val="0"/>
                <w:szCs w:val="21"/>
                <w:lang w:bidi="ar"/>
              </w:rPr>
              <w:t>委托生产期间，应当定期对受托方质量管理体系进行现场审核和评估。</w:t>
            </w:r>
          </w:p>
        </w:tc>
        <w:tc>
          <w:tcPr>
            <w:tcW w:w="776" w:type="dxa"/>
            <w:noWrap w:val="0"/>
            <w:vAlign w:val="center"/>
          </w:tcPr>
          <w:p w14:paraId="7297DB1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7594E8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《规范》第一百零九条</w:t>
            </w:r>
          </w:p>
        </w:tc>
      </w:tr>
      <w:tr w14:paraId="3207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116" w:type="dxa"/>
            <w:vMerge w:val="continue"/>
            <w:noWrap w:val="0"/>
            <w:vAlign w:val="center"/>
          </w:tcPr>
          <w:p w14:paraId="09A5169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653193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179</w:t>
            </w:r>
          </w:p>
        </w:tc>
        <w:tc>
          <w:tcPr>
            <w:tcW w:w="907" w:type="dxa"/>
            <w:noWrap w:val="0"/>
            <w:vAlign w:val="center"/>
          </w:tcPr>
          <w:p w14:paraId="1AA8AD4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12.3.2</w:t>
            </w:r>
          </w:p>
        </w:tc>
        <w:tc>
          <w:tcPr>
            <w:tcW w:w="4046" w:type="dxa"/>
            <w:noWrap w:val="0"/>
            <w:vAlign w:val="center"/>
          </w:tcPr>
          <w:p w14:paraId="7AA52394">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受托方应当接受委托方的审核和监督，并及时采取纠正预防措施落实其整改要求。</w:t>
            </w:r>
          </w:p>
        </w:tc>
        <w:tc>
          <w:tcPr>
            <w:tcW w:w="776" w:type="dxa"/>
            <w:noWrap w:val="0"/>
            <w:vAlign w:val="center"/>
          </w:tcPr>
          <w:p w14:paraId="326F796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C56EA8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《规范》第一百零九条</w:t>
            </w:r>
          </w:p>
        </w:tc>
      </w:tr>
      <w:tr w14:paraId="5823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116" w:type="dxa"/>
            <w:vMerge w:val="continue"/>
            <w:noWrap w:val="0"/>
            <w:vAlign w:val="center"/>
          </w:tcPr>
          <w:p w14:paraId="296A85FE">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44099F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180</w:t>
            </w:r>
          </w:p>
        </w:tc>
        <w:tc>
          <w:tcPr>
            <w:tcW w:w="907" w:type="dxa"/>
            <w:noWrap w:val="0"/>
            <w:vAlign w:val="center"/>
          </w:tcPr>
          <w:p w14:paraId="1B424DD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12.4.1</w:t>
            </w:r>
          </w:p>
        </w:tc>
        <w:tc>
          <w:tcPr>
            <w:tcW w:w="4046" w:type="dxa"/>
            <w:noWrap w:val="0"/>
            <w:vAlign w:val="center"/>
          </w:tcPr>
          <w:p w14:paraId="4AD68EF8">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委托方应当设置相应的质量管理机构，配备足够数量和能力的专职质量管理人员，以及熟悉产品、具有相应专业知识的技术人员，对委托生产活动进行有效监测和控制。</w:t>
            </w:r>
          </w:p>
        </w:tc>
        <w:tc>
          <w:tcPr>
            <w:tcW w:w="776" w:type="dxa"/>
            <w:noWrap w:val="0"/>
            <w:vAlign w:val="center"/>
          </w:tcPr>
          <w:p w14:paraId="24D27DC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ED0C1E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《规范》第一百一十条</w:t>
            </w:r>
          </w:p>
        </w:tc>
      </w:tr>
      <w:tr w14:paraId="3A8A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556AE5A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410254F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181</w:t>
            </w:r>
          </w:p>
        </w:tc>
        <w:tc>
          <w:tcPr>
            <w:tcW w:w="907" w:type="dxa"/>
            <w:noWrap w:val="0"/>
            <w:vAlign w:val="center"/>
          </w:tcPr>
          <w:p w14:paraId="1F03321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12.4.2</w:t>
            </w:r>
          </w:p>
        </w:tc>
        <w:tc>
          <w:tcPr>
            <w:tcW w:w="4046" w:type="dxa"/>
            <w:noWrap w:val="0"/>
            <w:vAlign w:val="center"/>
          </w:tcPr>
          <w:p w14:paraId="162C6229">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受托方的管理者代表、生产管理部门负责人、质量管理部门负责人、放行审核人等关键岗位人员应当熟悉受托生产产品生产和质量管理情况。</w:t>
            </w:r>
          </w:p>
        </w:tc>
        <w:tc>
          <w:tcPr>
            <w:tcW w:w="776" w:type="dxa"/>
            <w:noWrap w:val="0"/>
            <w:vAlign w:val="center"/>
          </w:tcPr>
          <w:p w14:paraId="2509228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B6FBF8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《规范》第一百一十条</w:t>
            </w:r>
          </w:p>
        </w:tc>
      </w:tr>
      <w:tr w14:paraId="6802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6EF32E5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D7BC67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182</w:t>
            </w:r>
          </w:p>
        </w:tc>
        <w:tc>
          <w:tcPr>
            <w:tcW w:w="907" w:type="dxa"/>
            <w:noWrap w:val="0"/>
            <w:vAlign w:val="center"/>
          </w:tcPr>
          <w:p w14:paraId="35A264B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12.5.1</w:t>
            </w:r>
          </w:p>
        </w:tc>
        <w:tc>
          <w:tcPr>
            <w:tcW w:w="4046" w:type="dxa"/>
            <w:noWrap w:val="0"/>
            <w:vAlign w:val="center"/>
          </w:tcPr>
          <w:p w14:paraId="18779E1F">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委托方应当与受托方共同策划完成生产转换活动，确保产品技术要求、原材料和生产工艺要求以及说明书和标签等有效转移到受托方。</w:t>
            </w:r>
          </w:p>
        </w:tc>
        <w:tc>
          <w:tcPr>
            <w:tcW w:w="776" w:type="dxa"/>
            <w:noWrap w:val="0"/>
            <w:vAlign w:val="center"/>
          </w:tcPr>
          <w:p w14:paraId="5AAB2A6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518885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《规范》第一百一十一条</w:t>
            </w:r>
          </w:p>
        </w:tc>
      </w:tr>
      <w:tr w14:paraId="0A10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566E8E5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6A411F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183</w:t>
            </w:r>
          </w:p>
        </w:tc>
        <w:tc>
          <w:tcPr>
            <w:tcW w:w="907" w:type="dxa"/>
            <w:noWrap w:val="0"/>
            <w:vAlign w:val="center"/>
          </w:tcPr>
          <w:p w14:paraId="564D7FE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12.5.2</w:t>
            </w:r>
          </w:p>
        </w:tc>
        <w:tc>
          <w:tcPr>
            <w:tcW w:w="4046" w:type="dxa"/>
            <w:noWrap w:val="0"/>
            <w:vAlign w:val="center"/>
          </w:tcPr>
          <w:p w14:paraId="7ED5BE24">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受托方应当开展试生产以及相应验证与确认活动，试生产应当包括所转移的全部生产和质量控制过程。</w:t>
            </w:r>
          </w:p>
        </w:tc>
        <w:tc>
          <w:tcPr>
            <w:tcW w:w="776" w:type="dxa"/>
            <w:noWrap w:val="0"/>
            <w:vAlign w:val="center"/>
          </w:tcPr>
          <w:p w14:paraId="0C2BF70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D0EA04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《规范》第一百一十一条</w:t>
            </w:r>
          </w:p>
        </w:tc>
      </w:tr>
      <w:tr w14:paraId="6D6B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16" w:type="dxa"/>
            <w:vMerge w:val="continue"/>
            <w:noWrap w:val="0"/>
            <w:vAlign w:val="center"/>
          </w:tcPr>
          <w:p w14:paraId="2131D34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805247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184</w:t>
            </w:r>
          </w:p>
        </w:tc>
        <w:tc>
          <w:tcPr>
            <w:tcW w:w="907" w:type="dxa"/>
            <w:noWrap w:val="0"/>
            <w:vAlign w:val="center"/>
          </w:tcPr>
          <w:p w14:paraId="7AFF304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12.6.1</w:t>
            </w:r>
          </w:p>
        </w:tc>
        <w:tc>
          <w:tcPr>
            <w:tcW w:w="4046" w:type="dxa"/>
            <w:noWrap w:val="0"/>
            <w:vAlign w:val="center"/>
          </w:tcPr>
          <w:p w14:paraId="13C6355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委托方设计变更、采购变更等应当及时通知受托方，并监督其执行变更要求</w:t>
            </w:r>
            <w:r>
              <w:rPr>
                <w:rFonts w:ascii="Times New Roman" w:hAnsi="Times New Roman" w:eastAsia="仿宋_GB2312" w:cs="Times New Roman"/>
                <w:kern w:val="0"/>
                <w:szCs w:val="21"/>
                <w:lang w:val="en" w:bidi="ar"/>
              </w:rPr>
              <w:t>，</w:t>
            </w:r>
            <w:r>
              <w:rPr>
                <w:rFonts w:ascii="Times New Roman" w:hAnsi="Times New Roman" w:eastAsia="仿宋_GB2312" w:cs="Times New Roman"/>
                <w:kern w:val="0"/>
                <w:szCs w:val="21"/>
                <w:lang w:bidi="ar"/>
              </w:rPr>
              <w:t>应当采取有效措施，确保及时获知受托方发生的可能影响产品质量的变更，并与受托方开展联合评估。</w:t>
            </w:r>
          </w:p>
        </w:tc>
        <w:tc>
          <w:tcPr>
            <w:tcW w:w="776" w:type="dxa"/>
            <w:noWrap w:val="0"/>
            <w:vAlign w:val="center"/>
          </w:tcPr>
          <w:p w14:paraId="38121D2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B0B2EE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《规范》第一百一十二条</w:t>
            </w:r>
          </w:p>
        </w:tc>
      </w:tr>
      <w:tr w14:paraId="74AD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21FC3E22">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EC6941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185</w:t>
            </w:r>
          </w:p>
        </w:tc>
        <w:tc>
          <w:tcPr>
            <w:tcW w:w="907" w:type="dxa"/>
            <w:noWrap w:val="0"/>
            <w:vAlign w:val="center"/>
          </w:tcPr>
          <w:p w14:paraId="7B51E42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12.6.2</w:t>
            </w:r>
          </w:p>
        </w:tc>
        <w:tc>
          <w:tcPr>
            <w:tcW w:w="4046" w:type="dxa"/>
            <w:noWrap w:val="0"/>
            <w:vAlign w:val="center"/>
          </w:tcPr>
          <w:p w14:paraId="55996985">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受托方应当落实委托方的变更要求，并结合生产质量管理情况向委托方反馈变更需求。</w:t>
            </w:r>
          </w:p>
        </w:tc>
        <w:tc>
          <w:tcPr>
            <w:tcW w:w="776" w:type="dxa"/>
            <w:noWrap w:val="0"/>
            <w:vAlign w:val="center"/>
          </w:tcPr>
          <w:p w14:paraId="142DB10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486282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《规范》第一百一十二条</w:t>
            </w:r>
          </w:p>
        </w:tc>
      </w:tr>
      <w:tr w14:paraId="6492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116" w:type="dxa"/>
            <w:vMerge w:val="continue"/>
            <w:noWrap w:val="0"/>
            <w:vAlign w:val="center"/>
          </w:tcPr>
          <w:p w14:paraId="4162EA24">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34F0BA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186</w:t>
            </w:r>
          </w:p>
        </w:tc>
        <w:tc>
          <w:tcPr>
            <w:tcW w:w="907" w:type="dxa"/>
            <w:noWrap w:val="0"/>
            <w:vAlign w:val="center"/>
          </w:tcPr>
          <w:p w14:paraId="43E48D4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12.7.1</w:t>
            </w:r>
          </w:p>
        </w:tc>
        <w:tc>
          <w:tcPr>
            <w:tcW w:w="4046" w:type="dxa"/>
            <w:noWrap w:val="0"/>
            <w:vAlign w:val="center"/>
          </w:tcPr>
          <w:p w14:paraId="443998E2">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776" w:type="dxa"/>
            <w:noWrap w:val="0"/>
            <w:vAlign w:val="center"/>
          </w:tcPr>
          <w:p w14:paraId="6294CCE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0FA9A7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《规范》第一百一十三条</w:t>
            </w:r>
          </w:p>
        </w:tc>
      </w:tr>
      <w:tr w14:paraId="4640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4890AFF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265F51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187</w:t>
            </w:r>
          </w:p>
        </w:tc>
        <w:tc>
          <w:tcPr>
            <w:tcW w:w="907" w:type="dxa"/>
            <w:noWrap w:val="0"/>
            <w:vAlign w:val="center"/>
          </w:tcPr>
          <w:p w14:paraId="5C2619F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12.7.2</w:t>
            </w:r>
          </w:p>
        </w:tc>
        <w:tc>
          <w:tcPr>
            <w:tcW w:w="4046" w:type="dxa"/>
            <w:noWrap w:val="0"/>
            <w:vAlign w:val="center"/>
          </w:tcPr>
          <w:p w14:paraId="47EE1AC7">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受托方应当建立生产放行规程，明确生产放行标准、条件，对医疗器械生产过程记录和质量控制记录进行审核，符合标准、条件的，经授权的放行人员签字后方可出厂。</w:t>
            </w:r>
          </w:p>
        </w:tc>
        <w:tc>
          <w:tcPr>
            <w:tcW w:w="776" w:type="dxa"/>
            <w:noWrap w:val="0"/>
            <w:vAlign w:val="center"/>
          </w:tcPr>
          <w:p w14:paraId="055CAC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BF903C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《规范》第一百一十三条</w:t>
            </w:r>
          </w:p>
        </w:tc>
      </w:tr>
      <w:tr w14:paraId="70FC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3332E88B">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47C4FA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188</w:t>
            </w:r>
          </w:p>
        </w:tc>
        <w:tc>
          <w:tcPr>
            <w:tcW w:w="907" w:type="dxa"/>
            <w:noWrap w:val="0"/>
            <w:vAlign w:val="center"/>
          </w:tcPr>
          <w:p w14:paraId="6891EAC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12.8.1</w:t>
            </w:r>
          </w:p>
        </w:tc>
        <w:tc>
          <w:tcPr>
            <w:tcW w:w="4046" w:type="dxa"/>
            <w:noWrap w:val="0"/>
            <w:vAlign w:val="center"/>
          </w:tcPr>
          <w:p w14:paraId="772C6EC0">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受托方应当及时向委托方报告生产过程中出现的可能影响产品质量的偏差、变更、异常情况，并保留处理记录。</w:t>
            </w:r>
          </w:p>
        </w:tc>
        <w:tc>
          <w:tcPr>
            <w:tcW w:w="776" w:type="dxa"/>
            <w:noWrap w:val="0"/>
            <w:vAlign w:val="center"/>
          </w:tcPr>
          <w:p w14:paraId="2EFC254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70B22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《规范》第一百一十四条</w:t>
            </w:r>
          </w:p>
        </w:tc>
      </w:tr>
      <w:tr w14:paraId="5094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302C3290">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58739A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189</w:t>
            </w:r>
          </w:p>
        </w:tc>
        <w:tc>
          <w:tcPr>
            <w:tcW w:w="907" w:type="dxa"/>
            <w:noWrap w:val="0"/>
            <w:vAlign w:val="center"/>
          </w:tcPr>
          <w:p w14:paraId="0A932AB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12.9.1</w:t>
            </w:r>
          </w:p>
        </w:tc>
        <w:tc>
          <w:tcPr>
            <w:tcW w:w="4046" w:type="dxa"/>
            <w:noWrap w:val="0"/>
            <w:vAlign w:val="center"/>
          </w:tcPr>
          <w:p w14:paraId="1625B7CC">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产品实现过程中涉及外协加工的，企业应当建立外协加工控制程序，对外协加工过程实施控制，确保满足相关法律法规要求。</w:t>
            </w:r>
          </w:p>
        </w:tc>
        <w:tc>
          <w:tcPr>
            <w:tcW w:w="776" w:type="dxa"/>
            <w:noWrap w:val="0"/>
            <w:vAlign w:val="center"/>
          </w:tcPr>
          <w:p w14:paraId="64D179D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937762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《规范》第一百一十五条</w:t>
            </w:r>
          </w:p>
        </w:tc>
      </w:tr>
      <w:tr w14:paraId="3FBC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23B54D9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666A0A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190</w:t>
            </w:r>
          </w:p>
        </w:tc>
        <w:tc>
          <w:tcPr>
            <w:tcW w:w="907" w:type="dxa"/>
            <w:noWrap w:val="0"/>
            <w:vAlign w:val="center"/>
          </w:tcPr>
          <w:p w14:paraId="53691D7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12.10.1</w:t>
            </w:r>
          </w:p>
        </w:tc>
        <w:tc>
          <w:tcPr>
            <w:tcW w:w="4046" w:type="dxa"/>
            <w:noWrap w:val="0"/>
            <w:vAlign w:val="center"/>
          </w:tcPr>
          <w:p w14:paraId="2D88D90B">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企业至少应当将外协加工方作为供应商进行管理，对外协加工方加工能力、质量保证能力、风险管理能力等进行评估。</w:t>
            </w:r>
          </w:p>
        </w:tc>
        <w:tc>
          <w:tcPr>
            <w:tcW w:w="776" w:type="dxa"/>
            <w:noWrap w:val="0"/>
            <w:vAlign w:val="center"/>
          </w:tcPr>
          <w:p w14:paraId="0FBF65A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A25F7A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《规范》第一百一十六条</w:t>
            </w:r>
          </w:p>
        </w:tc>
      </w:tr>
      <w:tr w14:paraId="0F4C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116" w:type="dxa"/>
            <w:vMerge w:val="continue"/>
            <w:noWrap w:val="0"/>
            <w:vAlign w:val="center"/>
          </w:tcPr>
          <w:p w14:paraId="2FC530A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57D9F9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191</w:t>
            </w:r>
          </w:p>
        </w:tc>
        <w:tc>
          <w:tcPr>
            <w:tcW w:w="907" w:type="dxa"/>
            <w:noWrap w:val="0"/>
            <w:vAlign w:val="center"/>
          </w:tcPr>
          <w:p w14:paraId="7592CDF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12.10.2</w:t>
            </w:r>
          </w:p>
        </w:tc>
        <w:tc>
          <w:tcPr>
            <w:tcW w:w="4046" w:type="dxa"/>
            <w:noWrap w:val="0"/>
            <w:vAlign w:val="center"/>
          </w:tcPr>
          <w:p w14:paraId="155D33E2">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双方应当签订外协加工质量协议，明确外协加工的内容、质量标准或者技术要求、验收准则和双方责任，以及相关工艺、验证与确认、放行条件、变更和沟通机制等要求。</w:t>
            </w:r>
          </w:p>
        </w:tc>
        <w:tc>
          <w:tcPr>
            <w:tcW w:w="776" w:type="dxa"/>
            <w:noWrap w:val="0"/>
            <w:vAlign w:val="center"/>
          </w:tcPr>
          <w:p w14:paraId="492D383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2AE8FD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《规范》第一百一十六条</w:t>
            </w:r>
          </w:p>
        </w:tc>
      </w:tr>
      <w:tr w14:paraId="5E32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1116" w:type="dxa"/>
            <w:vMerge w:val="restart"/>
            <w:noWrap w:val="0"/>
            <w:vAlign w:val="center"/>
          </w:tcPr>
          <w:p w14:paraId="65F4310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第十三章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销售与售后服务</w:t>
            </w:r>
          </w:p>
        </w:tc>
        <w:tc>
          <w:tcPr>
            <w:tcW w:w="708" w:type="dxa"/>
            <w:noWrap w:val="0"/>
            <w:vAlign w:val="center"/>
          </w:tcPr>
          <w:p w14:paraId="42E2198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192</w:t>
            </w:r>
          </w:p>
        </w:tc>
        <w:tc>
          <w:tcPr>
            <w:tcW w:w="907" w:type="dxa"/>
            <w:noWrap w:val="0"/>
            <w:vAlign w:val="center"/>
          </w:tcPr>
          <w:p w14:paraId="2CD444A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13.1.1</w:t>
            </w:r>
          </w:p>
        </w:tc>
        <w:tc>
          <w:tcPr>
            <w:tcW w:w="4046" w:type="dxa"/>
            <w:noWrap w:val="0"/>
            <w:vAlign w:val="center"/>
          </w:tcPr>
          <w:p w14:paraId="08F8CC1F">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产品销售与售后服务等活动应当符合医疗器械相关法律、法规、规章和规范要求。</w:t>
            </w:r>
          </w:p>
        </w:tc>
        <w:tc>
          <w:tcPr>
            <w:tcW w:w="776" w:type="dxa"/>
            <w:noWrap w:val="0"/>
            <w:vAlign w:val="center"/>
          </w:tcPr>
          <w:p w14:paraId="417A6AF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0EE084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《规范》第一百一十七条</w:t>
            </w:r>
          </w:p>
        </w:tc>
      </w:tr>
      <w:tr w14:paraId="343C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116" w:type="dxa"/>
            <w:vMerge w:val="continue"/>
            <w:noWrap w:val="0"/>
            <w:vAlign w:val="center"/>
          </w:tcPr>
          <w:p w14:paraId="548B8FE9">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824702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193</w:t>
            </w:r>
          </w:p>
        </w:tc>
        <w:tc>
          <w:tcPr>
            <w:tcW w:w="907" w:type="dxa"/>
            <w:noWrap w:val="0"/>
            <w:vAlign w:val="center"/>
          </w:tcPr>
          <w:p w14:paraId="087F726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13.1.2</w:t>
            </w:r>
          </w:p>
        </w:tc>
        <w:tc>
          <w:tcPr>
            <w:tcW w:w="4046" w:type="dxa"/>
            <w:noWrap w:val="0"/>
            <w:vAlign w:val="center"/>
          </w:tcPr>
          <w:p w14:paraId="3388BAAA">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企业应当保留产品销售记录，并满足追溯要求。</w:t>
            </w:r>
          </w:p>
        </w:tc>
        <w:tc>
          <w:tcPr>
            <w:tcW w:w="776" w:type="dxa"/>
            <w:noWrap w:val="0"/>
            <w:vAlign w:val="center"/>
          </w:tcPr>
          <w:p w14:paraId="2C8EBE9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A852B4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《规范》第一百一十七条</w:t>
            </w:r>
          </w:p>
        </w:tc>
      </w:tr>
      <w:tr w14:paraId="41BF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116" w:type="dxa"/>
            <w:vMerge w:val="continue"/>
            <w:noWrap w:val="0"/>
            <w:vAlign w:val="center"/>
          </w:tcPr>
          <w:p w14:paraId="30533A2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59AD20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194</w:t>
            </w:r>
          </w:p>
        </w:tc>
        <w:tc>
          <w:tcPr>
            <w:tcW w:w="907" w:type="dxa"/>
            <w:noWrap w:val="0"/>
            <w:vAlign w:val="center"/>
          </w:tcPr>
          <w:p w14:paraId="39E6932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13.1.3</w:t>
            </w:r>
          </w:p>
        </w:tc>
        <w:tc>
          <w:tcPr>
            <w:tcW w:w="4046" w:type="dxa"/>
            <w:noWrap w:val="0"/>
            <w:vAlign w:val="center"/>
          </w:tcPr>
          <w:p w14:paraId="5029129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销售记录至少包括医疗器械名称、规格、型号、数量、生产批号、医疗器械唯一标识、失效日期、销售日期、购货单位名称、地址、联系方式。</w:t>
            </w:r>
          </w:p>
        </w:tc>
        <w:tc>
          <w:tcPr>
            <w:tcW w:w="776" w:type="dxa"/>
            <w:noWrap w:val="0"/>
            <w:vAlign w:val="center"/>
          </w:tcPr>
          <w:p w14:paraId="6590EBB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6FA192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《规范》第一百一十七条</w:t>
            </w:r>
          </w:p>
        </w:tc>
      </w:tr>
      <w:tr w14:paraId="67B0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116" w:type="dxa"/>
            <w:vMerge w:val="continue"/>
            <w:noWrap w:val="0"/>
            <w:vAlign w:val="center"/>
          </w:tcPr>
          <w:p w14:paraId="581C6DDE">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C62608D">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195</w:t>
            </w:r>
          </w:p>
        </w:tc>
        <w:tc>
          <w:tcPr>
            <w:tcW w:w="907" w:type="dxa"/>
            <w:noWrap w:val="0"/>
            <w:vAlign w:val="center"/>
          </w:tcPr>
          <w:p w14:paraId="516681C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13.2.1</w:t>
            </w:r>
          </w:p>
        </w:tc>
        <w:tc>
          <w:tcPr>
            <w:tcW w:w="4046" w:type="dxa"/>
            <w:noWrap w:val="0"/>
            <w:vAlign w:val="center"/>
          </w:tcPr>
          <w:p w14:paraId="449FAC35">
            <w:pPr>
              <w:widowControl/>
              <w:spacing w:line="300" w:lineRule="exact"/>
              <w:textAlignment w:val="center"/>
              <w:rPr>
                <w:rStyle w:val="5"/>
                <w:rFonts w:hint="default" w:ascii="Times New Roman" w:hAnsi="Times New Roman" w:eastAsia="仿宋_GB2312" w:cs="Times New Roman"/>
                <w:color w:val="auto"/>
                <w:sz w:val="21"/>
                <w:szCs w:val="21"/>
                <w:lang w:bidi="ar"/>
              </w:rPr>
            </w:pPr>
            <w:r>
              <w:rPr>
                <w:rFonts w:ascii="Times New Roman" w:hAnsi="Times New Roman" w:eastAsia="仿宋_GB2312" w:cs="Times New Roman"/>
                <w:kern w:val="0"/>
                <w:szCs w:val="21"/>
                <w:lang w:bidi="ar"/>
              </w:rPr>
              <w:t>企业应当采用经验证或者确认的运输条件和工具运输产品并做好产品防护。对有</w:t>
            </w:r>
            <w:r>
              <w:rPr>
                <w:rStyle w:val="5"/>
                <w:rFonts w:hint="default" w:ascii="Times New Roman" w:hAnsi="Times New Roman" w:eastAsia="仿宋_GB2312" w:cs="Times New Roman"/>
                <w:color w:val="auto"/>
                <w:sz w:val="21"/>
                <w:szCs w:val="21"/>
                <w:lang w:bidi="ar"/>
              </w:rPr>
              <w:t>冷藏、冷冻要求的产品，企业应当配备符合其温度要求的运输设施设备。</w:t>
            </w:r>
          </w:p>
        </w:tc>
        <w:tc>
          <w:tcPr>
            <w:tcW w:w="776" w:type="dxa"/>
            <w:noWrap w:val="0"/>
            <w:vAlign w:val="center"/>
          </w:tcPr>
          <w:p w14:paraId="178CD48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5EB7805">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《规范》第一百一十八条</w:t>
            </w:r>
            <w:r>
              <w:rPr>
                <w:rFonts w:hint="eastAsia" w:ascii="Times New Roman" w:hAnsi="Times New Roman" w:eastAsia="仿宋_GB2312" w:cs="Times New Roman"/>
                <w:kern w:val="0"/>
                <w:szCs w:val="21"/>
                <w:lang w:eastAsia="zh-CN" w:bidi="ar"/>
              </w:rPr>
              <w:t>，</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val="en" w:bidi="ar"/>
              </w:rPr>
              <w:t>《体外诊断试剂附录》</w:t>
            </w:r>
            <w:r>
              <w:rPr>
                <w:rFonts w:ascii="Times New Roman" w:hAnsi="Times New Roman" w:eastAsia="仿宋_GB2312" w:cs="Times New Roman"/>
                <w:kern w:val="0"/>
                <w:szCs w:val="21"/>
                <w:lang w:bidi="ar"/>
              </w:rPr>
              <w:t>2.3.6</w:t>
            </w:r>
          </w:p>
        </w:tc>
      </w:tr>
      <w:tr w14:paraId="1347F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1116" w:type="dxa"/>
            <w:vMerge w:val="continue"/>
            <w:noWrap w:val="0"/>
            <w:vAlign w:val="center"/>
          </w:tcPr>
          <w:p w14:paraId="617D750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C1D10B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196</w:t>
            </w:r>
          </w:p>
        </w:tc>
        <w:tc>
          <w:tcPr>
            <w:tcW w:w="907" w:type="dxa"/>
            <w:noWrap w:val="0"/>
            <w:vAlign w:val="center"/>
          </w:tcPr>
          <w:p w14:paraId="0591384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13.2.2</w:t>
            </w:r>
          </w:p>
        </w:tc>
        <w:tc>
          <w:tcPr>
            <w:tcW w:w="4046" w:type="dxa"/>
            <w:noWrap w:val="0"/>
            <w:vAlign w:val="center"/>
          </w:tcPr>
          <w:p w14:paraId="11649430">
            <w:pPr>
              <w:widowControl/>
              <w:spacing w:line="300" w:lineRule="exact"/>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对有特殊要求的，企业应当对运输过程实施监控。</w:t>
            </w:r>
          </w:p>
        </w:tc>
        <w:tc>
          <w:tcPr>
            <w:tcW w:w="776" w:type="dxa"/>
            <w:noWrap w:val="0"/>
            <w:vAlign w:val="center"/>
          </w:tcPr>
          <w:p w14:paraId="431DEE6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814858E">
            <w:pPr>
              <w:widowControl/>
              <w:spacing w:line="300" w:lineRule="exact"/>
              <w:jc w:val="center"/>
              <w:textAlignment w:val="center"/>
              <w:rPr>
                <w:rFonts w:ascii="Times New Roman" w:hAnsi="Times New Roman" w:eastAsia="仿宋_GB2312" w:cs="Times New Roman"/>
                <w:kern w:val="0"/>
                <w:szCs w:val="21"/>
                <w:lang w:bidi="ar"/>
              </w:rPr>
            </w:pPr>
            <w:r>
              <w:rPr>
                <w:rFonts w:ascii="Times New Roman" w:hAnsi="Times New Roman" w:eastAsia="仿宋_GB2312" w:cs="Times New Roman"/>
                <w:kern w:val="0"/>
                <w:szCs w:val="21"/>
                <w:lang w:bidi="ar"/>
              </w:rPr>
              <w:t>《规范》第一百一十八条</w:t>
            </w:r>
          </w:p>
        </w:tc>
      </w:tr>
      <w:tr w14:paraId="083E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769F28BB">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C8A9B3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197</w:t>
            </w:r>
          </w:p>
        </w:tc>
        <w:tc>
          <w:tcPr>
            <w:tcW w:w="907" w:type="dxa"/>
            <w:noWrap w:val="0"/>
            <w:vAlign w:val="center"/>
          </w:tcPr>
          <w:p w14:paraId="6299CC2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13.3.1</w:t>
            </w:r>
          </w:p>
        </w:tc>
        <w:tc>
          <w:tcPr>
            <w:tcW w:w="4046" w:type="dxa"/>
            <w:noWrap w:val="0"/>
            <w:vAlign w:val="center"/>
          </w:tcPr>
          <w:p w14:paraId="49D5E649">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企业应当具备与所生产产品相适应的售后服务能力，建立健全售后服务制度。</w:t>
            </w:r>
          </w:p>
        </w:tc>
        <w:tc>
          <w:tcPr>
            <w:tcW w:w="776" w:type="dxa"/>
            <w:noWrap w:val="0"/>
            <w:vAlign w:val="center"/>
          </w:tcPr>
          <w:p w14:paraId="52C98F6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EF551B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《规范》第一百一十九条</w:t>
            </w:r>
          </w:p>
        </w:tc>
      </w:tr>
      <w:tr w14:paraId="769D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16" w:type="dxa"/>
            <w:vMerge w:val="continue"/>
            <w:noWrap w:val="0"/>
            <w:vAlign w:val="center"/>
          </w:tcPr>
          <w:p w14:paraId="1FCEA6D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52193FF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198</w:t>
            </w:r>
          </w:p>
        </w:tc>
        <w:tc>
          <w:tcPr>
            <w:tcW w:w="907" w:type="dxa"/>
            <w:noWrap w:val="0"/>
            <w:vAlign w:val="center"/>
          </w:tcPr>
          <w:p w14:paraId="542459B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13.3.2</w:t>
            </w:r>
          </w:p>
        </w:tc>
        <w:tc>
          <w:tcPr>
            <w:tcW w:w="4046" w:type="dxa"/>
            <w:noWrap w:val="0"/>
            <w:vAlign w:val="center"/>
          </w:tcPr>
          <w:p w14:paraId="5BD1C75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企业应当规定售后服务要求，保留售后服务记录，并满足追溯要求。</w:t>
            </w:r>
          </w:p>
        </w:tc>
        <w:tc>
          <w:tcPr>
            <w:tcW w:w="776" w:type="dxa"/>
            <w:noWrap w:val="0"/>
            <w:vAlign w:val="center"/>
          </w:tcPr>
          <w:p w14:paraId="32C19E1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063A61B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《规范》第一百一十九条</w:t>
            </w:r>
          </w:p>
        </w:tc>
      </w:tr>
      <w:tr w14:paraId="2DA6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1116" w:type="dxa"/>
            <w:vMerge w:val="continue"/>
            <w:noWrap w:val="0"/>
            <w:vAlign w:val="center"/>
          </w:tcPr>
          <w:p w14:paraId="535F13C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C1F7BF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199</w:t>
            </w:r>
          </w:p>
        </w:tc>
        <w:tc>
          <w:tcPr>
            <w:tcW w:w="907" w:type="dxa"/>
            <w:noWrap w:val="0"/>
            <w:vAlign w:val="center"/>
          </w:tcPr>
          <w:p w14:paraId="442231E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13.4.1</w:t>
            </w:r>
          </w:p>
        </w:tc>
        <w:tc>
          <w:tcPr>
            <w:tcW w:w="4046" w:type="dxa"/>
            <w:noWrap w:val="0"/>
            <w:vAlign w:val="center"/>
          </w:tcPr>
          <w:p w14:paraId="63C4EE5F">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需要由企业安装的医疗器械，企业应当确定安装要求和安装验证接收标准，并保留安装和验收记录。</w:t>
            </w:r>
          </w:p>
        </w:tc>
        <w:tc>
          <w:tcPr>
            <w:tcW w:w="776" w:type="dxa"/>
            <w:noWrap w:val="0"/>
            <w:vAlign w:val="center"/>
          </w:tcPr>
          <w:p w14:paraId="38D750D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10BCB35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《规范》第一百二十条</w:t>
            </w:r>
          </w:p>
        </w:tc>
      </w:tr>
      <w:tr w14:paraId="7DDC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16" w:type="dxa"/>
            <w:vMerge w:val="continue"/>
            <w:noWrap w:val="0"/>
            <w:vAlign w:val="center"/>
          </w:tcPr>
          <w:p w14:paraId="046BB488">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924E4D2">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200</w:t>
            </w:r>
          </w:p>
        </w:tc>
        <w:tc>
          <w:tcPr>
            <w:tcW w:w="907" w:type="dxa"/>
            <w:noWrap w:val="0"/>
            <w:vAlign w:val="center"/>
          </w:tcPr>
          <w:p w14:paraId="7863C6F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13.4.2</w:t>
            </w:r>
          </w:p>
        </w:tc>
        <w:tc>
          <w:tcPr>
            <w:tcW w:w="4046" w:type="dxa"/>
            <w:noWrap w:val="0"/>
            <w:vAlign w:val="center"/>
          </w:tcPr>
          <w:p w14:paraId="10265479">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由使用单位或者其他企业进行安装、维修的，企业应当提供安装要求、标准和维修零部件、资料、密码等，并进行指导。</w:t>
            </w:r>
          </w:p>
        </w:tc>
        <w:tc>
          <w:tcPr>
            <w:tcW w:w="776" w:type="dxa"/>
            <w:noWrap w:val="0"/>
            <w:vAlign w:val="center"/>
          </w:tcPr>
          <w:p w14:paraId="42F7BF2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E940E0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《规范》第一百二十条</w:t>
            </w:r>
          </w:p>
        </w:tc>
      </w:tr>
      <w:tr w14:paraId="643B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restart"/>
            <w:noWrap w:val="0"/>
            <w:vAlign w:val="center"/>
          </w:tcPr>
          <w:p w14:paraId="00AAEDB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第十四章</w:t>
            </w:r>
            <w:r>
              <w:rPr>
                <w:rFonts w:ascii="Times New Roman" w:hAnsi="Times New Roman" w:eastAsia="仿宋_GB2312" w:cs="Times New Roman"/>
                <w:kern w:val="0"/>
                <w:szCs w:val="21"/>
                <w:lang w:bidi="ar"/>
              </w:rPr>
              <w:br w:type="textWrapping"/>
            </w:r>
            <w:r>
              <w:rPr>
                <w:rFonts w:ascii="Times New Roman" w:hAnsi="Times New Roman" w:eastAsia="仿宋_GB2312" w:cs="Times New Roman"/>
                <w:kern w:val="0"/>
                <w:szCs w:val="21"/>
                <w:lang w:bidi="ar"/>
              </w:rPr>
              <w:t>分析与改进</w:t>
            </w:r>
          </w:p>
        </w:tc>
        <w:tc>
          <w:tcPr>
            <w:tcW w:w="708" w:type="dxa"/>
            <w:noWrap w:val="0"/>
            <w:vAlign w:val="center"/>
          </w:tcPr>
          <w:p w14:paraId="1840947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201</w:t>
            </w:r>
          </w:p>
        </w:tc>
        <w:tc>
          <w:tcPr>
            <w:tcW w:w="907" w:type="dxa"/>
            <w:noWrap w:val="0"/>
            <w:vAlign w:val="center"/>
          </w:tcPr>
          <w:p w14:paraId="45513E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14.1.1</w:t>
            </w:r>
          </w:p>
        </w:tc>
        <w:tc>
          <w:tcPr>
            <w:tcW w:w="4046" w:type="dxa"/>
            <w:noWrap w:val="0"/>
            <w:vAlign w:val="center"/>
          </w:tcPr>
          <w:p w14:paraId="7874812B">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企业应当开展产品和质量管理体系监测、分析和改进活动，确保产品安全有效、质量管理体系持续有效运行。</w:t>
            </w:r>
          </w:p>
        </w:tc>
        <w:tc>
          <w:tcPr>
            <w:tcW w:w="776" w:type="dxa"/>
            <w:noWrap w:val="0"/>
            <w:vAlign w:val="center"/>
          </w:tcPr>
          <w:p w14:paraId="5C16CD5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21C8751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《规范》第一百二十一条</w:t>
            </w:r>
          </w:p>
        </w:tc>
      </w:tr>
      <w:tr w14:paraId="4206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1116" w:type="dxa"/>
            <w:vMerge w:val="continue"/>
            <w:noWrap w:val="0"/>
            <w:vAlign w:val="center"/>
          </w:tcPr>
          <w:p w14:paraId="6A59018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D10107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202</w:t>
            </w:r>
          </w:p>
        </w:tc>
        <w:tc>
          <w:tcPr>
            <w:tcW w:w="907" w:type="dxa"/>
            <w:noWrap w:val="0"/>
            <w:vAlign w:val="center"/>
          </w:tcPr>
          <w:p w14:paraId="4C5DA08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14.2.1</w:t>
            </w:r>
          </w:p>
        </w:tc>
        <w:tc>
          <w:tcPr>
            <w:tcW w:w="4046" w:type="dxa"/>
            <w:noWrap w:val="0"/>
            <w:vAlign w:val="center"/>
          </w:tcPr>
          <w:p w14:paraId="795E9C07">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企业应当建立产品质量投诉和顾客反馈处理程序，明确相关部门职责，及时接收、调查、评价和处理投诉与反馈意见，并保留相关记录。</w:t>
            </w:r>
          </w:p>
        </w:tc>
        <w:tc>
          <w:tcPr>
            <w:tcW w:w="776" w:type="dxa"/>
            <w:noWrap w:val="0"/>
            <w:vAlign w:val="center"/>
          </w:tcPr>
          <w:p w14:paraId="7C33904B">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FD9C3E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《规范》第一百二十二条</w:t>
            </w:r>
          </w:p>
        </w:tc>
      </w:tr>
      <w:tr w14:paraId="26C2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1116" w:type="dxa"/>
            <w:vMerge w:val="continue"/>
            <w:noWrap w:val="0"/>
            <w:vAlign w:val="center"/>
          </w:tcPr>
          <w:p w14:paraId="5416459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ACF54B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203</w:t>
            </w:r>
          </w:p>
        </w:tc>
        <w:tc>
          <w:tcPr>
            <w:tcW w:w="907" w:type="dxa"/>
            <w:noWrap w:val="0"/>
            <w:vAlign w:val="center"/>
          </w:tcPr>
          <w:p w14:paraId="235E834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14.3.1</w:t>
            </w:r>
          </w:p>
        </w:tc>
        <w:tc>
          <w:tcPr>
            <w:tcW w:w="4046" w:type="dxa"/>
            <w:noWrap w:val="0"/>
            <w:vAlign w:val="center"/>
          </w:tcPr>
          <w:p w14:paraId="7D34838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企业应当建立医疗器械不良事件监测制度，对发生的不良事件及时报告，并开展调查、分析、评价，必要时采取风险控制措施。</w:t>
            </w:r>
          </w:p>
        </w:tc>
        <w:tc>
          <w:tcPr>
            <w:tcW w:w="776" w:type="dxa"/>
            <w:noWrap w:val="0"/>
            <w:vAlign w:val="center"/>
          </w:tcPr>
          <w:p w14:paraId="69FD24E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DAB84E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《规范》第一百二十三条</w:t>
            </w:r>
          </w:p>
        </w:tc>
      </w:tr>
      <w:tr w14:paraId="5599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3" w:hRule="atLeast"/>
        </w:trPr>
        <w:tc>
          <w:tcPr>
            <w:tcW w:w="1116" w:type="dxa"/>
            <w:vMerge w:val="continue"/>
            <w:noWrap w:val="0"/>
            <w:vAlign w:val="center"/>
          </w:tcPr>
          <w:p w14:paraId="5DEF05F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0C71F7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204</w:t>
            </w:r>
          </w:p>
        </w:tc>
        <w:tc>
          <w:tcPr>
            <w:tcW w:w="907" w:type="dxa"/>
            <w:noWrap w:val="0"/>
            <w:vAlign w:val="center"/>
          </w:tcPr>
          <w:p w14:paraId="5766F1E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14.4.1</w:t>
            </w:r>
          </w:p>
        </w:tc>
        <w:tc>
          <w:tcPr>
            <w:tcW w:w="4046" w:type="dxa"/>
            <w:noWrap w:val="0"/>
            <w:vAlign w:val="center"/>
          </w:tcPr>
          <w:p w14:paraId="6F13AB33">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数据分析程序，确定适宜的数据收集方法、控制标准、分析方法和统计技术，收集分析与产品质量、不良事件、顾客反馈和质量管理体系运行有关数据，评价产品安全性和有效性，按要求形成质量风险评价报告，并将数据分析结果作为改进输入内容。</w:t>
            </w:r>
          </w:p>
        </w:tc>
        <w:tc>
          <w:tcPr>
            <w:tcW w:w="776" w:type="dxa"/>
            <w:noWrap w:val="0"/>
            <w:vAlign w:val="center"/>
          </w:tcPr>
          <w:p w14:paraId="76A81553">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5F0E45C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《规范》第一百二十四条</w:t>
            </w:r>
          </w:p>
        </w:tc>
      </w:tr>
      <w:tr w14:paraId="0C0E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trPr>
        <w:tc>
          <w:tcPr>
            <w:tcW w:w="1116" w:type="dxa"/>
            <w:vMerge w:val="continue"/>
            <w:noWrap w:val="0"/>
            <w:vAlign w:val="center"/>
          </w:tcPr>
          <w:p w14:paraId="7289CFB6">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C25416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205</w:t>
            </w:r>
          </w:p>
        </w:tc>
        <w:tc>
          <w:tcPr>
            <w:tcW w:w="907" w:type="dxa"/>
            <w:noWrap w:val="0"/>
            <w:vAlign w:val="center"/>
          </w:tcPr>
          <w:p w14:paraId="7FC50EB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14.5.1</w:t>
            </w:r>
          </w:p>
        </w:tc>
        <w:tc>
          <w:tcPr>
            <w:tcW w:w="4046" w:type="dxa"/>
            <w:noWrap w:val="0"/>
            <w:vAlign w:val="center"/>
          </w:tcPr>
          <w:p w14:paraId="71D10B79">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企业应当建立纠正措施程序，确定产生问题的原因，采取有效措施，防止相关问题再次发生。应当建立预防措施程序，确定潜在问题的原因，采取有效措施，防止问题发生。</w:t>
            </w:r>
          </w:p>
        </w:tc>
        <w:tc>
          <w:tcPr>
            <w:tcW w:w="776" w:type="dxa"/>
            <w:noWrap w:val="0"/>
            <w:vAlign w:val="center"/>
          </w:tcPr>
          <w:p w14:paraId="1C394E5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62D469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《规范》第一百二十五条</w:t>
            </w:r>
          </w:p>
        </w:tc>
      </w:tr>
      <w:tr w14:paraId="6D8B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3815693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71EBBA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206</w:t>
            </w:r>
          </w:p>
        </w:tc>
        <w:tc>
          <w:tcPr>
            <w:tcW w:w="907" w:type="dxa"/>
            <w:noWrap w:val="0"/>
            <w:vAlign w:val="center"/>
          </w:tcPr>
          <w:p w14:paraId="38FABF4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14.5.2</w:t>
            </w:r>
          </w:p>
        </w:tc>
        <w:tc>
          <w:tcPr>
            <w:tcW w:w="4046" w:type="dxa"/>
            <w:noWrap w:val="0"/>
            <w:vAlign w:val="center"/>
          </w:tcPr>
          <w:p w14:paraId="5B7BD9F2">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企业采取的纠正预防措施应当与问题影响程度相适应，且经验证无不良影响。措施有效性应当进行确认。</w:t>
            </w:r>
          </w:p>
        </w:tc>
        <w:tc>
          <w:tcPr>
            <w:tcW w:w="776" w:type="dxa"/>
            <w:noWrap w:val="0"/>
            <w:vAlign w:val="center"/>
          </w:tcPr>
          <w:p w14:paraId="6623F91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304D19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《规范》第一百二十五条</w:t>
            </w:r>
          </w:p>
        </w:tc>
      </w:tr>
      <w:tr w14:paraId="27FA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5FDBE80C">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0E191C1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207</w:t>
            </w:r>
          </w:p>
        </w:tc>
        <w:tc>
          <w:tcPr>
            <w:tcW w:w="907" w:type="dxa"/>
            <w:noWrap w:val="0"/>
            <w:vAlign w:val="center"/>
          </w:tcPr>
          <w:p w14:paraId="553EF6E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14.6.1</w:t>
            </w:r>
          </w:p>
        </w:tc>
        <w:tc>
          <w:tcPr>
            <w:tcW w:w="4046" w:type="dxa"/>
            <w:noWrap w:val="0"/>
            <w:vAlign w:val="center"/>
          </w:tcPr>
          <w:p w14:paraId="66D1FCBB">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企业应当建立医疗器械召回管理制度，收集医疗器械安全相关信息，对可能的缺陷产品进行调查、评估，及时召回缺陷产品，并按照规定报告有关部门。</w:t>
            </w:r>
          </w:p>
        </w:tc>
        <w:tc>
          <w:tcPr>
            <w:tcW w:w="776" w:type="dxa"/>
            <w:noWrap w:val="0"/>
            <w:vAlign w:val="center"/>
          </w:tcPr>
          <w:p w14:paraId="0265B944">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E9D41F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《规范》第一百二十六条</w:t>
            </w:r>
          </w:p>
        </w:tc>
      </w:tr>
      <w:tr w14:paraId="19DF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noWrap w:val="0"/>
            <w:vAlign w:val="center"/>
          </w:tcPr>
          <w:p w14:paraId="42ABD76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62F66F7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208</w:t>
            </w:r>
          </w:p>
        </w:tc>
        <w:tc>
          <w:tcPr>
            <w:tcW w:w="907" w:type="dxa"/>
            <w:noWrap w:val="0"/>
            <w:vAlign w:val="center"/>
          </w:tcPr>
          <w:p w14:paraId="1AB8945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14.7.1</w:t>
            </w:r>
          </w:p>
        </w:tc>
        <w:tc>
          <w:tcPr>
            <w:tcW w:w="4046" w:type="dxa"/>
            <w:noWrap w:val="0"/>
            <w:vAlign w:val="center"/>
          </w:tcPr>
          <w:p w14:paraId="47FCB446">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企业应当建立产品信息告知程序，及时将与产品安全有关的变化信息通知相关企业、使用单位或者消费者。</w:t>
            </w:r>
          </w:p>
        </w:tc>
        <w:tc>
          <w:tcPr>
            <w:tcW w:w="776" w:type="dxa"/>
            <w:noWrap w:val="0"/>
            <w:vAlign w:val="center"/>
          </w:tcPr>
          <w:p w14:paraId="6C634799">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74C0CCD7">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《规范》第一百二十七条</w:t>
            </w:r>
          </w:p>
        </w:tc>
      </w:tr>
      <w:tr w14:paraId="5597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108325B3">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7BCB396E">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209</w:t>
            </w:r>
          </w:p>
        </w:tc>
        <w:tc>
          <w:tcPr>
            <w:tcW w:w="907" w:type="dxa"/>
            <w:noWrap w:val="0"/>
            <w:vAlign w:val="center"/>
          </w:tcPr>
          <w:p w14:paraId="513DE31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14.8.1</w:t>
            </w:r>
          </w:p>
        </w:tc>
        <w:tc>
          <w:tcPr>
            <w:tcW w:w="4046" w:type="dxa"/>
            <w:noWrap w:val="0"/>
            <w:vAlign w:val="center"/>
          </w:tcPr>
          <w:p w14:paraId="2B71E54F">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企业应当建立质量管理体系内部审核程序，确定审核准则、范围、频次、参加人员、方法、记录要求、纠正预防措施有效性评定等内容。</w:t>
            </w:r>
          </w:p>
        </w:tc>
        <w:tc>
          <w:tcPr>
            <w:tcW w:w="776" w:type="dxa"/>
            <w:noWrap w:val="0"/>
            <w:vAlign w:val="center"/>
          </w:tcPr>
          <w:p w14:paraId="3B37470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C7CDA9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《规范》第一百二十八条</w:t>
            </w:r>
          </w:p>
        </w:tc>
      </w:tr>
      <w:tr w14:paraId="3FD2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116" w:type="dxa"/>
            <w:vMerge w:val="continue"/>
            <w:noWrap w:val="0"/>
            <w:vAlign w:val="center"/>
          </w:tcPr>
          <w:p w14:paraId="43788A25">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13CB7E4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210</w:t>
            </w:r>
          </w:p>
        </w:tc>
        <w:tc>
          <w:tcPr>
            <w:tcW w:w="907" w:type="dxa"/>
            <w:noWrap w:val="0"/>
            <w:vAlign w:val="center"/>
          </w:tcPr>
          <w:p w14:paraId="27BB1441">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14.8.2</w:t>
            </w:r>
          </w:p>
        </w:tc>
        <w:tc>
          <w:tcPr>
            <w:tcW w:w="4046" w:type="dxa"/>
            <w:noWrap w:val="0"/>
            <w:vAlign w:val="center"/>
          </w:tcPr>
          <w:p w14:paraId="1E215E44">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企业应当制定内部审核计划，按计划实施内部审核并形成审核报告，对审核发现的不合格问题应当采取纠正预防措施。</w:t>
            </w:r>
          </w:p>
        </w:tc>
        <w:tc>
          <w:tcPr>
            <w:tcW w:w="776" w:type="dxa"/>
            <w:noWrap w:val="0"/>
            <w:vAlign w:val="center"/>
          </w:tcPr>
          <w:p w14:paraId="066689EA">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67099538">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《规范》第一百二十八条</w:t>
            </w:r>
          </w:p>
        </w:tc>
      </w:tr>
      <w:tr w14:paraId="1F93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116" w:type="dxa"/>
            <w:vMerge w:val="continue"/>
            <w:noWrap w:val="0"/>
            <w:vAlign w:val="center"/>
          </w:tcPr>
          <w:p w14:paraId="0194427A">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31A3FC06">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211</w:t>
            </w:r>
          </w:p>
        </w:tc>
        <w:tc>
          <w:tcPr>
            <w:tcW w:w="907" w:type="dxa"/>
            <w:noWrap w:val="0"/>
            <w:vAlign w:val="center"/>
          </w:tcPr>
          <w:p w14:paraId="1F0ADCC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14.9.1</w:t>
            </w:r>
          </w:p>
        </w:tc>
        <w:tc>
          <w:tcPr>
            <w:tcW w:w="4046" w:type="dxa"/>
            <w:noWrap w:val="0"/>
            <w:vAlign w:val="center"/>
          </w:tcPr>
          <w:p w14:paraId="6010CE9C">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企业应当建立管理评审程序，定期开展管理评审。管理评审内容应当包括质量风险回顾、产品质量评价以及质量管理体系变更需求、法规符合性和改进的可能性等。</w:t>
            </w:r>
          </w:p>
        </w:tc>
        <w:tc>
          <w:tcPr>
            <w:tcW w:w="776" w:type="dxa"/>
            <w:noWrap w:val="0"/>
            <w:vAlign w:val="center"/>
          </w:tcPr>
          <w:p w14:paraId="4DEE710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3CFAFE0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《规范》第一百二十九条</w:t>
            </w:r>
          </w:p>
        </w:tc>
      </w:tr>
      <w:tr w14:paraId="4598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116" w:type="dxa"/>
            <w:vMerge w:val="continue"/>
            <w:noWrap w:val="0"/>
            <w:vAlign w:val="center"/>
          </w:tcPr>
          <w:p w14:paraId="2B0B155D">
            <w:pPr>
              <w:widowControl/>
              <w:spacing w:line="300" w:lineRule="exact"/>
              <w:jc w:val="center"/>
              <w:textAlignment w:val="center"/>
              <w:rPr>
                <w:rFonts w:ascii="Times New Roman" w:hAnsi="Times New Roman" w:eastAsia="仿宋_GB2312" w:cs="Times New Roman"/>
                <w:szCs w:val="21"/>
              </w:rPr>
            </w:pPr>
          </w:p>
        </w:tc>
        <w:tc>
          <w:tcPr>
            <w:tcW w:w="708" w:type="dxa"/>
            <w:noWrap w:val="0"/>
            <w:vAlign w:val="center"/>
          </w:tcPr>
          <w:p w14:paraId="244929DF">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212</w:t>
            </w:r>
          </w:p>
        </w:tc>
        <w:tc>
          <w:tcPr>
            <w:tcW w:w="907" w:type="dxa"/>
            <w:noWrap w:val="0"/>
            <w:vAlign w:val="center"/>
          </w:tcPr>
          <w:p w14:paraId="5B17F765">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14.9.2</w:t>
            </w:r>
          </w:p>
        </w:tc>
        <w:tc>
          <w:tcPr>
            <w:tcW w:w="4046" w:type="dxa"/>
            <w:noWrap w:val="0"/>
            <w:vAlign w:val="center"/>
          </w:tcPr>
          <w:p w14:paraId="4FAFC986">
            <w:pPr>
              <w:widowControl/>
              <w:spacing w:line="300" w:lineRule="exact"/>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企业应当形成管理评审报告并有相应改进措施，确保质量管理体系的持续适宜性、充分性和有效性。</w:t>
            </w:r>
          </w:p>
        </w:tc>
        <w:tc>
          <w:tcPr>
            <w:tcW w:w="776" w:type="dxa"/>
            <w:noWrap w:val="0"/>
            <w:vAlign w:val="center"/>
          </w:tcPr>
          <w:p w14:paraId="2FAF6D9C">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w:t>
            </w:r>
          </w:p>
        </w:tc>
        <w:tc>
          <w:tcPr>
            <w:tcW w:w="1643" w:type="dxa"/>
            <w:noWrap w:val="0"/>
            <w:vAlign w:val="center"/>
          </w:tcPr>
          <w:p w14:paraId="49A74650">
            <w:pPr>
              <w:widowControl/>
              <w:spacing w:line="300" w:lineRule="exact"/>
              <w:jc w:val="center"/>
              <w:textAlignment w:val="center"/>
              <w:rPr>
                <w:rFonts w:ascii="Times New Roman" w:hAnsi="Times New Roman" w:eastAsia="仿宋_GB2312" w:cs="Times New Roman"/>
                <w:szCs w:val="21"/>
              </w:rPr>
            </w:pPr>
            <w:r>
              <w:rPr>
                <w:rFonts w:ascii="Times New Roman" w:hAnsi="Times New Roman" w:eastAsia="仿宋_GB2312" w:cs="Times New Roman"/>
                <w:kern w:val="0"/>
                <w:szCs w:val="21"/>
                <w:lang w:bidi="ar"/>
              </w:rPr>
              <w:t>《规范》第一百二十九条</w:t>
            </w:r>
          </w:p>
        </w:tc>
      </w:tr>
    </w:tbl>
    <w:p w14:paraId="755CCA6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65062C"/>
    <w:multiLevelType w:val="singleLevel"/>
    <w:tmpl w:val="A565062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0443F7"/>
    <w:rsid w:val="24044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31"/>
    <w:basedOn w:val="3"/>
    <w:qFormat/>
    <w:uiPriority w:val="0"/>
    <w:rPr>
      <w:rFonts w:hint="eastAsia" w:ascii="宋体" w:hAnsi="宋体" w:eastAsia="宋体" w:cs="宋体"/>
      <w:color w:val="000000"/>
      <w:sz w:val="22"/>
      <w:szCs w:val="22"/>
      <w:u w:val="none"/>
    </w:rPr>
  </w:style>
  <w:style w:type="character" w:customStyle="1" w:styleId="5">
    <w:name w:val="font41"/>
    <w:basedOn w:val="3"/>
    <w:qFormat/>
    <w:uiPriority w:val="0"/>
    <w:rPr>
      <w:rFonts w:hint="eastAsia" w:ascii="宋体" w:hAnsi="宋体" w:eastAsia="宋体" w:cs="宋体"/>
      <w:color w:val="FF0000"/>
      <w:sz w:val="22"/>
      <w:szCs w:val="22"/>
      <w:u w:val="none"/>
    </w:rPr>
  </w:style>
  <w:style w:type="character" w:customStyle="1" w:styleId="6">
    <w:name w:val="font21"/>
    <w:basedOn w:val="3"/>
    <w:qFormat/>
    <w:uiPriority w:val="0"/>
    <w:rPr>
      <w:rFonts w:hint="eastAsia" w:ascii="宋体" w:hAnsi="宋体" w:eastAsia="宋体" w:cs="宋体"/>
      <w:color w:val="000000"/>
      <w:sz w:val="22"/>
      <w:szCs w:val="22"/>
      <w:u w:val="none"/>
    </w:rPr>
  </w:style>
  <w:style w:type="character" w:customStyle="1" w:styleId="7">
    <w:name w:val="font6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2026-09-29T09:21:00Z</dcterms:created>
  <dc:creator>YU</dc:creator>
  <cp:lastModifiedBy>YU</cp:lastModifiedBy>
  <dcterms:modified xsi:type="dcterms:W3CDTF">2026-09-29T09:22:11Z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46D04464D132435E9D65AB5AF0D78203_11</vt:lpwstr>
  </property>
  <property fmtid="{D5CDD505-2E9C-101B-9397-08002B2CF9AE}" pid="4" name="KSOTemplateDocerSaveRecord">
    <vt:lpwstr>eyJoZGlkIjoiNzUzMjcxYjI3MDRjMDIwZmVmYTgzNGM3MjE3OGJkMDMiLCJ1c2VySWQiOiIyNzgyMDExNzcifQ==</vt:lpwstr>
  </property>
</Properties>
</file>