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75884">
      <w:pPr>
        <w:spacing w:line="520" w:lineRule="exact"/>
        <w:jc w:val="center"/>
        <w:rPr>
          <w:rFonts w:hint="eastAsia" w:ascii="Times New Roman" w:hAnsi="Times New Roman" w:eastAsia="方正小标宋简体" w:cs="Times New Roman"/>
          <w:bCs/>
          <w:kern w:val="0"/>
          <w:sz w:val="44"/>
          <w:szCs w:val="32"/>
          <w:highlight w:val="none"/>
          <w:lang w:eastAsia="zh-CN"/>
        </w:rPr>
      </w:pPr>
      <w:r>
        <w:rPr>
          <w:rFonts w:hint="eastAsia" w:ascii="Times New Roman" w:hAnsi="Times New Roman" w:eastAsia="方正小标宋简体" w:cs="Times New Roman"/>
          <w:bCs/>
          <w:kern w:val="0"/>
          <w:sz w:val="44"/>
          <w:szCs w:val="32"/>
          <w:highlight w:val="none"/>
          <w:lang w:eastAsia="zh-CN"/>
        </w:rPr>
        <w:t>抗β2糖蛋白1抗体测定试剂</w:t>
      </w:r>
    </w:p>
    <w:p w14:paraId="5F55FF82">
      <w:pPr>
        <w:spacing w:line="520" w:lineRule="exact"/>
        <w:jc w:val="center"/>
        <w:rPr>
          <w:rFonts w:ascii="Times New Roman" w:hAnsi="Times New Roman" w:eastAsia="仿宋_GB2312" w:cs="Times New Roman"/>
          <w:color w:val="000000"/>
          <w:sz w:val="32"/>
          <w:szCs w:val="32"/>
          <w:highlight w:val="none"/>
        </w:rPr>
      </w:pPr>
      <w:r>
        <w:rPr>
          <w:rFonts w:hint="eastAsia" w:ascii="Times New Roman" w:hAnsi="Times New Roman" w:eastAsia="方正小标宋简体" w:cs="Times New Roman"/>
          <w:bCs/>
          <w:kern w:val="0"/>
          <w:sz w:val="44"/>
          <w:szCs w:val="32"/>
          <w:highlight w:val="none"/>
        </w:rPr>
        <w:t>注册审查指导原则（征求意见稿)</w:t>
      </w:r>
    </w:p>
    <w:p w14:paraId="7162A1AB">
      <w:pPr>
        <w:spacing w:line="520" w:lineRule="exact"/>
        <w:ind w:firstLine="640" w:firstLineChars="200"/>
        <w:jc w:val="center"/>
        <w:rPr>
          <w:rFonts w:ascii="Times New Roman" w:hAnsi="Times New Roman" w:eastAsia="仿宋_GB2312" w:cs="Times New Roman"/>
          <w:color w:val="000000"/>
          <w:sz w:val="32"/>
          <w:szCs w:val="32"/>
          <w:highlight w:val="none"/>
        </w:rPr>
      </w:pPr>
    </w:p>
    <w:p w14:paraId="79248B8C">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本指导原则旨在指导医疗器械注册申请人对</w:t>
      </w:r>
      <w:r>
        <w:rPr>
          <w:rFonts w:hint="eastAsia" w:ascii="Times New Roman" w:hAnsi="Times New Roman" w:eastAsia="仿宋_GB2312"/>
          <w:sz w:val="32"/>
          <w:szCs w:val="32"/>
          <w:highlight w:val="none"/>
          <w:lang w:eastAsia="zh-CN"/>
        </w:rPr>
        <w:t>抗β2糖蛋白1抗体测定试剂</w:t>
      </w:r>
      <w:r>
        <w:rPr>
          <w:rFonts w:hint="eastAsia" w:ascii="Times New Roman" w:hAnsi="Times New Roman" w:eastAsia="仿宋_GB2312"/>
          <w:sz w:val="32"/>
          <w:szCs w:val="32"/>
          <w:highlight w:val="none"/>
        </w:rPr>
        <w:t>注册申报资料的准备及撰写，同时也为技术审评部门审评注册申报资料提供参考。</w:t>
      </w:r>
    </w:p>
    <w:p w14:paraId="063CCE78">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本指导原则是对</w:t>
      </w:r>
      <w:r>
        <w:rPr>
          <w:rFonts w:hint="eastAsia" w:ascii="Times New Roman" w:hAnsi="Times New Roman" w:eastAsia="仿宋_GB2312"/>
          <w:sz w:val="32"/>
          <w:szCs w:val="32"/>
          <w:highlight w:val="none"/>
          <w:lang w:eastAsia="zh-CN"/>
        </w:rPr>
        <w:t>抗β2糖蛋白1抗体测定试剂</w:t>
      </w:r>
      <w:r>
        <w:rPr>
          <w:rFonts w:hint="eastAsia" w:ascii="Times New Roman" w:hAnsi="Times New Roman" w:eastAsia="仿宋_GB2312"/>
          <w:sz w:val="32"/>
          <w:szCs w:val="32"/>
          <w:highlight w:val="none"/>
        </w:rPr>
        <w:t>的一般要求，</w:t>
      </w:r>
      <w:r>
        <w:rPr>
          <w:rFonts w:hint="eastAsia" w:ascii="仿宋_GB2312" w:hAnsi="Times New Roman" w:eastAsia="仿宋_GB2312"/>
          <w:sz w:val="32"/>
          <w:szCs w:val="32"/>
          <w:highlight w:val="none"/>
        </w:rPr>
        <w:t>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09D713F0">
      <w:pPr>
        <w:widowControl/>
        <w:spacing w:line="520" w:lineRule="exact"/>
        <w:ind w:firstLine="640" w:firstLineChars="200"/>
        <w:jc w:val="left"/>
        <w:rPr>
          <w:rFonts w:ascii="仿宋_GB2312" w:hAnsi="Times New Roman" w:eastAsia="仿宋_GB2312"/>
          <w:sz w:val="32"/>
          <w:szCs w:val="32"/>
          <w:highlight w:val="none"/>
        </w:rPr>
      </w:pPr>
      <w:r>
        <w:rPr>
          <w:rFonts w:ascii="仿宋_GB2312" w:hAnsi="Times New Roman" w:eastAsia="仿宋_GB2312"/>
          <w:sz w:val="32"/>
          <w:szCs w:val="32"/>
          <w:highlight w:val="none"/>
        </w:rPr>
        <w:t>本指导原则是供注册申请人和技术审评人员使用的指导性文件，但不包括注册审批所涉及的行政事项，亦不作为法规强制执行，如有能够满足相关法规要求的其他方法，也可以采用，但需要提供详细的研究资料和验证资料</w:t>
      </w:r>
      <w:r>
        <w:rPr>
          <w:rFonts w:hint="eastAsia" w:ascii="仿宋_GB2312" w:hAnsi="Times New Roman" w:eastAsia="仿宋_GB2312"/>
          <w:sz w:val="32"/>
          <w:szCs w:val="32"/>
          <w:highlight w:val="none"/>
        </w:rPr>
        <w:t>，</w:t>
      </w:r>
      <w:r>
        <w:rPr>
          <w:rFonts w:ascii="仿宋_GB2312" w:hAnsi="Times New Roman" w:eastAsia="仿宋_GB2312"/>
          <w:sz w:val="32"/>
          <w:szCs w:val="32"/>
          <w:highlight w:val="none"/>
        </w:rPr>
        <w:t>需在遵循相关法规和强制性标准的前提下使用本指导原则。</w:t>
      </w:r>
    </w:p>
    <w:p w14:paraId="03F7F7D2">
      <w:pPr>
        <w:widowControl/>
        <w:spacing w:line="520" w:lineRule="exact"/>
        <w:ind w:firstLine="640" w:firstLineChars="200"/>
        <w:jc w:val="left"/>
        <w:rPr>
          <w:rFonts w:ascii="仿宋_GB2312" w:hAnsi="Times New Roman" w:eastAsia="仿宋_GB2312"/>
          <w:sz w:val="32"/>
          <w:szCs w:val="32"/>
          <w:highlight w:val="none"/>
        </w:rPr>
      </w:pPr>
      <w:r>
        <w:rPr>
          <w:rFonts w:hint="eastAsia" w:ascii="仿宋_GB2312" w:hAnsi="Times New Roman" w:eastAsia="仿宋_GB2312"/>
          <w:sz w:val="32"/>
          <w:szCs w:val="32"/>
          <w:highlight w:val="none"/>
        </w:rPr>
        <w:t>本指导原则是在现行法规、标准体系及当前认知水平下制定的，随着法规、标准体系的不断完善和科学技术的不断发展，本指导原则相关内容也将适时进行调整。</w:t>
      </w:r>
    </w:p>
    <w:p w14:paraId="18548C95">
      <w:pPr>
        <w:pStyle w:val="2"/>
        <w:spacing w:before="0" w:after="0" w:line="520" w:lineRule="exact"/>
        <w:ind w:firstLine="640" w:firstLineChars="200"/>
        <w:rPr>
          <w:rFonts w:ascii="Times New Roman" w:hAnsi="Times New Roman" w:eastAsia="黑体"/>
          <w:b w:val="0"/>
          <w:bCs w:val="0"/>
          <w:sz w:val="32"/>
          <w:szCs w:val="32"/>
          <w:highlight w:val="none"/>
        </w:rPr>
      </w:pPr>
      <w:r>
        <w:rPr>
          <w:rFonts w:hint="eastAsia" w:ascii="Times New Roman" w:hAnsi="Times New Roman" w:eastAsia="黑体"/>
          <w:b w:val="0"/>
          <w:bCs w:val="0"/>
          <w:sz w:val="32"/>
          <w:szCs w:val="32"/>
          <w:highlight w:val="none"/>
        </w:rPr>
        <w:t>一、适用范围</w:t>
      </w:r>
    </w:p>
    <w:p w14:paraId="31F4EA19">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color w:val="auto"/>
          <w:sz w:val="32"/>
          <w:szCs w:val="32"/>
          <w:highlight w:val="none"/>
        </w:rPr>
        <w:t>本指导原则适用于以化学发光法</w:t>
      </w:r>
      <w:r>
        <w:rPr>
          <w:rFonts w:hint="eastAsia" w:ascii="Times New Roman" w:hAnsi="Times New Roman" w:eastAsia="仿宋_GB2312"/>
          <w:color w:val="auto"/>
          <w:sz w:val="32"/>
          <w:szCs w:val="32"/>
          <w:highlight w:val="none"/>
        </w:rPr>
        <w:t>、酶联免疫法、荧光免疫法</w:t>
      </w:r>
      <w:r>
        <w:rPr>
          <w:rFonts w:hint="eastAsia" w:ascii="Times New Roman" w:hAnsi="Times New Roman" w:eastAsia="仿宋_GB2312"/>
          <w:sz w:val="32"/>
          <w:szCs w:val="32"/>
          <w:highlight w:val="none"/>
          <w:lang w:val="en-US" w:eastAsia="zh-CN"/>
        </w:rPr>
        <w:t>等</w:t>
      </w:r>
      <w:r>
        <w:rPr>
          <w:rFonts w:hint="eastAsia" w:ascii="Times New Roman" w:hAnsi="Times New Roman" w:eastAsia="仿宋_GB2312"/>
          <w:sz w:val="32"/>
          <w:szCs w:val="32"/>
          <w:highlight w:val="none"/>
        </w:rPr>
        <w:t>体外定量检测人血清和/或血浆样本中抗β</w:t>
      </w:r>
      <w:r>
        <w:rPr>
          <w:rFonts w:ascii="Times New Roman" w:hAnsi="Times New Roman" w:eastAsia="仿宋_GB2312"/>
          <w:sz w:val="32"/>
          <w:szCs w:val="32"/>
          <w:highlight w:val="none"/>
        </w:rPr>
        <w:t>2糖蛋白1抗体</w:t>
      </w:r>
      <w:r>
        <w:rPr>
          <w:rFonts w:hint="eastAsia" w:ascii="Times New Roman" w:hAnsi="Times New Roman" w:eastAsia="仿宋_GB2312"/>
          <w:sz w:val="32"/>
          <w:szCs w:val="32"/>
          <w:highlight w:val="none"/>
        </w:rPr>
        <w:t>（包括总抗</w:t>
      </w:r>
      <w:r>
        <w:rPr>
          <w:rFonts w:ascii="Times New Roman" w:hAnsi="Times New Roman" w:eastAsia="仿宋_GB2312"/>
          <w:sz w:val="32"/>
          <w:szCs w:val="32"/>
          <w:highlight w:val="none"/>
        </w:rPr>
        <w:t>/IgA抗体/IgM抗体/IgG抗体</w:t>
      </w:r>
      <w:r>
        <w:rPr>
          <w:rFonts w:hint="eastAsia" w:ascii="Times New Roman" w:hAnsi="Times New Roman" w:eastAsia="仿宋_GB2312"/>
          <w:sz w:val="32"/>
          <w:szCs w:val="32"/>
          <w:highlight w:val="none"/>
        </w:rPr>
        <w:t>）的试剂盒。临床上用于抗磷脂综合征（</w:t>
      </w:r>
      <w:r>
        <w:rPr>
          <w:rFonts w:ascii="Times New Roman" w:hAnsi="Times New Roman" w:eastAsia="仿宋_GB2312"/>
          <w:sz w:val="32"/>
          <w:szCs w:val="32"/>
          <w:highlight w:val="none"/>
        </w:rPr>
        <w:t>APS）、系统性红斑狼疮（SLE）的辅助诊断</w:t>
      </w:r>
      <w:r>
        <w:rPr>
          <w:rFonts w:hint="eastAsia" w:ascii="Times New Roman" w:hAnsi="Times New Roman" w:eastAsia="仿宋_GB2312"/>
          <w:sz w:val="32"/>
          <w:szCs w:val="32"/>
          <w:highlight w:val="none"/>
        </w:rPr>
        <w:t>。</w:t>
      </w:r>
      <w:r>
        <w:rPr>
          <w:rFonts w:ascii="仿宋_GB2312" w:hAnsi="Times New Roman" w:eastAsia="仿宋_GB2312"/>
          <w:sz w:val="32"/>
          <w:szCs w:val="32"/>
          <w:highlight w:val="none"/>
        </w:rPr>
        <w:t>其他方法学的</w:t>
      </w:r>
      <w:r>
        <w:rPr>
          <w:rFonts w:hint="eastAsia" w:ascii="Times New Roman" w:hAnsi="Times New Roman" w:eastAsia="仿宋_GB2312"/>
          <w:sz w:val="32"/>
          <w:szCs w:val="32"/>
          <w:highlight w:val="none"/>
        </w:rPr>
        <w:t>抗β</w:t>
      </w:r>
      <w:r>
        <w:rPr>
          <w:rFonts w:ascii="Times New Roman" w:hAnsi="Times New Roman" w:eastAsia="仿宋_GB2312"/>
          <w:sz w:val="32"/>
          <w:szCs w:val="32"/>
          <w:highlight w:val="none"/>
        </w:rPr>
        <w:t>2糖蛋白1抗体</w:t>
      </w:r>
      <w:r>
        <w:rPr>
          <w:rFonts w:ascii="仿宋_GB2312" w:hAnsi="Times New Roman" w:eastAsia="仿宋_GB2312"/>
          <w:sz w:val="32"/>
          <w:szCs w:val="32"/>
          <w:highlight w:val="none"/>
        </w:rPr>
        <w:t>检测试剂注册可参照本指导原则，但应根据产品的具体特性确定其中内容是否适用。</w:t>
      </w:r>
    </w:p>
    <w:p w14:paraId="41FE15C7">
      <w:pPr>
        <w:pStyle w:val="2"/>
        <w:spacing w:before="0" w:after="0" w:line="520" w:lineRule="exact"/>
        <w:ind w:firstLine="640" w:firstLineChars="200"/>
        <w:rPr>
          <w:rFonts w:ascii="Times New Roman" w:hAnsi="Times New Roman" w:eastAsia="黑体"/>
          <w:b w:val="0"/>
          <w:bCs w:val="0"/>
          <w:sz w:val="32"/>
          <w:szCs w:val="32"/>
          <w:highlight w:val="none"/>
        </w:rPr>
      </w:pPr>
      <w:r>
        <w:rPr>
          <w:rFonts w:hint="eastAsia" w:ascii="Times New Roman" w:hAnsi="Times New Roman" w:eastAsia="黑体"/>
          <w:b w:val="0"/>
          <w:bCs w:val="0"/>
          <w:sz w:val="32"/>
          <w:szCs w:val="32"/>
          <w:highlight w:val="none"/>
        </w:rPr>
        <w:t>二、注册审查要点</w:t>
      </w:r>
    </w:p>
    <w:p w14:paraId="369B655B">
      <w:pPr>
        <w:pStyle w:val="2"/>
        <w:spacing w:before="0" w:after="0" w:line="520" w:lineRule="exact"/>
        <w:ind w:firstLine="640" w:firstLineChars="200"/>
        <w:rPr>
          <w:rFonts w:ascii="Times New Roman" w:hAnsi="Times New Roman" w:eastAsia="楷体_GB2312"/>
          <w:b w:val="0"/>
          <w:bCs w:val="0"/>
          <w:sz w:val="32"/>
          <w:szCs w:val="32"/>
          <w:highlight w:val="none"/>
        </w:rPr>
      </w:pPr>
      <w:r>
        <w:rPr>
          <w:rFonts w:hint="eastAsia" w:ascii="Times New Roman" w:hAnsi="Times New Roman" w:eastAsia="楷体_GB2312"/>
          <w:b w:val="0"/>
          <w:bCs w:val="0"/>
          <w:sz w:val="32"/>
          <w:szCs w:val="32"/>
          <w:highlight w:val="none"/>
        </w:rPr>
        <w:t>(一)监管信息</w:t>
      </w:r>
    </w:p>
    <w:p w14:paraId="4ED70957">
      <w:pPr>
        <w:spacing w:line="520" w:lineRule="exact"/>
        <w:ind w:firstLine="640" w:firstLineChars="200"/>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1.产品名称</w:t>
      </w:r>
    </w:p>
    <w:p w14:paraId="762D56BD">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产品名称一般由三部分组成。第一部分：被测物名称，如</w:t>
      </w:r>
      <w:r>
        <w:rPr>
          <w:rFonts w:hint="eastAsia" w:ascii="Times New Roman" w:hAnsi="Times New Roman" w:eastAsia="仿宋_GB2312"/>
          <w:sz w:val="32"/>
          <w:szCs w:val="32"/>
          <w:highlight w:val="none"/>
        </w:rPr>
        <w:t>抗β2糖蛋白1抗体</w:t>
      </w:r>
      <w:r>
        <w:rPr>
          <w:rFonts w:hint="eastAsia" w:ascii="Times New Roman" w:hAnsi="Times New Roman" w:eastAsia="仿宋_GB2312"/>
          <w:kern w:val="0"/>
          <w:sz w:val="32"/>
          <w:szCs w:val="32"/>
          <w:highlight w:val="none"/>
        </w:rPr>
        <w:t>；第二部分：用途，如测定试剂或检测试剂；第三部分：方法或者原理，如</w:t>
      </w:r>
      <w:r>
        <w:rPr>
          <w:rFonts w:hint="eastAsia" w:ascii="Times New Roman" w:hAnsi="Times New Roman" w:eastAsia="仿宋_GB2312"/>
          <w:sz w:val="32"/>
          <w:szCs w:val="32"/>
          <w:highlight w:val="none"/>
        </w:rPr>
        <w:t>化学发光法</w:t>
      </w:r>
      <w:r>
        <w:rPr>
          <w:rFonts w:hint="eastAsia" w:ascii="Times New Roman" w:hAnsi="Times New Roman" w:eastAsia="仿宋_GB2312"/>
          <w:kern w:val="0"/>
          <w:sz w:val="32"/>
          <w:szCs w:val="32"/>
          <w:highlight w:val="none"/>
        </w:rPr>
        <w:t>。</w:t>
      </w:r>
    </w:p>
    <w:p w14:paraId="44F0AFA5">
      <w:pPr>
        <w:spacing w:line="52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2</w:t>
      </w:r>
      <w:r>
        <w:rPr>
          <w:rFonts w:hint="eastAsia" w:ascii="Times New Roman" w:hAnsi="Times New Roman" w:eastAsia="仿宋_GB2312" w:cs="Times New Roman"/>
          <w:kern w:val="0"/>
          <w:sz w:val="32"/>
          <w:szCs w:val="32"/>
          <w:highlight w:val="none"/>
        </w:rPr>
        <w:t>.分类依据</w:t>
      </w:r>
    </w:p>
    <w:p w14:paraId="3B1E5B53">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根据《体外诊断试剂分类目录》，抗β</w:t>
      </w:r>
      <w:r>
        <w:rPr>
          <w:rFonts w:ascii="Times New Roman" w:hAnsi="Times New Roman" w:eastAsia="仿宋_GB2312"/>
          <w:sz w:val="32"/>
          <w:szCs w:val="32"/>
          <w:highlight w:val="none"/>
        </w:rPr>
        <w:t>2糖蛋白1抗体</w:t>
      </w:r>
      <w:r>
        <w:rPr>
          <w:rFonts w:hint="eastAsia" w:ascii="Times New Roman" w:hAnsi="Times New Roman" w:eastAsia="仿宋_GB2312"/>
          <w:sz w:val="32"/>
          <w:szCs w:val="32"/>
          <w:highlight w:val="none"/>
        </w:rPr>
        <w:t>检测试剂</w:t>
      </w:r>
      <w:r>
        <w:rPr>
          <w:rFonts w:ascii="Times New Roman" w:hAnsi="Times New Roman" w:eastAsia="仿宋_GB2312"/>
          <w:sz w:val="32"/>
          <w:szCs w:val="32"/>
          <w:highlight w:val="none"/>
        </w:rPr>
        <w:t>管理类别为Ⅱ类，分类编码为6840</w:t>
      </w:r>
      <w:r>
        <w:rPr>
          <w:rFonts w:hint="default" w:ascii="Times New Roman" w:hAnsi="Times New Roman" w:eastAsia="仿宋_GB2312"/>
          <w:sz w:val="32"/>
          <w:szCs w:val="32"/>
          <w:highlight w:val="none"/>
          <w:lang w:val="en-US" w:eastAsia="zh-CN"/>
        </w:rPr>
        <w:t>-10-16001</w:t>
      </w:r>
      <w:r>
        <w:rPr>
          <w:rFonts w:hint="eastAsia" w:ascii="Times New Roman" w:hAnsi="Times New Roman" w:eastAsia="仿宋_GB2312"/>
          <w:sz w:val="32"/>
          <w:szCs w:val="32"/>
          <w:highlight w:val="none"/>
        </w:rPr>
        <w:t>。</w:t>
      </w:r>
    </w:p>
    <w:p w14:paraId="5C08722C">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3.注册单元划分</w:t>
      </w:r>
    </w:p>
    <w:p w14:paraId="4B10EE1B">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按照《医疗器械注册单元划分指导原则》对注册单元划分。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质控品可以与配合使用的抗 β2 糖蛋白 1 抗体测定试剂合并申请注册，也可以单独申请注册。</w:t>
      </w:r>
    </w:p>
    <w:p w14:paraId="638B5FC4">
      <w:pPr>
        <w:widowControl/>
        <w:spacing w:line="520" w:lineRule="exact"/>
        <w:ind w:firstLine="640" w:firstLineChars="200"/>
        <w:rPr>
          <w:rFonts w:ascii="仿宋_GB2312" w:hAnsi="Times New Roman" w:eastAsia="仿宋_GB2312"/>
          <w:sz w:val="32"/>
          <w:szCs w:val="32"/>
          <w:highlight w:val="none"/>
        </w:rPr>
      </w:pPr>
      <w:r>
        <w:rPr>
          <w:rFonts w:ascii="Times New Roman" w:hAnsi="Times New Roman" w:eastAsia="仿宋_GB2312"/>
          <w:kern w:val="0"/>
          <w:sz w:val="32"/>
          <w:szCs w:val="32"/>
          <w:highlight w:val="none"/>
        </w:rPr>
        <w:t>4.</w:t>
      </w:r>
      <w:r>
        <w:rPr>
          <w:rFonts w:hint="eastAsia" w:ascii="Times New Roman" w:hAnsi="Times New Roman" w:eastAsia="仿宋_GB2312"/>
          <w:kern w:val="0"/>
          <w:sz w:val="32"/>
          <w:szCs w:val="32"/>
          <w:highlight w:val="none"/>
        </w:rPr>
        <w:t>其他信息</w:t>
      </w:r>
      <w:r>
        <w:rPr>
          <w:rFonts w:hint="eastAsia" w:ascii="仿宋_GB2312" w:hAnsi="Times New Roman" w:eastAsia="仿宋_GB2312"/>
          <w:sz w:val="32"/>
          <w:szCs w:val="32"/>
          <w:highlight w:val="none"/>
        </w:rPr>
        <w:t>还包括产品列表、关联文件、申报前与监管机构的联系情况和沟通记录以及符合性声明等文件。</w:t>
      </w:r>
    </w:p>
    <w:p w14:paraId="3522F722">
      <w:pPr>
        <w:pStyle w:val="2"/>
        <w:spacing w:before="0" w:after="0" w:line="520" w:lineRule="exact"/>
        <w:ind w:firstLine="640" w:firstLineChars="200"/>
        <w:rPr>
          <w:rFonts w:ascii="Times New Roman" w:hAnsi="Times New Roman" w:eastAsia="楷体_GB2312"/>
          <w:b w:val="0"/>
          <w:bCs w:val="0"/>
          <w:sz w:val="32"/>
          <w:szCs w:val="32"/>
          <w:highlight w:val="none"/>
        </w:rPr>
      </w:pPr>
      <w:r>
        <w:rPr>
          <w:rFonts w:hint="eastAsia" w:ascii="Times New Roman" w:hAnsi="Times New Roman" w:eastAsia="楷体_GB2312"/>
          <w:b w:val="0"/>
          <w:bCs w:val="0"/>
          <w:sz w:val="32"/>
          <w:szCs w:val="32"/>
          <w:highlight w:val="none"/>
        </w:rPr>
        <w:t>(二)综述资料</w:t>
      </w:r>
    </w:p>
    <w:p w14:paraId="39109E2F">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综述资料主要包括概述、产品描</w:t>
      </w:r>
      <w:bookmarkStart w:id="0" w:name="_GoBack"/>
      <w:bookmarkEnd w:id="0"/>
      <w:r>
        <w:rPr>
          <w:rFonts w:hint="eastAsia" w:ascii="Times New Roman" w:hAnsi="Times New Roman" w:eastAsia="仿宋_GB2312"/>
          <w:kern w:val="0"/>
          <w:sz w:val="32"/>
          <w:szCs w:val="32"/>
          <w:highlight w:val="none"/>
        </w:rPr>
        <w:t>述、预期用途、申报产品上市历史、其他需说明的内容等。</w:t>
      </w:r>
    </w:p>
    <w:p w14:paraId="77F673D3">
      <w:pPr>
        <w:spacing w:line="52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1.</w:t>
      </w:r>
      <w:r>
        <w:rPr>
          <w:rFonts w:hint="eastAsia" w:ascii="Times New Roman" w:hAnsi="Times New Roman" w:eastAsia="仿宋_GB2312" w:cs="Times New Roman"/>
          <w:kern w:val="0"/>
          <w:sz w:val="32"/>
          <w:szCs w:val="32"/>
          <w:highlight w:val="none"/>
        </w:rPr>
        <w:t>产品</w:t>
      </w:r>
      <w:r>
        <w:rPr>
          <w:rFonts w:ascii="Times New Roman" w:hAnsi="Times New Roman" w:eastAsia="仿宋_GB2312" w:cs="Times New Roman"/>
          <w:kern w:val="0"/>
          <w:sz w:val="32"/>
          <w:szCs w:val="32"/>
          <w:highlight w:val="none"/>
        </w:rPr>
        <w:t>概述</w:t>
      </w:r>
    </w:p>
    <w:p w14:paraId="7A9D83C1">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应当描述</w:t>
      </w:r>
      <w:r>
        <w:rPr>
          <w:rFonts w:hint="eastAsia" w:ascii="Times New Roman" w:hAnsi="Times New Roman" w:eastAsia="仿宋_GB2312"/>
          <w:sz w:val="32"/>
          <w:szCs w:val="32"/>
          <w:highlight w:val="none"/>
          <w:lang w:eastAsia="zh-CN"/>
        </w:rPr>
        <w:t>抗β2糖蛋白1抗体测定试剂盒</w:t>
      </w:r>
      <w:r>
        <w:rPr>
          <w:rFonts w:hint="eastAsia" w:ascii="Times New Roman" w:hAnsi="Times New Roman" w:eastAsia="仿宋_GB2312"/>
          <w:sz w:val="32"/>
          <w:szCs w:val="32"/>
          <w:highlight w:val="none"/>
        </w:rPr>
        <w:t>名称及其确定依据；描述产品管理类别</w:t>
      </w:r>
      <w:r>
        <w:rPr>
          <w:rFonts w:hint="eastAsia" w:ascii="Times New Roman" w:hAnsi="Times New Roman" w:eastAsia="仿宋_GB2312"/>
          <w:sz w:val="32"/>
          <w:szCs w:val="32"/>
          <w:highlight w:val="none"/>
          <w:lang w:val="en-US" w:eastAsia="zh-CN"/>
        </w:rPr>
        <w:t>和</w:t>
      </w:r>
      <w:r>
        <w:rPr>
          <w:rFonts w:hint="eastAsia" w:ascii="Times New Roman" w:hAnsi="Times New Roman" w:eastAsia="仿宋_GB2312"/>
          <w:sz w:val="32"/>
          <w:szCs w:val="32"/>
          <w:highlight w:val="none"/>
        </w:rPr>
        <w:t>分类编码</w:t>
      </w:r>
      <w:r>
        <w:rPr>
          <w:rFonts w:ascii="Times New Roman" w:hAnsi="Times New Roman" w:eastAsia="仿宋_GB2312"/>
          <w:sz w:val="32"/>
          <w:szCs w:val="32"/>
          <w:highlight w:val="none"/>
        </w:rPr>
        <w:t>，明确所属分类目录名称；</w:t>
      </w:r>
      <w:r>
        <w:rPr>
          <w:rFonts w:hint="eastAsia" w:ascii="Times New Roman" w:hAnsi="Times New Roman" w:eastAsia="仿宋_GB2312"/>
          <w:sz w:val="32"/>
          <w:szCs w:val="32"/>
          <w:highlight w:val="none"/>
        </w:rPr>
        <w:t>描述申报产品预期用途；描述有关申报产品的背景信息概述或特别细节，如：申报产品的历史概述、历次提交的信息，与其他经批准上市产品的关系等。</w:t>
      </w:r>
    </w:p>
    <w:p w14:paraId="5CE1445D">
      <w:pPr>
        <w:widowControl/>
        <w:spacing w:line="520" w:lineRule="exact"/>
        <w:ind w:firstLine="640" w:firstLineChars="200"/>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2</w:t>
      </w:r>
      <w:r>
        <w:rPr>
          <w:rFonts w:ascii="Times New Roman" w:hAnsi="Times New Roman" w:eastAsia="仿宋_GB2312" w:cs="Times New Roman"/>
          <w:kern w:val="0"/>
          <w:sz w:val="32"/>
          <w:szCs w:val="32"/>
          <w:highlight w:val="none"/>
        </w:rPr>
        <w:t>.产品描述</w:t>
      </w:r>
    </w:p>
    <w:p w14:paraId="36799B3D">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应提供产品所采用的技术原理，产品组成，原材料的来源及制备方法，主要生产工艺，检验方法，质控品的制备方法及赋值情况（如适用），以及校准品的制备方法及溯源情况。</w:t>
      </w:r>
    </w:p>
    <w:p w14:paraId="72453312">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描述产品主要研究结果的总结和评价，</w:t>
      </w:r>
      <w:r>
        <w:rPr>
          <w:rFonts w:ascii="Times New Roman" w:hAnsi="Times New Roman" w:eastAsia="仿宋_GB2312"/>
          <w:kern w:val="0"/>
          <w:sz w:val="32"/>
          <w:szCs w:val="32"/>
          <w:highlight w:val="none"/>
        </w:rPr>
        <w:t>包括分析性能评估、参考区间、稳定性以及临床评价等。</w:t>
      </w:r>
    </w:p>
    <w:p w14:paraId="63C5376B">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描述不同包装规格之间的差异。</w:t>
      </w:r>
    </w:p>
    <w:p w14:paraId="1FEBE3B5">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描述产品中使用的生物材料或衍生物（如适用），包括生物学来源（如人、动物、病原体、重组或发酵产物）和组织来源（如血液）。人源性材料须对有关传染病（</w:t>
      </w:r>
      <w:r>
        <w:rPr>
          <w:rFonts w:ascii="Times New Roman" w:hAnsi="Times New Roman" w:eastAsia="仿宋_GB2312"/>
          <w:kern w:val="0"/>
          <w:sz w:val="32"/>
          <w:szCs w:val="32"/>
          <w:highlight w:val="none"/>
        </w:rPr>
        <w:t>HIV、HBV、HCV等）病原体检测予以说明；其他动物源及微生物来源的材料，应当说明其在产品运输、使用过程中对使用者和环境是安全的，并提供相关的文件。</w:t>
      </w:r>
    </w:p>
    <w:p w14:paraId="28F422F8">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kern w:val="0"/>
          <w:sz w:val="32"/>
          <w:szCs w:val="32"/>
          <w:highlight w:val="none"/>
        </w:rPr>
        <w:t>境内、外已有同类产品和</w:t>
      </w:r>
      <w:r>
        <w:rPr>
          <w:rFonts w:ascii="Times New Roman" w:hAnsi="Times New Roman" w:eastAsia="仿宋_GB2312"/>
          <w:kern w:val="0"/>
          <w:sz w:val="32"/>
          <w:szCs w:val="32"/>
          <w:highlight w:val="none"/>
        </w:rPr>
        <w:t>/或前代产品上市，申请人应提供其产品名称、生产企业、注册情况，并列表比较申报产品与同类产品和/或前代产品在技术原理、预期用途、使用方法、性能指标（如量值溯源、准确度、灵敏度（LoB、LoD和LoQ）、精密度、线性区间等）、参考区间、临床应用情况（临床评价结果）等方面的异同</w:t>
      </w:r>
      <w:r>
        <w:rPr>
          <w:rFonts w:ascii="Times New Roman" w:hAnsi="Times New Roman" w:eastAsia="仿宋_GB2312"/>
          <w:sz w:val="32"/>
          <w:szCs w:val="32"/>
          <w:highlight w:val="none"/>
        </w:rPr>
        <w:t>。</w:t>
      </w:r>
    </w:p>
    <w:p w14:paraId="2EB7616D">
      <w:pPr>
        <w:spacing w:line="520" w:lineRule="exact"/>
        <w:ind w:firstLine="640" w:firstLineChars="200"/>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3</w:t>
      </w:r>
      <w:r>
        <w:rPr>
          <w:rFonts w:ascii="Times New Roman" w:hAnsi="Times New Roman" w:eastAsia="仿宋_GB2312" w:cs="Times New Roman"/>
          <w:kern w:val="0"/>
          <w:sz w:val="32"/>
          <w:szCs w:val="32"/>
          <w:highlight w:val="none"/>
        </w:rPr>
        <w:t>.预期用途</w:t>
      </w:r>
    </w:p>
    <w:p w14:paraId="7DE1209F">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用于体外定量检测人体</w:t>
      </w:r>
      <w:r>
        <w:rPr>
          <w:rFonts w:hint="eastAsia" w:ascii="Times New Roman" w:hAnsi="Times New Roman" w:eastAsia="仿宋_GB2312"/>
          <w:sz w:val="32"/>
          <w:szCs w:val="32"/>
          <w:highlight w:val="none"/>
        </w:rPr>
        <w:t>血清和</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或血浆等样本</w:t>
      </w:r>
      <w:r>
        <w:rPr>
          <w:rFonts w:ascii="Times New Roman" w:hAnsi="Times New Roman" w:eastAsia="仿宋_GB2312"/>
          <w:sz w:val="32"/>
          <w:szCs w:val="32"/>
          <w:highlight w:val="none"/>
        </w:rPr>
        <w:t>中</w:t>
      </w:r>
      <w:r>
        <w:rPr>
          <w:rFonts w:hint="eastAsia" w:ascii="Times New Roman" w:hAnsi="Times New Roman" w:eastAsia="仿宋_GB2312"/>
          <w:sz w:val="32"/>
          <w:szCs w:val="32"/>
          <w:highlight w:val="none"/>
        </w:rPr>
        <w:t>抗β</w:t>
      </w:r>
      <w:r>
        <w:rPr>
          <w:rFonts w:ascii="Times New Roman" w:hAnsi="Times New Roman" w:eastAsia="仿宋_GB2312"/>
          <w:sz w:val="32"/>
          <w:szCs w:val="32"/>
          <w:highlight w:val="none"/>
        </w:rPr>
        <w:t>2糖蛋白1抗体的含量。</w:t>
      </w:r>
      <w:r>
        <w:rPr>
          <w:rFonts w:hint="eastAsia" w:ascii="Times New Roman" w:hAnsi="Times New Roman" w:eastAsia="仿宋_GB2312"/>
          <w:sz w:val="32"/>
          <w:szCs w:val="32"/>
          <w:highlight w:val="none"/>
        </w:rPr>
        <w:t>临床上用于抗磷脂综合征（</w:t>
      </w:r>
      <w:r>
        <w:rPr>
          <w:rFonts w:ascii="Times New Roman" w:hAnsi="Times New Roman" w:eastAsia="仿宋_GB2312"/>
          <w:sz w:val="32"/>
          <w:szCs w:val="32"/>
          <w:highlight w:val="none"/>
        </w:rPr>
        <w:t>APS）、系统性红斑狼疮（SLE）的辅助诊断</w:t>
      </w:r>
      <w:r>
        <w:rPr>
          <w:rFonts w:hint="eastAsia" w:ascii="Times New Roman" w:hAnsi="Times New Roman" w:eastAsia="仿宋_GB2312"/>
          <w:sz w:val="32"/>
          <w:szCs w:val="32"/>
          <w:highlight w:val="none"/>
        </w:rPr>
        <w:t>。</w:t>
      </w:r>
    </w:p>
    <w:p w14:paraId="4EDDBBBB">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应明确适用仪器、使用方法、检测类型、样本采集及保存装置和</w:t>
      </w:r>
      <w:r>
        <w:rPr>
          <w:rFonts w:ascii="Times New Roman" w:hAnsi="Times New Roman" w:eastAsia="仿宋_GB2312"/>
          <w:sz w:val="32"/>
          <w:szCs w:val="32"/>
          <w:highlight w:val="none"/>
        </w:rPr>
        <w:t>/或添加剂（如抗凝剂）使用情况</w:t>
      </w:r>
      <w:r>
        <w:rPr>
          <w:rFonts w:hint="eastAsia" w:ascii="Times New Roman" w:hAnsi="Times New Roman" w:eastAsia="仿宋_GB2312"/>
          <w:sz w:val="32"/>
          <w:szCs w:val="32"/>
          <w:highlight w:val="none"/>
        </w:rPr>
        <w:t>。</w:t>
      </w:r>
    </w:p>
    <w:p w14:paraId="7D975989">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临床检验操作规程</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第四版</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明确</w:t>
      </w:r>
      <w:r>
        <w:rPr>
          <w:rFonts w:hint="eastAsia" w:ascii="Times New Roman" w:hAnsi="Times New Roman" w:eastAsia="仿宋_GB2312"/>
          <w:sz w:val="32"/>
          <w:szCs w:val="32"/>
          <w:highlight w:val="none"/>
        </w:rPr>
        <w:t>在A</w:t>
      </w:r>
      <w:r>
        <w:rPr>
          <w:rFonts w:ascii="Times New Roman" w:hAnsi="Times New Roman" w:eastAsia="仿宋_GB2312"/>
          <w:sz w:val="32"/>
          <w:szCs w:val="32"/>
          <w:highlight w:val="none"/>
        </w:rPr>
        <w:t>PS</w:t>
      </w:r>
      <w:r>
        <w:rPr>
          <w:rFonts w:hint="eastAsia" w:ascii="Times New Roman" w:hAnsi="Times New Roman" w:eastAsia="仿宋_GB2312"/>
          <w:sz w:val="32"/>
          <w:szCs w:val="32"/>
          <w:highlight w:val="none"/>
        </w:rPr>
        <w:t>患者中，抗β</w:t>
      </w:r>
      <w:r>
        <w:rPr>
          <w:rFonts w:ascii="Times New Roman" w:hAnsi="Times New Roman" w:eastAsia="仿宋_GB2312"/>
          <w:sz w:val="32"/>
          <w:szCs w:val="32"/>
          <w:highlight w:val="none"/>
        </w:rPr>
        <w:t>2糖蛋白1抗体</w:t>
      </w:r>
      <w:r>
        <w:rPr>
          <w:rFonts w:hint="eastAsia" w:ascii="Times New Roman" w:hAnsi="Times New Roman" w:eastAsia="仿宋_GB2312"/>
          <w:sz w:val="32"/>
          <w:szCs w:val="32"/>
          <w:highlight w:val="none"/>
        </w:rPr>
        <w:t>（Ig</w:t>
      </w:r>
      <w:r>
        <w:rPr>
          <w:rFonts w:ascii="Times New Roman" w:hAnsi="Times New Roman" w:eastAsia="仿宋_GB2312"/>
          <w:sz w:val="32"/>
          <w:szCs w:val="32"/>
          <w:highlight w:val="none"/>
        </w:rPr>
        <w:t>G</w:t>
      </w:r>
      <w:r>
        <w:rPr>
          <w:rFonts w:hint="eastAsia" w:ascii="Times New Roman" w:hAnsi="Times New Roman" w:eastAsia="仿宋_GB2312"/>
          <w:sz w:val="32"/>
          <w:szCs w:val="32"/>
          <w:highlight w:val="none"/>
        </w:rPr>
        <w:t>和/或Ig</w:t>
      </w:r>
      <w:r>
        <w:rPr>
          <w:rFonts w:ascii="Times New Roman" w:hAnsi="Times New Roman" w:eastAsia="仿宋_GB2312"/>
          <w:sz w:val="32"/>
          <w:szCs w:val="32"/>
          <w:highlight w:val="none"/>
        </w:rPr>
        <w:t>M</w:t>
      </w:r>
      <w:r>
        <w:rPr>
          <w:rFonts w:hint="eastAsia" w:ascii="Times New Roman" w:hAnsi="Times New Roman" w:eastAsia="仿宋_GB2312"/>
          <w:sz w:val="32"/>
          <w:szCs w:val="32"/>
          <w:highlight w:val="none"/>
        </w:rPr>
        <w:t>类）阳性率为3</w:t>
      </w:r>
      <w:r>
        <w:rPr>
          <w:rFonts w:ascii="Times New Roman" w:hAnsi="Times New Roman" w:eastAsia="仿宋_GB2312"/>
          <w:sz w:val="32"/>
          <w:szCs w:val="32"/>
          <w:highlight w:val="none"/>
        </w:rPr>
        <w:t>0</w:t>
      </w:r>
      <w:r>
        <w:rPr>
          <w:rFonts w:hint="eastAsia" w:ascii="Times New Roman" w:hAnsi="Times New Roman" w:eastAsia="仿宋_GB2312"/>
          <w:sz w:val="32"/>
          <w:szCs w:val="32"/>
          <w:highlight w:val="none"/>
        </w:rPr>
        <w:t>%～6</w:t>
      </w:r>
      <w:r>
        <w:rPr>
          <w:rFonts w:ascii="Times New Roman" w:hAnsi="Times New Roman" w:eastAsia="仿宋_GB2312"/>
          <w:sz w:val="32"/>
          <w:szCs w:val="32"/>
          <w:highlight w:val="none"/>
        </w:rPr>
        <w:t>0</w:t>
      </w:r>
      <w:r>
        <w:rPr>
          <w:rFonts w:hint="eastAsia" w:ascii="Times New Roman" w:hAnsi="Times New Roman" w:eastAsia="仿宋_GB2312"/>
          <w:sz w:val="32"/>
          <w:szCs w:val="32"/>
          <w:highlight w:val="none"/>
        </w:rPr>
        <w:t>%，对A</w:t>
      </w:r>
      <w:r>
        <w:rPr>
          <w:rFonts w:ascii="Times New Roman" w:hAnsi="Times New Roman" w:eastAsia="仿宋_GB2312"/>
          <w:sz w:val="32"/>
          <w:szCs w:val="32"/>
          <w:highlight w:val="none"/>
        </w:rPr>
        <w:t>PS</w:t>
      </w:r>
      <w:r>
        <w:rPr>
          <w:rFonts w:hint="eastAsia" w:ascii="Times New Roman" w:hAnsi="Times New Roman" w:eastAsia="仿宋_GB2312"/>
          <w:sz w:val="32"/>
          <w:szCs w:val="32"/>
          <w:highlight w:val="none"/>
        </w:rPr>
        <w:t>诊断敏感性约为5</w:t>
      </w: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rPr>
        <w:t>，特异性约为9</w:t>
      </w:r>
      <w:r>
        <w:rPr>
          <w:rFonts w:ascii="Times New Roman" w:hAnsi="Times New Roman" w:eastAsia="仿宋_GB2312"/>
          <w:sz w:val="32"/>
          <w:szCs w:val="32"/>
          <w:highlight w:val="none"/>
        </w:rPr>
        <w:t>8</w:t>
      </w:r>
      <w:r>
        <w:rPr>
          <w:rFonts w:hint="eastAsia" w:ascii="Times New Roman" w:hAnsi="Times New Roman" w:eastAsia="仿宋_GB2312"/>
          <w:sz w:val="32"/>
          <w:szCs w:val="32"/>
          <w:highlight w:val="none"/>
        </w:rPr>
        <w:t>%。该抗体水平与动、静脉血栓形成具有相关性（如在S</w:t>
      </w:r>
      <w:r>
        <w:rPr>
          <w:rFonts w:ascii="Times New Roman" w:hAnsi="Times New Roman" w:eastAsia="仿宋_GB2312"/>
          <w:sz w:val="32"/>
          <w:szCs w:val="32"/>
          <w:highlight w:val="none"/>
        </w:rPr>
        <w:t>LE</w:t>
      </w:r>
      <w:r>
        <w:rPr>
          <w:rFonts w:hint="eastAsia" w:ascii="Times New Roman" w:hAnsi="Times New Roman" w:eastAsia="仿宋_GB2312"/>
          <w:sz w:val="32"/>
          <w:szCs w:val="32"/>
          <w:highlight w:val="none"/>
        </w:rPr>
        <w:t>患者中，抗β</w:t>
      </w:r>
      <w:r>
        <w:rPr>
          <w:rFonts w:ascii="Times New Roman" w:hAnsi="Times New Roman" w:eastAsia="仿宋_GB2312"/>
          <w:sz w:val="32"/>
          <w:szCs w:val="32"/>
          <w:highlight w:val="none"/>
        </w:rPr>
        <w:t>2糖蛋白1抗体</w:t>
      </w:r>
      <w:r>
        <w:rPr>
          <w:rFonts w:hint="eastAsia" w:ascii="Times New Roman" w:hAnsi="Times New Roman" w:eastAsia="仿宋_GB2312"/>
          <w:sz w:val="32"/>
          <w:szCs w:val="32"/>
          <w:highlight w:val="none"/>
        </w:rPr>
        <w:t>水平与血栓严重程度呈高度正相关）。</w:t>
      </w:r>
    </w:p>
    <w:p w14:paraId="5F203832">
      <w:pPr>
        <w:spacing w:line="520" w:lineRule="exact"/>
        <w:ind w:firstLine="640" w:firstLineChars="200"/>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4</w:t>
      </w:r>
      <w:r>
        <w:rPr>
          <w:rFonts w:ascii="Times New Roman" w:hAnsi="Times New Roman" w:eastAsia="仿宋_GB2312" w:cs="Times New Roman"/>
          <w:kern w:val="0"/>
          <w:sz w:val="32"/>
          <w:szCs w:val="32"/>
          <w:highlight w:val="none"/>
        </w:rPr>
        <w:t>.申报产品上市历史</w:t>
      </w:r>
      <w:r>
        <w:rPr>
          <w:rFonts w:hint="eastAsia"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rPr>
        <w:t>如适用</w:t>
      </w:r>
      <w:r>
        <w:rPr>
          <w:rFonts w:hint="eastAsia" w:ascii="Times New Roman" w:hAnsi="Times New Roman" w:eastAsia="仿宋_GB2312" w:cs="Times New Roman"/>
          <w:kern w:val="0"/>
          <w:sz w:val="32"/>
          <w:szCs w:val="32"/>
          <w:highlight w:val="none"/>
        </w:rPr>
        <w:t>）</w:t>
      </w:r>
    </w:p>
    <w:p w14:paraId="5FD6D23F">
      <w:pPr>
        <w:spacing w:line="520" w:lineRule="exact"/>
        <w:ind w:firstLine="640" w:firstLineChars="200"/>
        <w:rPr>
          <w:rFonts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5</w:t>
      </w:r>
      <w:r>
        <w:rPr>
          <w:rFonts w:ascii="Times New Roman" w:hAnsi="Times New Roman" w:eastAsia="仿宋_GB2312" w:cs="Times New Roman"/>
          <w:kern w:val="0"/>
          <w:sz w:val="32"/>
          <w:szCs w:val="32"/>
          <w:highlight w:val="none"/>
        </w:rPr>
        <w:t>.其他需说明的内容</w:t>
      </w:r>
    </w:p>
    <w:p w14:paraId="4C635E3D">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除申报产品外，检测系统的其他组成部分，包括但不限于</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样本处理用试剂、适用仪器、质控品</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校准品、独立软件</w:t>
      </w:r>
      <w:r>
        <w:rPr>
          <w:rFonts w:hint="eastAsia" w:ascii="Times New Roman" w:hAnsi="Times New Roman" w:eastAsia="仿宋_GB2312"/>
          <w:sz w:val="32"/>
          <w:szCs w:val="32"/>
          <w:highlight w:val="none"/>
        </w:rPr>
        <w:t>（如适用）</w:t>
      </w:r>
      <w:r>
        <w:rPr>
          <w:rFonts w:ascii="Times New Roman" w:hAnsi="Times New Roman" w:eastAsia="仿宋_GB2312"/>
          <w:sz w:val="32"/>
          <w:szCs w:val="32"/>
          <w:highlight w:val="none"/>
        </w:rPr>
        <w:t>等基本信息，及其在检测中发挥的作用，必要时应提交相应的说明书。</w:t>
      </w:r>
    </w:p>
    <w:p w14:paraId="43219688">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对于已获得批准的检测系统的其他组成部分，应当提供注册证编号和国家药监局官方网站公布的注册证信息。</w:t>
      </w:r>
    </w:p>
    <w:p w14:paraId="2821EEDA">
      <w:pPr>
        <w:widowControl/>
        <w:spacing w:line="520" w:lineRule="exact"/>
        <w:ind w:firstLine="640" w:firstLineChars="200"/>
        <w:rPr>
          <w:rFonts w:ascii="Times New Roman" w:hAnsi="Times New Roman" w:eastAsia="楷体_GB2312"/>
          <w:sz w:val="32"/>
          <w:szCs w:val="32"/>
          <w:highlight w:val="none"/>
        </w:rPr>
      </w:pPr>
      <w:r>
        <w:rPr>
          <w:rFonts w:hint="eastAsia" w:ascii="Times New Roman" w:hAnsi="Times New Roman" w:eastAsia="楷体_GB2312"/>
          <w:sz w:val="32"/>
          <w:szCs w:val="32"/>
          <w:highlight w:val="none"/>
        </w:rPr>
        <w:t>（三）非临床资料</w:t>
      </w:r>
    </w:p>
    <w:p w14:paraId="58308E37">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产品风险管理资料</w:t>
      </w:r>
    </w:p>
    <w:p w14:paraId="68ED5F2F">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申请人应考虑产品寿命周期的各个环节，从预期用途、可能的使用错误、与安全性有关的特征、已知及可预见的危害等方面的判定以及对患者风险的估计进行风险分析。应符合GB/T 42062《医疗器械 风险管理对医疗器械的应用》、</w:t>
      </w:r>
      <w:r>
        <w:rPr>
          <w:rFonts w:ascii="Times New Roman" w:hAnsi="Times New Roman" w:eastAsia="仿宋_GB2312"/>
          <w:sz w:val="32"/>
          <w:szCs w:val="32"/>
          <w:highlight w:val="none"/>
        </w:rPr>
        <w:t>YY/T 1437</w:t>
      </w:r>
      <w:r>
        <w:rPr>
          <w:rFonts w:hint="eastAsia" w:ascii="Times New Roman" w:hAnsi="Times New Roman" w:eastAsia="仿宋_GB2312"/>
          <w:sz w:val="32"/>
          <w:szCs w:val="32"/>
          <w:highlight w:val="none"/>
        </w:rPr>
        <w:t>《医疗器械</w:t>
      </w:r>
      <w:r>
        <w:rPr>
          <w:rFonts w:ascii="Times New Roman" w:hAnsi="Times New Roman" w:eastAsia="仿宋_GB2312"/>
          <w:sz w:val="32"/>
          <w:szCs w:val="32"/>
          <w:highlight w:val="none"/>
        </w:rPr>
        <w:t>GB/T 42062应用指南</w:t>
      </w:r>
      <w:r>
        <w:rPr>
          <w:rFonts w:hint="eastAsia" w:ascii="Times New Roman" w:hAnsi="Times New Roman" w:eastAsia="仿宋_GB2312"/>
          <w:sz w:val="32"/>
          <w:szCs w:val="32"/>
          <w:highlight w:val="none"/>
        </w:rPr>
        <w:t>》的要求。</w:t>
      </w:r>
    </w:p>
    <w:p w14:paraId="75698B80">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风险管理资料至少应包括风险管理人员及其职责分工、风险可接受准则、风险评价、风险控制和风险控制措施、综合剩余风险的可接受性评价、风险控制措施验证、风险管理评审结论。</w:t>
      </w:r>
    </w:p>
    <w:p w14:paraId="4BB7285F">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常见风险分析项包括：性能特征失效包括：精密度失效，准确度失效，非特异性，稳定性失效，测量范围失效，校准失效；可能的生产错误包括：配方错误，采购的原</w:t>
      </w:r>
      <w:r>
        <w:rPr>
          <w:rFonts w:hint="eastAsia" w:ascii="Times New Roman" w:hAnsi="Times New Roman" w:eastAsia="仿宋_GB2312"/>
          <w:sz w:val="32"/>
          <w:szCs w:val="32"/>
          <w:highlight w:val="none"/>
          <w:lang w:val="en-US" w:eastAsia="zh-CN"/>
        </w:rPr>
        <w:t>材</w:t>
      </w:r>
      <w:r>
        <w:rPr>
          <w:rFonts w:hint="eastAsia" w:ascii="Times New Roman" w:hAnsi="Times New Roman" w:eastAsia="仿宋_GB2312"/>
          <w:sz w:val="32"/>
          <w:szCs w:val="32"/>
          <w:highlight w:val="none"/>
        </w:rPr>
        <w:t>料未能达到设计要求的性能，原材料储存条件不正确，使用了过期的原材料，反应体系不正确，试剂与包装材料不相容，生产者未按照生产流程操作，检验者未按照原料、半成品、成品检验标准操作，装配过程组分、标签、说明书等漏装或误装；可能的使用错误包括：成品储存或运输不当，客户未参照产品说明书设置参数或使用。与安全性有关的特征包括：有毒化学试剂的化学污染、样本的潜在生物污染、不可回收包装或塑料的环境污染。</w:t>
      </w:r>
    </w:p>
    <w:p w14:paraId="4613AA51">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进行风险分析时，应识别出产品的其它特定风险，并对风险分析方法进行描述。如果可以选择使用其它方法来解决所识别出的特定风险，或已识别出不同于本指南中风险的其它风险，应提供详细信息来支持所采用的、解决该风险的方法。</w:t>
      </w:r>
    </w:p>
    <w:p w14:paraId="372E5121">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2</w:t>
      </w:r>
      <w:r>
        <w:rPr>
          <w:rFonts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rPr>
        <w:t>体外诊断试剂安全和性能基本原则清单</w:t>
      </w:r>
    </w:p>
    <w:p w14:paraId="4043A151">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说明产品符合《体外诊断试剂安全和性能基本原则清单》各项适用要求所采用的方法，以及证明其符合性的文件。对于其中不适用的各项要求，应当说明理由。</w:t>
      </w:r>
    </w:p>
    <w:p w14:paraId="094D107A">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对于包含在产品注册申报资料中的文件，应当说明其在申报资料中的具体位置；对于未包含在产品注册申报资料中的文件，应当注明该证据文件名称及其在质量管理体系文件中的编号备查。</w:t>
      </w:r>
    </w:p>
    <w:p w14:paraId="27FD550B">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3</w:t>
      </w:r>
      <w:r>
        <w:rPr>
          <w:rFonts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rPr>
        <w:t>产品技术要求及检验报告</w:t>
      </w:r>
    </w:p>
    <w:p w14:paraId="152B0DCF">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产品技术要求应按照《体外诊断试剂注册与备案管理办法》</w:t>
      </w:r>
      <w:r>
        <w:rPr>
          <w:rFonts w:hint="eastAsia" w:ascii="Times New Roman" w:hAnsi="Times New Roman" w:eastAsia="仿宋_GB2312"/>
          <w:sz w:val="32"/>
          <w:szCs w:val="32"/>
          <w:highlight w:val="none"/>
        </w:rPr>
        <w:t>《医疗器械产品技术要求编写指导原则》</w:t>
      </w:r>
      <w:r>
        <w:rPr>
          <w:rFonts w:ascii="Times New Roman" w:hAnsi="Times New Roman" w:eastAsia="仿宋_GB2312"/>
          <w:sz w:val="32"/>
          <w:szCs w:val="32"/>
          <w:highlight w:val="none"/>
        </w:rPr>
        <w:t>的相关规定进行编写。同</w:t>
      </w:r>
      <w:r>
        <w:rPr>
          <w:rFonts w:ascii="Times New Roman" w:hAnsi="Times New Roman" w:eastAsia="仿宋_GB2312"/>
          <w:bCs w:val="0"/>
          <w:sz w:val="32"/>
          <w:szCs w:val="32"/>
          <w:highlight w:val="none"/>
        </w:rPr>
        <w:t>时结合产品具体适用的指导原则或相关国家标准、行业标准以及产品的特点，明确保证产品安全、有效、质量可控的各项性能指标和检验方法</w:t>
      </w:r>
      <w:r>
        <w:rPr>
          <w:rFonts w:hint="eastAsia" w:ascii="Times New Roman" w:hAnsi="Times New Roman" w:eastAsia="仿宋_GB2312"/>
          <w:sz w:val="32"/>
          <w:szCs w:val="32"/>
          <w:highlight w:val="none"/>
        </w:rPr>
        <w:t>。</w:t>
      </w:r>
    </w:p>
    <w:p w14:paraId="73C47307">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3.</w:t>
      </w:r>
      <w:r>
        <w:rPr>
          <w:rFonts w:ascii="Times New Roman" w:hAnsi="Times New Roman" w:eastAsia="仿宋_GB2312"/>
          <w:b w:val="0"/>
          <w:bCs w:val="0"/>
          <w:sz w:val="32"/>
          <w:szCs w:val="32"/>
          <w:highlight w:val="none"/>
        </w:rPr>
        <w:t>1</w:t>
      </w:r>
      <w:r>
        <w:rPr>
          <w:rFonts w:hint="eastAsia" w:ascii="Times New Roman" w:hAnsi="Times New Roman" w:eastAsia="仿宋_GB2312"/>
          <w:b w:val="0"/>
          <w:bCs w:val="0"/>
          <w:sz w:val="32"/>
          <w:szCs w:val="32"/>
          <w:highlight w:val="none"/>
        </w:rPr>
        <w:t xml:space="preserve"> 产品技术要求</w:t>
      </w:r>
    </w:p>
    <w:p w14:paraId="22CA2C1E">
      <w:pPr>
        <w:spacing w:line="520" w:lineRule="exact"/>
        <w:ind w:firstLine="640" w:firstLineChars="200"/>
        <w:rPr>
          <w:rFonts w:ascii="Times New Roman" w:hAnsi="Times New Roman" w:eastAsia="仿宋_GB2312"/>
          <w:highlight w:val="none"/>
        </w:rPr>
      </w:pP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.1性能指标</w:t>
      </w:r>
    </w:p>
    <w:p w14:paraId="61AD670E">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该产品作为定量测定试剂主要包括以下性能指标：外观、检出限、线性、准确度、精密度（重复性、批间差）等。</w:t>
      </w:r>
    </w:p>
    <w:p w14:paraId="173ECB79">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如试剂盒内含校准品/质控品，其性能指标至少应包含均匀性。其他指标可依据产品的具体情况进行设置。</w:t>
      </w:r>
    </w:p>
    <w:p w14:paraId="698E1923">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如有适用的强制性国家/行业标准发布或更新，则产品技术要求不低于其相关要求。</w:t>
      </w:r>
    </w:p>
    <w:p w14:paraId="6DA313F8">
      <w:pPr>
        <w:overflowPunct w:val="0"/>
        <w:spacing w:line="520" w:lineRule="exact"/>
        <w:ind w:firstLine="640" w:firstLineChars="200"/>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w:t>
      </w:r>
      <w:r>
        <w:rPr>
          <w:rFonts w:ascii="Times New Roman" w:hAnsi="Times New Roman" w:eastAsia="仿宋_GB2312" w:cs="仿宋_GB2312"/>
          <w:sz w:val="32"/>
          <w:szCs w:val="32"/>
          <w:highlight w:val="none"/>
        </w:rPr>
        <w:t>1</w:t>
      </w:r>
      <w:r>
        <w:rPr>
          <w:rFonts w:hint="eastAsia" w:ascii="Times New Roman" w:hAnsi="Times New Roman" w:eastAsia="仿宋_GB2312" w:cs="仿宋_GB2312"/>
          <w:sz w:val="32"/>
          <w:szCs w:val="32"/>
          <w:highlight w:val="none"/>
        </w:rPr>
        <w:t>.2检验方法</w:t>
      </w:r>
    </w:p>
    <w:p w14:paraId="5F3D3753">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产品的检验方法需根据技术性能指标设定，检验方法需优先采用公认的或已颁布的标准检验方法；自建检验方法需提供相应的方法学依据及理论基础，同时保证检验方法</w:t>
      </w:r>
      <w:r>
        <w:rPr>
          <w:rFonts w:hint="eastAsia" w:ascii="Times New Roman" w:hAnsi="Times New Roman" w:eastAsia="仿宋_GB2312"/>
          <w:sz w:val="32"/>
          <w:szCs w:val="32"/>
          <w:highlight w:val="none"/>
        </w:rPr>
        <w:t>的科学性、准确性、可重现性和可操作性</w:t>
      </w:r>
      <w:r>
        <w:rPr>
          <w:rFonts w:ascii="Times New Roman" w:hAnsi="Times New Roman" w:eastAsia="仿宋_GB2312"/>
          <w:sz w:val="32"/>
          <w:szCs w:val="32"/>
          <w:highlight w:val="none"/>
        </w:rPr>
        <w:t>。</w:t>
      </w:r>
    </w:p>
    <w:p w14:paraId="51852EBE">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3.</w:t>
      </w:r>
      <w:r>
        <w:rPr>
          <w:rFonts w:ascii="Times New Roman" w:hAnsi="Times New Roman" w:eastAsia="仿宋_GB2312"/>
          <w:b w:val="0"/>
          <w:bCs w:val="0"/>
          <w:sz w:val="32"/>
          <w:szCs w:val="32"/>
          <w:highlight w:val="none"/>
        </w:rPr>
        <w:t>2</w:t>
      </w:r>
      <w:r>
        <w:rPr>
          <w:rFonts w:hint="eastAsia" w:ascii="Times New Roman" w:hAnsi="Times New Roman" w:eastAsia="仿宋_GB2312"/>
          <w:b w:val="0"/>
          <w:bCs w:val="0"/>
          <w:sz w:val="32"/>
          <w:szCs w:val="32"/>
          <w:highlight w:val="none"/>
        </w:rPr>
        <w:t xml:space="preserve"> 产品检验报告</w:t>
      </w:r>
    </w:p>
    <w:p w14:paraId="0F847880">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在保证产品原材料和生产工艺稳定可靠的基础上，</w:t>
      </w:r>
      <w:r>
        <w:rPr>
          <w:rFonts w:hint="eastAsia" w:ascii="Times New Roman" w:hAnsi="Times New Roman" w:eastAsia="仿宋_GB2312"/>
          <w:sz w:val="32"/>
          <w:szCs w:val="32"/>
          <w:highlight w:val="none"/>
        </w:rPr>
        <w:t>采用在符合医疗器械质量管理体系相关要求的条件下生产的产品进行检验，提交符合产品技术要求的全项目检验报告。</w:t>
      </w:r>
    </w:p>
    <w:p w14:paraId="0DE0DE84">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目前该产品无适用的国家标准品，如有适用的国家标准品发布，应当使用国家标准品对产品进行检验。申请人可提交以下任一形式的检验报告：</w:t>
      </w:r>
    </w:p>
    <w:p w14:paraId="54B312E4">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2</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1</w:t>
      </w:r>
      <w:r>
        <w:rPr>
          <w:rFonts w:hint="eastAsia" w:ascii="Times New Roman" w:hAnsi="Times New Roman" w:eastAsia="仿宋_GB2312"/>
          <w:sz w:val="32"/>
          <w:szCs w:val="32"/>
          <w:highlight w:val="none"/>
        </w:rPr>
        <w:t xml:space="preserve"> 委托有资质的医疗器械检验机构出具的检验报告。</w:t>
      </w:r>
    </w:p>
    <w:p w14:paraId="74E894A9">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2</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2</w:t>
      </w:r>
      <w:r>
        <w:rPr>
          <w:rFonts w:hint="eastAsia" w:ascii="Times New Roman" w:hAnsi="Times New Roman" w:eastAsia="仿宋_GB2312"/>
          <w:sz w:val="32"/>
          <w:szCs w:val="32"/>
          <w:highlight w:val="none"/>
        </w:rPr>
        <w:t xml:space="preserve"> 具有自检能力的注册申请人出具的自检报告。</w:t>
      </w:r>
    </w:p>
    <w:p w14:paraId="78D90292">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ascii="Times New Roman" w:hAnsi="Times New Roman" w:eastAsia="仿宋_GB2312"/>
          <w:sz w:val="32"/>
          <w:szCs w:val="32"/>
          <w:highlight w:val="none"/>
        </w:rPr>
        <w:t>.分析性能研究</w:t>
      </w:r>
    </w:p>
    <w:p w14:paraId="057F6883">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分析性能评估主要包括样本稳定性，适用的样本类型，校准品的量值溯源和质控品的赋值，正确度，精密度，空白限、检出限及定量限，分析特异性，高剂量钩状效应，测量区间及可报告区间等项目的研究资料，应当采用多批产品进行性能评估。建议申请人依据《定量检测体外诊断试剂分析性能评估指导原则》以及</w:t>
      </w:r>
      <w:r>
        <w:rPr>
          <w:rFonts w:ascii="Times New Roman" w:hAnsi="Times New Roman" w:eastAsia="仿宋_GB2312"/>
          <w:bCs/>
          <w:sz w:val="32"/>
          <w:szCs w:val="32"/>
          <w:highlight w:val="none"/>
        </w:rPr>
        <w:t>国内外有关体外诊断产品分析性能评估的文件</w:t>
      </w:r>
      <w:r>
        <w:rPr>
          <w:rFonts w:ascii="Times New Roman" w:hAnsi="Times New Roman" w:eastAsia="仿宋_GB2312"/>
          <w:sz w:val="32"/>
          <w:szCs w:val="32"/>
          <w:highlight w:val="none"/>
        </w:rPr>
        <w:t>开展研究。</w:t>
      </w:r>
    </w:p>
    <w:p w14:paraId="03D91ABF">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如申报产品适用不同的机型，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存在差异，应针对该差异采用不同机型进行充分的分析性能建立研究。如不同包装规格间存在性能差异，应分别提交各规格的分析性能评估资料；如不存在性能差异，应提交详细的说明及依据。</w:t>
      </w:r>
    </w:p>
    <w:p w14:paraId="3AE3CADB">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申请人应当在原材料和生产工艺经过选择和确认、质量管理体系得到有效控制并且保证产品质量稳定的基础上，进行产品的分析性能评估。</w:t>
      </w:r>
    </w:p>
    <w:p w14:paraId="004D92EC">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对于本试剂，建议着重对以下性能进行研究</w:t>
      </w:r>
      <w:r>
        <w:rPr>
          <w:rFonts w:hint="eastAsia" w:ascii="Times New Roman" w:hAnsi="Times New Roman" w:eastAsia="仿宋_GB2312"/>
          <w:sz w:val="32"/>
          <w:szCs w:val="32"/>
          <w:highlight w:val="none"/>
        </w:rPr>
        <w:t>：</w:t>
      </w:r>
    </w:p>
    <w:p w14:paraId="7502422F">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4.1 样本稳定性</w:t>
      </w:r>
    </w:p>
    <w:p w14:paraId="3124B774">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应充分考虑实际使用过程中样本采集、处理、运输及保存等各个阶段的条件，对不同类型样本的稳定性分别进行评价并提交研究资料。对于冷冻保存的样本还应对冻融次数进行评价。内容包括建议的保存条件、添加剂（如抗凝剂）和运输条件（如涉及）等。样本稳定性内容的研究结果应在说明书【样本要求】中进行详细描述。</w:t>
      </w:r>
    </w:p>
    <w:p w14:paraId="3E91D20D">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4.2 适用的样本类型</w:t>
      </w:r>
    </w:p>
    <w:p w14:paraId="4D4830D4">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应列明产品适用的样本类型，如血清和</w:t>
      </w:r>
      <w:r>
        <w:rPr>
          <w:rFonts w:ascii="Times New Roman" w:hAnsi="Times New Roman" w:eastAsia="仿宋_GB2312"/>
          <w:sz w:val="32"/>
          <w:szCs w:val="32"/>
          <w:highlight w:val="none"/>
        </w:rPr>
        <w:t>/或</w:t>
      </w:r>
      <w:r>
        <w:rPr>
          <w:rFonts w:hint="eastAsia" w:ascii="Times New Roman" w:hAnsi="Times New Roman" w:eastAsia="仿宋_GB2312"/>
          <w:sz w:val="32"/>
          <w:szCs w:val="32"/>
          <w:highlight w:val="none"/>
        </w:rPr>
        <w:t>血浆</w:t>
      </w:r>
      <w:r>
        <w:rPr>
          <w:rFonts w:ascii="Times New Roman" w:hAnsi="Times New Roman" w:eastAsia="仿宋_GB2312"/>
          <w:sz w:val="32"/>
          <w:szCs w:val="32"/>
          <w:highlight w:val="none"/>
        </w:rPr>
        <w:t>，对适用的样本类型（包括抗凝剂）及添加剂进行适用性确认。</w:t>
      </w:r>
    </w:p>
    <w:p w14:paraId="100EE7B6">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对于不同的样本类型应分别提交相应的分析性能评估资料，如果选择具有代表性的样本类型代替其他可比的样本类型进行分析性能评估，应说明原因并提供证据支持。</w:t>
      </w:r>
    </w:p>
    <w:p w14:paraId="13EADFA1">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4.3 校准品的量值溯源和质控品的赋值（如适用）</w:t>
      </w:r>
    </w:p>
    <w:p w14:paraId="3B2048E8">
      <w:pPr>
        <w:pStyle w:val="24"/>
        <w:ind w:firstLine="640"/>
        <w:rPr>
          <w:rFonts w:hint="eastAsia" w:eastAsia="仿宋_GB2312" w:cs="Times New Roman"/>
          <w:highlight w:val="none"/>
        </w:rPr>
      </w:pPr>
      <w:r>
        <w:rPr>
          <w:rFonts w:ascii="仿宋_GB2312" w:eastAsia="仿宋_GB2312" w:cs="Times New Roman"/>
          <w:highlight w:val="none"/>
        </w:rPr>
        <w:t>如申报产品包括校准品和质控品，可参考</w:t>
      </w:r>
      <w:r>
        <w:rPr>
          <w:rFonts w:eastAsia="仿宋_GB2312" w:cs="Times New Roman"/>
          <w:highlight w:val="none"/>
        </w:rPr>
        <w:t>GB/T 21415</w:t>
      </w:r>
      <w:r>
        <w:rPr>
          <w:rFonts w:ascii="仿宋_GB2312" w:eastAsia="仿宋_GB2312" w:cs="Times New Roman"/>
          <w:highlight w:val="none"/>
        </w:rPr>
        <w:t>《体外诊断医疗器械 建立校准品、正确度控制物质和人体样品赋值的计量溯源性要求》</w:t>
      </w:r>
      <w:r>
        <w:rPr>
          <w:rFonts w:hint="eastAsia" w:ascii="仿宋_GB2312" w:eastAsia="仿宋_GB2312" w:cs="Times New Roman"/>
          <w:highlight w:val="none"/>
        </w:rPr>
        <w:t>、</w:t>
      </w:r>
      <w:r>
        <w:rPr>
          <w:rFonts w:eastAsia="仿宋_GB2312" w:cs="Times New Roman"/>
          <w:highlight w:val="none"/>
        </w:rPr>
        <w:t>YY/T</w:t>
      </w:r>
      <w:r>
        <w:rPr>
          <w:rFonts w:hint="eastAsia" w:eastAsia="仿宋_GB2312" w:cs="Times New Roman"/>
          <w:highlight w:val="none"/>
          <w:lang w:val="en-US" w:eastAsia="zh-CN"/>
        </w:rPr>
        <w:t xml:space="preserve"> 1709</w:t>
      </w:r>
      <w:r>
        <w:rPr>
          <w:rFonts w:hint="eastAsia" w:ascii="仿宋_GB2312" w:eastAsia="仿宋_GB2312" w:cs="Times New Roman"/>
          <w:highlight w:val="none"/>
        </w:rPr>
        <w:t>《体外诊断试剂用校准物测量不确定度评定》</w:t>
      </w:r>
      <w:r>
        <w:rPr>
          <w:rFonts w:ascii="仿宋_GB2312" w:eastAsia="仿宋_GB2312" w:cs="Times New Roman"/>
          <w:highlight w:val="none"/>
        </w:rPr>
        <w:t>、《质控品注册审查指导原则</w:t>
      </w:r>
      <w:r>
        <w:rPr>
          <w:rFonts w:eastAsia="仿宋_GB2312" w:cs="Times New Roman"/>
          <w:highlight w:val="none"/>
        </w:rPr>
        <w:t>——</w:t>
      </w:r>
      <w:r>
        <w:rPr>
          <w:rFonts w:ascii="仿宋_GB2312" w:eastAsia="仿宋_GB2312" w:cs="Times New Roman"/>
          <w:highlight w:val="none"/>
        </w:rPr>
        <w:t>质控品赋值研究》等的要求，提供试剂配套校准品量值溯源相关资料和质控品赋值及其质控范围确定的相关资料。</w:t>
      </w:r>
    </w:p>
    <w:p w14:paraId="5AF57336">
      <w:pPr>
        <w:widowControl/>
        <w:spacing w:line="520" w:lineRule="exact"/>
        <w:ind w:firstLine="640" w:firstLineChars="200"/>
        <w:jc w:val="left"/>
        <w:rPr>
          <w:rFonts w:ascii="Times New Roman" w:hAnsi="Times New Roman"/>
          <w:highlight w:val="none"/>
        </w:rPr>
      </w:pPr>
      <w:r>
        <w:rPr>
          <w:rFonts w:hint="eastAsia" w:ascii="Times New Roman" w:eastAsia="仿宋_GB2312"/>
          <w:sz w:val="32"/>
          <w:szCs w:val="32"/>
          <w:highlight w:val="none"/>
        </w:rPr>
        <w:t>如校准品/质控品的基质不同于临床常用样本类型</w:t>
      </w:r>
      <w:r>
        <w:rPr>
          <w:rFonts w:ascii="仿宋_GB2312" w:eastAsia="仿宋_GB2312"/>
          <w:sz w:val="32"/>
          <w:szCs w:val="32"/>
          <w:highlight w:val="none"/>
        </w:rPr>
        <w:t>，还应参照</w:t>
      </w:r>
      <w:r>
        <w:rPr>
          <w:rFonts w:ascii="Times New Roman" w:eastAsia="仿宋_GB2312"/>
          <w:sz w:val="32"/>
          <w:szCs w:val="32"/>
          <w:highlight w:val="none"/>
        </w:rPr>
        <w:t>WS/T 356</w:t>
      </w:r>
      <w:r>
        <w:rPr>
          <w:rFonts w:ascii="仿宋_GB2312" w:eastAsia="仿宋_GB2312"/>
          <w:sz w:val="32"/>
          <w:szCs w:val="32"/>
          <w:highlight w:val="none"/>
        </w:rPr>
        <w:t>《参考物质互换性评估指南》提交互换性的相关研究资料</w:t>
      </w:r>
      <w:r>
        <w:rPr>
          <w:rFonts w:hint="eastAsia" w:ascii="Times New Roman" w:hAnsi="Times New Roman" w:eastAsia="仿宋_GB2312"/>
          <w:sz w:val="32"/>
          <w:szCs w:val="32"/>
          <w:highlight w:val="none"/>
        </w:rPr>
        <w:t>。</w:t>
      </w:r>
    </w:p>
    <w:p w14:paraId="2B7A212D">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4.4 正确度</w:t>
      </w:r>
    </w:p>
    <w:p w14:paraId="67B43B48">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正确度由系统测量误差决定，通常用偏倚（</w:t>
      </w:r>
      <w:r>
        <w:rPr>
          <w:rFonts w:ascii="Times New Roman" w:hAnsi="Times New Roman" w:eastAsia="仿宋_GB2312"/>
          <w:sz w:val="32"/>
          <w:szCs w:val="32"/>
          <w:highlight w:val="none"/>
        </w:rPr>
        <w:t>bias）表示。对正确度的评价包括使用参考物质的正确度评价、方法学比对、回收试验的方法，申请人可根据实际情况选择合理方法进行研究。</w:t>
      </w:r>
    </w:p>
    <w:p w14:paraId="40DF9EBD">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4.4.1 使用参考物质的正确度评价</w:t>
      </w:r>
    </w:p>
    <w:p w14:paraId="3EB15FA1">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建议采用</w:t>
      </w:r>
      <w:r>
        <w:rPr>
          <w:rFonts w:ascii="Times New Roman" w:hAnsi="Times New Roman" w:eastAsia="仿宋_GB2312"/>
          <w:sz w:val="32"/>
          <w:szCs w:val="32"/>
          <w:highlight w:val="none"/>
        </w:rPr>
        <w:t>2～3个水平的参考物质，代表试剂测量区间内的不同浓度，其中应包括医学决定水平或参考区</w:t>
      </w:r>
      <w:r>
        <w:rPr>
          <w:rFonts w:hint="eastAsia" w:ascii="Times New Roman" w:hAnsi="Times New Roman" w:eastAsia="仿宋_GB2312"/>
          <w:sz w:val="32"/>
          <w:szCs w:val="32"/>
          <w:highlight w:val="none"/>
        </w:rPr>
        <w:t>间上限</w:t>
      </w:r>
      <w:r>
        <w:rPr>
          <w:rFonts w:ascii="Times New Roman" w:hAnsi="Times New Roman" w:eastAsia="仿宋_GB2312"/>
          <w:sz w:val="32"/>
          <w:szCs w:val="32"/>
          <w:highlight w:val="none"/>
        </w:rPr>
        <w:t>附近的浓度。进行多次重复检测，采用检测结果平均值与参考量值计算偏倚。如参考物质只有1个水平，且无合理稀释方法，亦可在说明原因的基础上，仅采用1个水平的参考物质进行正确度评价</w:t>
      </w:r>
      <w:r>
        <w:rPr>
          <w:rFonts w:hint="eastAsia" w:ascii="Times New Roman" w:hAnsi="Times New Roman" w:eastAsia="仿宋_GB2312"/>
          <w:sz w:val="32"/>
          <w:szCs w:val="32"/>
          <w:highlight w:val="none"/>
        </w:rPr>
        <w:t>。</w:t>
      </w:r>
    </w:p>
    <w:p w14:paraId="26D5F802">
      <w:pPr>
        <w:widowControl/>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推荐的参考物质包括：具有互换性的有证参考物质、公认的参考品、标准品，参考测量程序赋值的临床样本。不可采用产品校准品、申报试剂检测系统定值的质控品进行正确度评价。</w:t>
      </w:r>
    </w:p>
    <w:p w14:paraId="41F41BA5">
      <w:pPr>
        <w:widowControl/>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目前抗β</w:t>
      </w:r>
      <w:r>
        <w:rPr>
          <w:rFonts w:ascii="Times New Roman" w:hAnsi="Times New Roman" w:eastAsia="仿宋_GB2312"/>
          <w:sz w:val="32"/>
          <w:szCs w:val="32"/>
          <w:highlight w:val="none"/>
        </w:rPr>
        <w:t>2糖蛋白1抗体检测试剂</w:t>
      </w:r>
      <w:r>
        <w:rPr>
          <w:rFonts w:hint="eastAsia" w:ascii="Times New Roman" w:hAnsi="Times New Roman" w:eastAsia="仿宋_GB2312"/>
          <w:sz w:val="32"/>
          <w:szCs w:val="32"/>
          <w:highlight w:val="none"/>
        </w:rPr>
        <w:t>暂无参考物质、参考方法，如有适用的参考物质或参考方法发布时，可开展使用参考物质的正确度评价。</w:t>
      </w:r>
    </w:p>
    <w:p w14:paraId="07B8CC45">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4.4.2 方法学比对</w:t>
      </w:r>
    </w:p>
    <w:p w14:paraId="5593F0E4">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采用申报试剂与合理的比较测量程序同时检测临床样本，通过两者的比对研究和偏倚估计，进行申报试剂的正确度评价。比较测量程序可选择同类试剂或者参考测量程序。临床样本的浓度水平应覆盖申报试剂的测量区间。在性能建立时，建议对每个样本重复检测，以平均值或中位数进行回归分析，并评价医学决定水平或参考区间上限浓度的偏倚。</w:t>
      </w:r>
    </w:p>
    <w:p w14:paraId="56E1E7D2">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4.4.3 回收试验</w:t>
      </w:r>
    </w:p>
    <w:p w14:paraId="23A59B76">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对于可获得标准溶液、标准物质或分析物纯品的试剂，可采用回收试验进行正确度评价。将标准溶液、标准物质或分析物纯品加入临床样本中，配制成回收样品，进行检测。标准溶液、标准物质的体积与临床样本的体积比应不会产生基质的变化，一般加入体积不超过总体积的10%。</w:t>
      </w:r>
    </w:p>
    <w:p w14:paraId="1AC764B9">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检测至少3个水平的回收样品，代表试剂测量区间内的高、中、低浓度，其中应包括医学决定水平或参考区间上/下限附近的浓度。每个浓度应进行多次重复检测，采用检测结果平均值计算回收率。</w:t>
      </w:r>
    </w:p>
    <w:p w14:paraId="6E3EEADD">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4.5 空白限（LoB）、检出限（LoD）和定量限（LoQ）</w:t>
      </w:r>
    </w:p>
    <w:p w14:paraId="4D73B0CC">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空白限、检出限和定量限的研究包括建立和验证两个过程，采用多个批次试剂进行研究。对于抗β</w:t>
      </w:r>
      <w:r>
        <w:rPr>
          <w:rFonts w:ascii="Times New Roman" w:hAnsi="Times New Roman" w:eastAsia="仿宋_GB2312"/>
          <w:sz w:val="32"/>
          <w:szCs w:val="32"/>
          <w:highlight w:val="none"/>
        </w:rPr>
        <w:t>2糖蛋白1抗体</w:t>
      </w:r>
      <w:r>
        <w:rPr>
          <w:rFonts w:hint="eastAsia" w:ascii="Times New Roman" w:hAnsi="Times New Roman" w:eastAsia="仿宋_GB2312"/>
          <w:sz w:val="32"/>
          <w:szCs w:val="32"/>
          <w:highlight w:val="none"/>
        </w:rPr>
        <w:t>检测，尤其需要关注在低浓度下的检出限和定量限性能。研究方法可参考《定量检测体外诊断试剂分析性能评估注册审查指导原则》中的相关内容。</w:t>
      </w:r>
    </w:p>
    <w:p w14:paraId="3D6C64B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4.6 精密度</w:t>
      </w:r>
    </w:p>
    <w:p w14:paraId="405696F8">
      <w:pPr>
        <w:spacing w:line="52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精密度需研究重复性、中间精密度、再现性。</w:t>
      </w:r>
    </w:p>
    <w:p w14:paraId="311223AD">
      <w:pPr>
        <w:spacing w:line="52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精密度研究用样品浓度包括测量区间内低、中、高至少3个浓度水平，应有医学决定水平附近或参考区间上/下限浓度附近的样本。应根据各测量条件对</w:t>
      </w:r>
      <w:r>
        <w:rPr>
          <w:rFonts w:ascii="Times New Roman" w:hAnsi="Times New Roman" w:eastAsia="仿宋_GB2312"/>
          <w:color w:val="auto"/>
          <w:sz w:val="32"/>
          <w:szCs w:val="32"/>
          <w:highlight w:val="none"/>
        </w:rPr>
        <w:t>检测结果影响</w:t>
      </w:r>
      <w:r>
        <w:rPr>
          <w:rFonts w:hint="eastAsia" w:ascii="Times New Roman" w:hAnsi="Times New Roman" w:eastAsia="仿宋_GB2312"/>
          <w:color w:val="auto"/>
          <w:sz w:val="32"/>
          <w:szCs w:val="32"/>
          <w:highlight w:val="none"/>
        </w:rPr>
        <w:t>程度的分析，设计</w:t>
      </w:r>
      <w:r>
        <w:rPr>
          <w:rFonts w:ascii="Times New Roman" w:hAnsi="Times New Roman" w:eastAsia="仿宋_GB2312"/>
          <w:color w:val="auto"/>
          <w:sz w:val="32"/>
          <w:szCs w:val="32"/>
          <w:highlight w:val="none"/>
        </w:rPr>
        <w:t>合理的精密度试验方案</w:t>
      </w:r>
      <w:r>
        <w:rPr>
          <w:rFonts w:hint="eastAsia" w:ascii="Times New Roman" w:hAnsi="Times New Roman" w:eastAsia="仿宋_GB2312"/>
          <w:color w:val="auto"/>
          <w:sz w:val="32"/>
          <w:szCs w:val="32"/>
          <w:highlight w:val="none"/>
        </w:rPr>
        <w:t>进行</w:t>
      </w:r>
      <w:r>
        <w:rPr>
          <w:rFonts w:ascii="Times New Roman" w:hAnsi="Times New Roman" w:eastAsia="仿宋_GB2312"/>
          <w:color w:val="auto"/>
          <w:sz w:val="32"/>
          <w:szCs w:val="32"/>
          <w:highlight w:val="none"/>
        </w:rPr>
        <w:t>评价，</w:t>
      </w:r>
      <w:r>
        <w:rPr>
          <w:rFonts w:hint="eastAsia" w:ascii="Times New Roman" w:hAnsi="Times New Roman" w:eastAsia="仿宋_GB2312"/>
          <w:color w:val="auto"/>
          <w:sz w:val="32"/>
          <w:szCs w:val="32"/>
          <w:highlight w:val="none"/>
        </w:rPr>
        <w:t>可采用平衡嵌套设计，将各相关因素整合在一起设计精密度试验，获得重复性、中间精密度、再现性的分析结果。</w:t>
      </w:r>
    </w:p>
    <w:p w14:paraId="7C0B7886">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4.7 分析特异性</w:t>
      </w:r>
    </w:p>
    <w:p w14:paraId="68148FA9">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分析特异性受干扰和交叉反应的影响。申请人应分析待测样本中及试剂使用过程中潜在的干扰物质和交叉反应。</w:t>
      </w:r>
    </w:p>
    <w:p w14:paraId="64FA2652">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4.7.1 干扰试验</w:t>
      </w:r>
    </w:p>
    <w:p w14:paraId="30834D3C">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应评估干扰物质并提交研究资料。干扰物质研究应当考虑常见的内源性干扰、外源性干扰和已有报道的干扰物质等对产品测定结果的影响。常见内源性干扰物质有脂血（甘油三酯）、黄疸（胆红素）、溶血（血红蛋白）、异嗜性抗体、生物素等，常见外源性干扰物质主要为A</w:t>
      </w:r>
      <w:r>
        <w:rPr>
          <w:rFonts w:ascii="Times New Roman" w:hAnsi="Times New Roman" w:eastAsia="仿宋_GB2312"/>
          <w:sz w:val="32"/>
          <w:szCs w:val="32"/>
          <w:highlight w:val="none"/>
        </w:rPr>
        <w:t>PS</w:t>
      </w:r>
      <w:r>
        <w:rPr>
          <w:rFonts w:hint="eastAsia" w:ascii="Times New Roman" w:hAnsi="Times New Roman" w:eastAsia="仿宋_GB2312"/>
          <w:sz w:val="32"/>
          <w:szCs w:val="32"/>
          <w:highlight w:val="none"/>
        </w:rPr>
        <w:t>和S</w:t>
      </w:r>
      <w:r>
        <w:rPr>
          <w:rFonts w:ascii="Times New Roman" w:hAnsi="Times New Roman" w:eastAsia="仿宋_GB2312"/>
          <w:sz w:val="32"/>
          <w:szCs w:val="32"/>
          <w:highlight w:val="none"/>
        </w:rPr>
        <w:t>LE</w:t>
      </w:r>
      <w:r>
        <w:rPr>
          <w:rFonts w:hint="eastAsia" w:ascii="Times New Roman" w:hAnsi="Times New Roman" w:eastAsia="仿宋_GB2312"/>
          <w:sz w:val="32"/>
          <w:szCs w:val="32"/>
          <w:highlight w:val="none"/>
        </w:rPr>
        <w:t>患者常用治疗药物，如</w:t>
      </w:r>
      <w:r>
        <w:rPr>
          <w:rFonts w:ascii="Times New Roman" w:hAnsi="Times New Roman" w:eastAsia="仿宋_GB2312"/>
          <w:sz w:val="32"/>
          <w:szCs w:val="32"/>
          <w:highlight w:val="none"/>
        </w:rPr>
        <w:t>依诺肝素钠、华法林</w:t>
      </w:r>
      <w:r>
        <w:rPr>
          <w:rFonts w:hint="eastAsia" w:ascii="Times New Roman" w:hAnsi="Times New Roman" w:eastAsia="仿宋_GB2312"/>
          <w:sz w:val="32"/>
          <w:szCs w:val="32"/>
          <w:highlight w:val="none"/>
        </w:rPr>
        <w:t>等抗凝药物、阿司匹林等抗血小板药物、泼尼松龙等免疫抑制剂等。</w:t>
      </w:r>
    </w:p>
    <w:p w14:paraId="6572F94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4.7.2 交叉反应</w:t>
      </w:r>
    </w:p>
    <w:p w14:paraId="76B9E9DD">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交叉反应研究需对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363D3AD3">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由于抗β2糖蛋白1抗体是特异性针对β2糖蛋白1的自身抗体，其交叉反应研究主要关注与靶抗原结构相似的其他蛋白，或其他可能与试剂中的捕获/检测抗体发生非特异性结合的自身抗体</w:t>
      </w:r>
      <w:r>
        <w:rPr>
          <w:rFonts w:hint="eastAsia" w:ascii="Times New Roman" w:hAnsi="Times New Roman" w:eastAsia="仿宋_GB2312"/>
          <w:sz w:val="32"/>
          <w:szCs w:val="32"/>
          <w:highlight w:val="none"/>
        </w:rPr>
        <w:t>，如抗心磷脂抗体（</w:t>
      </w:r>
      <w:r>
        <w:rPr>
          <w:rFonts w:ascii="Times New Roman" w:hAnsi="Times New Roman" w:eastAsia="仿宋_GB2312"/>
          <w:sz w:val="32"/>
          <w:szCs w:val="32"/>
          <w:highlight w:val="none"/>
        </w:rPr>
        <w:t>aCL，IgG/IgM/IgA型）、抗β2糖蛋白1结构域1抗体、抗核抗体（ANA）、抗双链DNA抗体（anti-dsDNA）、类风湿因子（RF）</w:t>
      </w:r>
      <w:r>
        <w:rPr>
          <w:rFonts w:hint="eastAsia" w:ascii="Times New Roman" w:hAnsi="Times New Roman" w:eastAsia="仿宋_GB2312"/>
          <w:sz w:val="32"/>
          <w:szCs w:val="32"/>
          <w:highlight w:val="none"/>
        </w:rPr>
        <w:t>，高浓度的总</w:t>
      </w:r>
      <w:r>
        <w:rPr>
          <w:rFonts w:ascii="Times New Roman" w:hAnsi="Times New Roman" w:eastAsia="仿宋_GB2312"/>
          <w:sz w:val="32"/>
          <w:szCs w:val="32"/>
          <w:highlight w:val="none"/>
        </w:rPr>
        <w:t>IgG、IgM或IgA</w:t>
      </w:r>
      <w:r>
        <w:rPr>
          <w:rFonts w:hint="eastAsia" w:ascii="Times New Roman" w:hAnsi="Times New Roman" w:eastAsia="仿宋_GB2312"/>
          <w:sz w:val="32"/>
          <w:szCs w:val="32"/>
          <w:highlight w:val="none"/>
        </w:rPr>
        <w:t>等。申请人应依据申报产品特性选择相关交叉物质开展试验。</w:t>
      </w:r>
    </w:p>
    <w:p w14:paraId="59E97985">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4.8</w:t>
      </w:r>
      <w:r>
        <w:rPr>
          <w:rFonts w:ascii="Times New Roman" w:hAnsi="Times New Roman" w:eastAsia="仿宋_GB2312"/>
          <w:sz w:val="32"/>
          <w:szCs w:val="32"/>
          <w:highlight w:val="none"/>
        </w:rPr>
        <w:t xml:space="preserve"> </w:t>
      </w:r>
      <w:r>
        <w:rPr>
          <w:rFonts w:hint="eastAsia" w:ascii="Times New Roman" w:hAnsi="Times New Roman" w:eastAsia="仿宋_GB2312"/>
          <w:sz w:val="32"/>
          <w:szCs w:val="32"/>
          <w:highlight w:val="none"/>
        </w:rPr>
        <w:t>测量区间及可报告区间</w:t>
      </w:r>
    </w:p>
    <w:p w14:paraId="3B142954">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4.8.1 线性区间及测量区间</w:t>
      </w:r>
    </w:p>
    <w:p w14:paraId="6A6A057E">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线性区间的研究，需采用高值和零浓度</w:t>
      </w:r>
      <w:r>
        <w:rPr>
          <w:rFonts w:ascii="Times New Roman" w:hAnsi="Times New Roman" w:eastAsia="仿宋_GB2312"/>
          <w:sz w:val="32"/>
          <w:szCs w:val="32"/>
          <w:highlight w:val="none"/>
        </w:rPr>
        <w:t>/低值样本配制一系列不同浓度的样本。当建立试剂的线性区间时，需配制较预期线性区间更宽的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006197B5">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当验证试剂的线性区间时，需配制覆盖整个线性区间的至少</w:t>
      </w:r>
      <w:r>
        <w:rPr>
          <w:rFonts w:ascii="Times New Roman" w:hAnsi="Times New Roman" w:eastAsia="仿宋_GB2312"/>
          <w:sz w:val="32"/>
          <w:szCs w:val="32"/>
          <w:highlight w:val="none"/>
        </w:rPr>
        <w:t>5个不同浓度的样本，每个样本至少重复检测2次。</w:t>
      </w:r>
    </w:p>
    <w:p w14:paraId="333AEEDC">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测量区间，也称分析测量区间，在该区间内，临床样本在未经稀释、浓缩，或非常规测量程序中步骤的其他前处理情况下，检测结果的线性偏差、不精密度和偏倚均在可接受范围内。测量区间下限为定量限，线性区间包含测量区间。</w:t>
      </w:r>
    </w:p>
    <w:p w14:paraId="3A2EB4D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4.8.2 扩展测量区间和可报告区间（如适用）</w:t>
      </w:r>
    </w:p>
    <w:p w14:paraId="486C22FB">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下限为检出限。</w:t>
      </w:r>
    </w:p>
    <w:p w14:paraId="5F7828CE">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4.9 高剂量钩状效应（如适用）</w:t>
      </w:r>
    </w:p>
    <w:p w14:paraId="0B4B0DF3">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适用时应将线性区间研究扩展到可报告区间之外，达到可能在临床条件下遭遇的最高浓度，以评估该试剂是否存在高剂量钩状效应并提交研究资料。</w:t>
      </w:r>
    </w:p>
    <w:p w14:paraId="3B391283">
      <w:pPr>
        <w:widowControl/>
        <w:spacing w:line="520" w:lineRule="exact"/>
        <w:ind w:firstLine="640" w:firstLineChars="200"/>
        <w:jc w:val="left"/>
        <w:rPr>
          <w:rFonts w:ascii="Times New Roman" w:hAnsi="Times New Roman"/>
          <w:highlight w:val="none"/>
        </w:rPr>
      </w:pPr>
      <w:r>
        <w:rPr>
          <w:rFonts w:hint="eastAsia" w:ascii="Times New Roman" w:hAnsi="Times New Roman" w:eastAsia="仿宋_GB2312"/>
          <w:sz w:val="32"/>
          <w:szCs w:val="32"/>
          <w:highlight w:val="none"/>
        </w:rPr>
        <w:t>5.稳定性研究</w:t>
      </w:r>
    </w:p>
    <w:p w14:paraId="41BF9F64">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建议申请人参考《体外诊断试剂稳定性研究注册审查指导原则》开展研究并提交研究资料，一般应包含研究方案、报告和数据三部分内容。产品稳定性研究结论应能支持说明书中对产品储存条件及时间等声称内容，应注意研究条件是否涵盖了声称的极端情况（如极端温度）。</w:t>
      </w:r>
    </w:p>
    <w:p w14:paraId="6463F414">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5.1实时稳定性</w:t>
      </w:r>
    </w:p>
    <w:p w14:paraId="621185A7">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提交至少三批申报产品在实际储存条件下保存至成品有效期后的实时稳定性研究资料。明确储存的环境条件（如温度、湿度和光照）</w:t>
      </w:r>
      <w:r>
        <w:rPr>
          <w:rFonts w:hint="eastAsia" w:ascii="Times New Roman" w:hAnsi="Times New Roman" w:eastAsia="仿宋_GB2312"/>
          <w:sz w:val="32"/>
          <w:szCs w:val="32"/>
          <w:highlight w:val="none"/>
          <w:lang w:val="en-US" w:eastAsia="zh-CN"/>
        </w:rPr>
        <w:t>及有</w:t>
      </w:r>
      <w:r>
        <w:rPr>
          <w:rFonts w:hint="eastAsia" w:ascii="Times New Roman" w:hAnsi="Times New Roman" w:eastAsia="仿宋_GB2312"/>
          <w:sz w:val="32"/>
          <w:szCs w:val="32"/>
          <w:highlight w:val="none"/>
        </w:rPr>
        <w:t>效期。</w:t>
      </w:r>
    </w:p>
    <w:p w14:paraId="65D7FF56">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5.2使用稳定性</w:t>
      </w:r>
    </w:p>
    <w:p w14:paraId="6F8C5C09">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提交申报产品实际使用期间稳定性的研究资料，应包括所有组成成分的开封稳定性。适用时提交复溶稳定性、机载稳定性。机载稳定性应选择所有机型进行真实机载研究，如不同机型间试剂仓设计、进样模式、温湿度范围等可能影响机载稳定性的因素无差异，也可选择代表机型研究。对于可冻融的组分，应提供最大冻融次数的研究。如涉及校准品，还应提交校准频率或校准稳定性研究资料。明确产品使用的温度、湿度条件等。      </w:t>
      </w:r>
    </w:p>
    <w:p w14:paraId="2D018A51">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5.3运输稳定性</w:t>
      </w:r>
    </w:p>
    <w:p w14:paraId="704833E0">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提交申报产品可在特定或者预期的条件下运输</w:t>
      </w:r>
      <w:r>
        <w:rPr>
          <w:rFonts w:hint="eastAsia" w:ascii="Times New Roman" w:hAnsi="Times New Roman" w:eastAsia="仿宋_GB2312"/>
          <w:sz w:val="32"/>
          <w:szCs w:val="32"/>
          <w:highlight w:val="none"/>
          <w:lang w:val="en-US" w:eastAsia="zh-CN"/>
        </w:rPr>
        <w:t>后产品至效期后</w:t>
      </w:r>
      <w:r>
        <w:rPr>
          <w:rFonts w:hint="eastAsia" w:ascii="Times New Roman" w:hAnsi="Times New Roman" w:eastAsia="仿宋_GB2312"/>
          <w:sz w:val="32"/>
          <w:szCs w:val="32"/>
          <w:highlight w:val="none"/>
        </w:rPr>
        <w:t>的研究资料，应说明产品正确运输的环境条件（如温度、湿度、光照和机械保护等）。同时说明产品的包装方式以及暴露的最差运输条件。运输稳定性研究可结合于实时稳定性研究中。试剂的稳定性研究应注意选取代表性包装规格进行研究。</w:t>
      </w:r>
    </w:p>
    <w:p w14:paraId="20265E7E">
      <w:pPr>
        <w:widowControl/>
        <w:spacing w:before="0" w:after="0" w:line="520" w:lineRule="exact"/>
        <w:ind w:firstLine="640" w:firstLineChars="200"/>
        <w:jc w:val="left"/>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试剂稳定性内容的研究结果应在说明书【储存条件及有效期】中进行详细说明。</w:t>
      </w:r>
    </w:p>
    <w:p w14:paraId="1D8C154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6.参考区间研究</w:t>
      </w:r>
    </w:p>
    <w:p w14:paraId="4B3F873A">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申报产品可以建立自己的参考区间或验证参考区间。可参考《体外诊断试剂参考区间确定注册审查指导原则》进行建立或验证。</w:t>
      </w:r>
    </w:p>
    <w:p w14:paraId="5228D089">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应详细说明参考区间确定的方法或依据，提交确定参考区间所采用样本来源、详细的试验资料、统计方法等。尽可能考虑样本来源的多样性、代表性，样本例数应符合统计学要求。</w:t>
      </w:r>
    </w:p>
    <w:p w14:paraId="1416D1F9">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7.其他资料</w:t>
      </w:r>
    </w:p>
    <w:p w14:paraId="4B49F863">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7.1 产品的生产及自检记录。</w:t>
      </w:r>
    </w:p>
    <w:p w14:paraId="19D9213C">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提供三批产品生产及自检记录的复印件。</w:t>
      </w:r>
    </w:p>
    <w:p w14:paraId="5215DBB4">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7.2 证明产品安全性、有效性的其他非临床研究资料。</w:t>
      </w:r>
    </w:p>
    <w:p w14:paraId="6393C939">
      <w:pPr>
        <w:pStyle w:val="2"/>
        <w:spacing w:before="0" w:after="0" w:line="520" w:lineRule="exact"/>
        <w:ind w:firstLine="640" w:firstLineChars="200"/>
        <w:rPr>
          <w:rFonts w:ascii="Times New Roman" w:hAnsi="Times New Roman" w:eastAsia="楷体_GB2312"/>
          <w:b w:val="0"/>
          <w:bCs w:val="0"/>
          <w:sz w:val="32"/>
          <w:szCs w:val="32"/>
          <w:highlight w:val="none"/>
        </w:rPr>
      </w:pPr>
      <w:r>
        <w:rPr>
          <w:rFonts w:hint="eastAsia" w:ascii="Times New Roman" w:hAnsi="Times New Roman" w:eastAsia="楷体_GB2312"/>
          <w:b w:val="0"/>
          <w:bCs w:val="0"/>
          <w:sz w:val="32"/>
          <w:szCs w:val="32"/>
          <w:highlight w:val="none"/>
        </w:rPr>
        <w:t>(四)临床评价资料</w:t>
      </w:r>
    </w:p>
    <w:p w14:paraId="09D85E7A">
      <w:pPr>
        <w:widowControl/>
        <w:spacing w:line="520" w:lineRule="exact"/>
        <w:ind w:firstLine="640" w:firstLineChars="200"/>
        <w:rPr>
          <w:rFonts w:ascii="Times New Roman" w:hAnsi="Times New Roman" w:eastAsia="仿宋_GB2312" w:cs="Times New Roman"/>
          <w:b/>
          <w:bCs/>
          <w:sz w:val="32"/>
          <w:szCs w:val="32"/>
          <w:highlight w:val="none"/>
        </w:rPr>
      </w:pPr>
      <w:r>
        <w:rPr>
          <w:rFonts w:ascii="Times New Roman" w:hAnsi="Times New Roman" w:eastAsia="仿宋_GB2312" w:cs="Times New Roman"/>
          <w:sz w:val="32"/>
          <w:szCs w:val="32"/>
          <w:highlight w:val="none"/>
        </w:rPr>
        <w:t>根据《免于进行临床试验体外诊断试剂目录》，抗β2糖蛋白1抗体检测试剂属于免于临床试验体外诊断试剂目录中产品，申请人可按照《免于临床试验的体外诊断试剂临床评价技术指导原则》的要求进行临床评价。</w:t>
      </w:r>
    </w:p>
    <w:p w14:paraId="6CB07676">
      <w:pPr>
        <w:widowControl/>
        <w:spacing w:line="520" w:lineRule="exact"/>
        <w:ind w:firstLine="640" w:firstLineChars="200"/>
        <w:rPr>
          <w:rFonts w:ascii="Times New Roman" w:hAnsi="Times New Roman" w:eastAsia="仿宋_GB2312"/>
          <w:b/>
          <w:bCs/>
          <w:sz w:val="32"/>
          <w:szCs w:val="32"/>
          <w:highlight w:val="none"/>
        </w:rPr>
      </w:pPr>
      <w:r>
        <w:rPr>
          <w:rFonts w:ascii="Times New Roman" w:hAnsi="Times New Roman" w:eastAsia="仿宋_GB2312" w:cs="Times New Roman"/>
          <w:sz w:val="32"/>
          <w:szCs w:val="32"/>
          <w:highlight w:val="none"/>
        </w:rPr>
        <w:t>如无法按要求进行临床评价，或预期用途超出豁免目录中的描述，应进行临床试验。开展临床试验的，临床试验的伦理、方案的制定以及报告的撰写</w:t>
      </w:r>
      <w:r>
        <w:rPr>
          <w:rFonts w:hint="eastAsia" w:ascii="Times New Roman" w:hAnsi="Times New Roman" w:eastAsia="仿宋_GB2312"/>
          <w:sz w:val="32"/>
          <w:szCs w:val="32"/>
          <w:highlight w:val="none"/>
        </w:rPr>
        <w:t>等临床试验资料均应符合《体外诊断试剂临床试验技术指导原则》对临床评价资料的规定。原始数据库、分析数据库、说明性文件等临床试验数据库资料应符合《体外诊断试剂临床试验数据递交要求注册审查指导原则》的要求，相关资料签章应符合《医疗器械临床试验质量管理规范》的要求。</w:t>
      </w:r>
    </w:p>
    <w:p w14:paraId="381D4E32">
      <w:pPr>
        <w:pStyle w:val="2"/>
        <w:spacing w:before="0" w:after="0" w:line="520" w:lineRule="exact"/>
        <w:ind w:firstLine="640" w:firstLineChars="200"/>
        <w:rPr>
          <w:rFonts w:ascii="Times New Roman" w:hAnsi="Times New Roman" w:eastAsia="楷体_GB2312"/>
          <w:b w:val="0"/>
          <w:bCs w:val="0"/>
          <w:sz w:val="32"/>
          <w:szCs w:val="32"/>
          <w:highlight w:val="none"/>
        </w:rPr>
      </w:pPr>
      <w:r>
        <w:rPr>
          <w:rFonts w:hint="eastAsia" w:ascii="Times New Roman" w:hAnsi="Times New Roman" w:eastAsia="楷体_GB2312"/>
          <w:b w:val="0"/>
          <w:bCs w:val="0"/>
          <w:sz w:val="32"/>
          <w:szCs w:val="32"/>
          <w:highlight w:val="none"/>
        </w:rPr>
        <w:t>(五)产品说明书和标签样稿</w:t>
      </w:r>
    </w:p>
    <w:p w14:paraId="32991C64">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产品说明书</w:t>
      </w:r>
      <w:r>
        <w:rPr>
          <w:rFonts w:hint="eastAsia" w:ascii="Times New Roman" w:hAnsi="Times New Roman" w:eastAsia="仿宋_GB2312"/>
          <w:sz w:val="32"/>
          <w:szCs w:val="32"/>
          <w:highlight w:val="none"/>
        </w:rPr>
        <w:t>与标签样稿</w:t>
      </w:r>
      <w:r>
        <w:rPr>
          <w:rFonts w:ascii="Times New Roman" w:hAnsi="Times New Roman" w:eastAsia="仿宋_GB2312"/>
          <w:sz w:val="32"/>
          <w:szCs w:val="32"/>
          <w:highlight w:val="none"/>
        </w:rPr>
        <w:t>格式应符合《医疗器械说明书和标签管理规定》和《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0A639723">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以下内容仅对</w:t>
      </w:r>
      <w:r>
        <w:rPr>
          <w:rFonts w:hint="eastAsia" w:ascii="Times New Roman" w:hAnsi="Times New Roman" w:eastAsia="仿宋_GB2312"/>
          <w:sz w:val="32"/>
          <w:szCs w:val="32"/>
          <w:highlight w:val="none"/>
          <w:lang w:eastAsia="zh-CN"/>
        </w:rPr>
        <w:t>抗β2糖蛋白1抗体测定试剂盒</w:t>
      </w:r>
      <w:r>
        <w:rPr>
          <w:rFonts w:hint="eastAsia" w:ascii="Times New Roman" w:hAnsi="Times New Roman" w:eastAsia="仿宋_GB2312"/>
          <w:sz w:val="32"/>
          <w:szCs w:val="32"/>
          <w:highlight w:val="none"/>
        </w:rPr>
        <w:t>说明书的重点内容进行详细说明。</w:t>
      </w:r>
    </w:p>
    <w:p w14:paraId="0F9A27EA">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1.【产品名称】</w:t>
      </w:r>
    </w:p>
    <w:p w14:paraId="5CC8CF84">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产品名称由三部分组成：被测物名称、用途、方法或原理。例如：</w:t>
      </w:r>
      <w:r>
        <w:rPr>
          <w:rFonts w:hint="eastAsia" w:ascii="Times New Roman" w:hAnsi="Times New Roman" w:eastAsia="仿宋_GB2312"/>
          <w:sz w:val="32"/>
          <w:szCs w:val="32"/>
          <w:highlight w:val="none"/>
        </w:rPr>
        <w:t>抗β2糖蛋白1抗体</w:t>
      </w:r>
      <w:r>
        <w:rPr>
          <w:rFonts w:ascii="Times New Roman" w:hAnsi="Times New Roman" w:eastAsia="仿宋_GB2312"/>
          <w:sz w:val="32"/>
          <w:szCs w:val="32"/>
          <w:highlight w:val="none"/>
        </w:rPr>
        <w:t>测定试剂</w:t>
      </w:r>
      <w:r>
        <w:rPr>
          <w:rFonts w:hint="eastAsia" w:ascii="Times New Roman" w:hAnsi="Times New Roman" w:eastAsia="仿宋_GB2312"/>
          <w:sz w:val="32"/>
          <w:szCs w:val="32"/>
          <w:highlight w:val="none"/>
        </w:rPr>
        <w:t>盒</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化学发光</w:t>
      </w:r>
      <w:r>
        <w:rPr>
          <w:rFonts w:ascii="Times New Roman" w:hAnsi="Times New Roman" w:eastAsia="仿宋_GB2312"/>
          <w:sz w:val="32"/>
          <w:szCs w:val="32"/>
          <w:highlight w:val="none"/>
        </w:rPr>
        <w:t>法）。</w:t>
      </w:r>
    </w:p>
    <w:p w14:paraId="2B4AEF59">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产品的名称中不应当出现样本类型、定量等内容</w:t>
      </w:r>
      <w:r>
        <w:rPr>
          <w:rFonts w:hint="eastAsia" w:ascii="Times New Roman" w:hAnsi="Times New Roman" w:eastAsia="仿宋_GB2312"/>
          <w:sz w:val="32"/>
          <w:szCs w:val="32"/>
          <w:highlight w:val="none"/>
        </w:rPr>
        <w:t>。</w:t>
      </w:r>
    </w:p>
    <w:p w14:paraId="6B9623F0">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2</w:t>
      </w:r>
      <w:r>
        <w:rPr>
          <w:rFonts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rPr>
        <w:t>【包装规格】</w:t>
      </w:r>
    </w:p>
    <w:p w14:paraId="4BFACF35">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2.1 应与产品技术要求包装规格一致。</w:t>
      </w:r>
    </w:p>
    <w:p w14:paraId="6FEC061C">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2.2 应能清晰地描述出试剂盒的构成，不得出现试剂盒的组成成分与包装规格中描述不一致的情况。</w:t>
      </w:r>
    </w:p>
    <w:p w14:paraId="4CB3428D">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2.3 应注明可测试的样本数或装量，如××测试/盒、××mL。</w:t>
      </w:r>
    </w:p>
    <w:p w14:paraId="140D0819">
      <w:pPr>
        <w:widowControl/>
        <w:spacing w:line="520" w:lineRule="exact"/>
        <w:ind w:firstLine="640" w:firstLineChars="200"/>
        <w:rPr>
          <w:rFonts w:hint="eastAsia" w:ascii="Times New Roman" w:hAnsi="Times New Roman" w:eastAsia="仿宋_GB2312"/>
          <w:sz w:val="32"/>
          <w:szCs w:val="32"/>
          <w:highlight w:val="none"/>
        </w:rPr>
      </w:pPr>
      <w:r>
        <w:rPr>
          <w:rFonts w:ascii="Times New Roman" w:hAnsi="Times New Roman" w:eastAsia="仿宋_GB2312"/>
          <w:sz w:val="32"/>
          <w:szCs w:val="32"/>
          <w:highlight w:val="none"/>
        </w:rPr>
        <w:t>2.4 如不同包装规格有与之特定对应的机型，则应同时明确适用机型。</w:t>
      </w:r>
    </w:p>
    <w:p w14:paraId="2F782006">
      <w:pPr>
        <w:pStyle w:val="2"/>
        <w:spacing w:before="0" w:after="0" w:line="520" w:lineRule="exact"/>
        <w:ind w:firstLine="640" w:firstLineChars="200"/>
        <w:rPr>
          <w:rFonts w:ascii="Times New Roman" w:hAnsi="Times New Roman" w:eastAsia="仿宋_GB2312"/>
          <w:b w:val="0"/>
          <w:bCs w:val="0"/>
          <w:sz w:val="32"/>
          <w:szCs w:val="32"/>
          <w:highlight w:val="none"/>
        </w:rPr>
      </w:pPr>
      <w:r>
        <w:rPr>
          <w:rFonts w:ascii="Times New Roman" w:hAnsi="Times New Roman" w:eastAsia="仿宋_GB2312"/>
          <w:b w:val="0"/>
          <w:bCs w:val="0"/>
          <w:sz w:val="32"/>
          <w:szCs w:val="32"/>
          <w:highlight w:val="none"/>
        </w:rPr>
        <w:t>3.</w:t>
      </w:r>
      <w:r>
        <w:rPr>
          <w:rFonts w:hint="eastAsia" w:ascii="Times New Roman" w:hAnsi="Times New Roman" w:eastAsia="仿宋_GB2312"/>
          <w:b w:val="0"/>
          <w:bCs w:val="0"/>
          <w:sz w:val="32"/>
          <w:szCs w:val="32"/>
          <w:highlight w:val="none"/>
        </w:rPr>
        <w:t>【预期用途】</w:t>
      </w:r>
    </w:p>
    <w:p w14:paraId="483C0916">
      <w:pPr>
        <w:widowControl/>
        <w:spacing w:line="52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 xml:space="preserve">.1 </w:t>
      </w:r>
      <w:r>
        <w:rPr>
          <w:rFonts w:hint="eastAsia" w:ascii="Times New Roman" w:hAnsi="Times New Roman" w:eastAsia="仿宋_GB2312"/>
          <w:sz w:val="32"/>
          <w:szCs w:val="32"/>
          <w:highlight w:val="none"/>
        </w:rPr>
        <w:t>首段内容</w:t>
      </w:r>
      <w:r>
        <w:rPr>
          <w:rFonts w:ascii="Times New Roman" w:hAnsi="Times New Roman" w:eastAsia="仿宋_GB2312" w:cs="Times New Roman"/>
          <w:sz w:val="32"/>
          <w:szCs w:val="32"/>
          <w:highlight w:val="none"/>
        </w:rPr>
        <w:t>说明试剂用于体外定量检测人体样本（血清和/或血浆等）中抗β2糖蛋白1抗体/IgA抗体/IgM抗体/IgG抗体的浓度。</w:t>
      </w:r>
    </w:p>
    <w:p w14:paraId="0827A099">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3.2 第二段</w:t>
      </w:r>
      <w:r>
        <w:rPr>
          <w:rFonts w:hint="eastAsia" w:ascii="Times New Roman" w:hAnsi="Times New Roman" w:eastAsia="仿宋_GB2312"/>
          <w:sz w:val="32"/>
          <w:szCs w:val="32"/>
          <w:highlight w:val="none"/>
        </w:rPr>
        <w:t>应</w:t>
      </w:r>
      <w:r>
        <w:rPr>
          <w:rFonts w:ascii="Times New Roman" w:hAnsi="Times New Roman" w:eastAsia="仿宋_GB2312"/>
          <w:sz w:val="32"/>
          <w:szCs w:val="32"/>
          <w:highlight w:val="none"/>
        </w:rPr>
        <w:t>详细说明</w:t>
      </w:r>
      <w:r>
        <w:rPr>
          <w:rFonts w:hint="eastAsia" w:ascii="Times New Roman" w:hAnsi="Times New Roman" w:eastAsia="仿宋_GB2312"/>
          <w:sz w:val="32"/>
          <w:szCs w:val="32"/>
          <w:highlight w:val="none"/>
        </w:rPr>
        <w:t>预期用途</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包括适用人群，相关的临床适应证和检测目的等。如临床上用于抗磷脂综合征（</w:t>
      </w:r>
      <w:r>
        <w:rPr>
          <w:rFonts w:ascii="Times New Roman" w:hAnsi="Times New Roman" w:eastAsia="仿宋_GB2312"/>
          <w:sz w:val="32"/>
          <w:szCs w:val="32"/>
          <w:highlight w:val="none"/>
        </w:rPr>
        <w:t>APS）、系统性红斑狼疮（SLE）的辅助诊断</w:t>
      </w:r>
      <w:r>
        <w:rPr>
          <w:rFonts w:hint="eastAsia" w:ascii="Times New Roman" w:hAnsi="Times New Roman" w:eastAsia="仿宋_GB2312"/>
          <w:sz w:val="32"/>
          <w:szCs w:val="32"/>
          <w:highlight w:val="none"/>
        </w:rPr>
        <w:t>。</w:t>
      </w:r>
    </w:p>
    <w:p w14:paraId="541B8909">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 xml:space="preserve">.3 </w:t>
      </w:r>
      <w:r>
        <w:rPr>
          <w:rFonts w:hint="eastAsia" w:ascii="Times New Roman" w:hAnsi="Times New Roman" w:eastAsia="仿宋_GB2312"/>
          <w:sz w:val="32"/>
          <w:szCs w:val="32"/>
          <w:highlight w:val="none"/>
        </w:rPr>
        <w:t>其余段落对被测分析物进行背景介绍、说明相关的临床或实验室诊断方法；说明与预期用途相关的临床背景情况；说明被测分析物与临床适应证的关系。</w:t>
      </w:r>
    </w:p>
    <w:p w14:paraId="56EE6482">
      <w:pPr>
        <w:pStyle w:val="2"/>
        <w:spacing w:before="0" w:after="0" w:line="520" w:lineRule="exact"/>
        <w:ind w:firstLine="640" w:firstLineChars="200"/>
        <w:rPr>
          <w:rFonts w:ascii="Times New Roman" w:hAnsi="Times New Roman" w:eastAsia="仿宋_GB2312"/>
          <w:b w:val="0"/>
          <w:bCs w:val="0"/>
          <w:sz w:val="32"/>
          <w:szCs w:val="32"/>
          <w:highlight w:val="none"/>
        </w:rPr>
      </w:pPr>
      <w:r>
        <w:rPr>
          <w:rFonts w:ascii="Times New Roman" w:hAnsi="Times New Roman" w:eastAsia="仿宋_GB2312"/>
          <w:b w:val="0"/>
          <w:bCs w:val="0"/>
          <w:sz w:val="32"/>
          <w:szCs w:val="32"/>
          <w:highlight w:val="none"/>
        </w:rPr>
        <w:t>4.</w:t>
      </w:r>
      <w:r>
        <w:rPr>
          <w:rFonts w:hint="eastAsia" w:ascii="Times New Roman" w:hAnsi="Times New Roman" w:eastAsia="仿宋_GB2312"/>
          <w:b w:val="0"/>
          <w:bCs w:val="0"/>
          <w:sz w:val="32"/>
          <w:szCs w:val="32"/>
          <w:highlight w:val="none"/>
        </w:rPr>
        <w:t>【检验原理】</w:t>
      </w:r>
    </w:p>
    <w:p w14:paraId="429D485E">
      <w:pPr>
        <w:widowControl/>
        <w:tabs>
          <w:tab w:val="left" w:pos="567"/>
        </w:tabs>
        <w:spacing w:line="520" w:lineRule="exact"/>
        <w:ind w:firstLine="646"/>
        <w:rPr>
          <w:rFonts w:ascii="Times New Roman" w:hAnsi="Times New Roman" w:eastAsia="仿宋_GB2312"/>
          <w:b/>
          <w:bCs/>
          <w:sz w:val="32"/>
          <w:szCs w:val="32"/>
          <w:highlight w:val="none"/>
        </w:rPr>
      </w:pPr>
      <w:r>
        <w:rPr>
          <w:rFonts w:hint="eastAsia" w:ascii="Times New Roman" w:hAnsi="Times New Roman" w:eastAsia="仿宋_GB2312" w:cs="Times New Roman"/>
          <w:sz w:val="32"/>
          <w:szCs w:val="32"/>
          <w:highlight w:val="none"/>
        </w:rPr>
        <w:t>根据产品采用的方法学说明检验的原理，检测原理的描述应结合产品主要组成成分、被测物和产物的关系进行描述，必要时可结合图示方法描述。</w:t>
      </w:r>
    </w:p>
    <w:p w14:paraId="588E06DC">
      <w:pPr>
        <w:pStyle w:val="2"/>
        <w:spacing w:before="0" w:after="0" w:line="520" w:lineRule="exact"/>
        <w:ind w:firstLine="640" w:firstLineChars="200"/>
        <w:rPr>
          <w:rFonts w:ascii="Times New Roman" w:hAnsi="Times New Roman" w:eastAsia="仿宋_GB2312"/>
          <w:b w:val="0"/>
          <w:bCs w:val="0"/>
          <w:sz w:val="32"/>
          <w:szCs w:val="32"/>
          <w:highlight w:val="none"/>
        </w:rPr>
      </w:pPr>
      <w:r>
        <w:rPr>
          <w:rFonts w:ascii="Times New Roman" w:hAnsi="Times New Roman" w:eastAsia="仿宋_GB2312"/>
          <w:b w:val="0"/>
          <w:bCs w:val="0"/>
          <w:sz w:val="32"/>
          <w:szCs w:val="32"/>
          <w:highlight w:val="none"/>
        </w:rPr>
        <w:t>5.</w:t>
      </w:r>
      <w:r>
        <w:rPr>
          <w:rFonts w:hint="eastAsia" w:ascii="Times New Roman" w:hAnsi="Times New Roman" w:eastAsia="仿宋_GB2312"/>
          <w:b w:val="0"/>
          <w:bCs w:val="0"/>
          <w:sz w:val="32"/>
          <w:szCs w:val="32"/>
          <w:highlight w:val="none"/>
        </w:rPr>
        <w:t>【主要组成成分】</w:t>
      </w:r>
    </w:p>
    <w:p w14:paraId="34818BB2">
      <w:pPr>
        <w:snapToGrid w:val="0"/>
        <w:spacing w:line="520" w:lineRule="exact"/>
        <w:ind w:firstLine="640" w:firstLineChars="200"/>
        <w:rPr>
          <w:rFonts w:ascii="Times New Roman" w:hAnsi="Times New Roman" w:eastAsia="仿宋_GB2312"/>
          <w:sz w:val="32"/>
          <w:szCs w:val="32"/>
          <w:highlight w:val="none"/>
        </w:rPr>
      </w:pPr>
      <w:r>
        <w:rPr>
          <w:rFonts w:ascii="仿宋_GB2312" w:hAnsi="Times New Roman" w:eastAsia="仿宋_GB2312"/>
          <w:sz w:val="32"/>
          <w:szCs w:val="32"/>
          <w:highlight w:val="none"/>
        </w:rPr>
        <w:t>应明确以下内容：</w:t>
      </w:r>
    </w:p>
    <w:p w14:paraId="68D9001C">
      <w:pPr>
        <w:overflowPunct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5.1</w:t>
      </w:r>
      <w:r>
        <w:rPr>
          <w:rFonts w:ascii="仿宋_GB2312" w:hAnsi="Times New Roman" w:eastAsia="仿宋_GB2312"/>
          <w:sz w:val="32"/>
          <w:szCs w:val="32"/>
          <w:highlight w:val="none"/>
        </w:rPr>
        <w:t>试</w:t>
      </w:r>
      <w:r>
        <w:rPr>
          <w:rFonts w:ascii="仿宋_GB2312" w:hAnsi="Times New Roman" w:eastAsia="仿宋_GB2312"/>
          <w:spacing w:val="2"/>
          <w:sz w:val="32"/>
          <w:szCs w:val="32"/>
          <w:highlight w:val="none"/>
        </w:rPr>
        <w:t>剂盒提供的试剂组分的名称、比例或浓度，各组分是否可以互换；如含有校准品或质控品，除明确组成成分及生物学来源外，校准品还应明确其定值及溯源性，溯源性应写明溯源的最高级别，包括标准物质或参考物的编号，质控品应明确靶值范围。</w:t>
      </w:r>
    </w:p>
    <w:p w14:paraId="55048CF4">
      <w:pPr>
        <w:overflowPunct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5.</w:t>
      </w:r>
      <w:r>
        <w:rPr>
          <w:rFonts w:hint="eastAsia"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 xml:space="preserve"> </w:t>
      </w:r>
      <w:r>
        <w:rPr>
          <w:rFonts w:ascii="仿宋_GB2312" w:hAnsi="Times New Roman" w:eastAsia="仿宋_GB2312"/>
          <w:sz w:val="32"/>
          <w:szCs w:val="32"/>
          <w:highlight w:val="none"/>
        </w:rPr>
        <w:t>如试剂盒包含校准卡、定值单（靶值单）应予以明确。</w:t>
      </w:r>
    </w:p>
    <w:p w14:paraId="2AA04FB3">
      <w:pPr>
        <w:overflowPunct w:val="0"/>
        <w:spacing w:line="520" w:lineRule="exact"/>
        <w:ind w:firstLine="640" w:firstLineChars="200"/>
        <w:rPr>
          <w:rFonts w:hint="eastAsia" w:ascii="Times New Roman" w:hAnsi="Times New Roman" w:eastAsia="仿宋_GB2312"/>
          <w:sz w:val="32"/>
          <w:szCs w:val="32"/>
          <w:highlight w:val="none"/>
        </w:rPr>
      </w:pPr>
      <w:r>
        <w:rPr>
          <w:rFonts w:ascii="Times New Roman" w:hAnsi="Times New Roman" w:eastAsia="仿宋_GB2312"/>
          <w:sz w:val="32"/>
          <w:szCs w:val="32"/>
          <w:highlight w:val="none"/>
        </w:rPr>
        <w:t>5.</w:t>
      </w:r>
      <w:r>
        <w:rPr>
          <w:rFonts w:hint="eastAsia" w:ascii="Times New Roman" w:hAnsi="Times New Roman" w:eastAsia="仿宋_GB2312"/>
          <w:sz w:val="32"/>
          <w:szCs w:val="32"/>
          <w:highlight w:val="none"/>
          <w:lang w:val="en-US" w:eastAsia="zh-CN"/>
        </w:rPr>
        <w:t>3</w:t>
      </w:r>
      <w:r>
        <w:rPr>
          <w:rFonts w:ascii="Times New Roman" w:hAnsi="Times New Roman" w:eastAsia="仿宋_GB2312"/>
          <w:sz w:val="32"/>
          <w:szCs w:val="32"/>
          <w:highlight w:val="none"/>
        </w:rPr>
        <w:t xml:space="preserve"> </w:t>
      </w:r>
      <w:r>
        <w:rPr>
          <w:rFonts w:ascii="仿宋_GB2312" w:hAnsi="Times New Roman" w:eastAsia="仿宋_GB2312"/>
          <w:sz w:val="32"/>
          <w:szCs w:val="32"/>
          <w:highlight w:val="none"/>
        </w:rPr>
        <w:t>需要但未提供</w:t>
      </w:r>
      <w:r>
        <w:rPr>
          <w:rFonts w:hint="eastAsia" w:ascii="仿宋_GB2312" w:hAnsi="Times New Roman" w:eastAsia="仿宋_GB2312"/>
          <w:sz w:val="32"/>
          <w:szCs w:val="32"/>
          <w:highlight w:val="none"/>
        </w:rPr>
        <w:t>的物质</w:t>
      </w:r>
    </w:p>
    <w:p w14:paraId="631E49E9">
      <w:pPr>
        <w:overflowPunct w:val="0"/>
        <w:spacing w:line="520" w:lineRule="exact"/>
        <w:ind w:firstLine="640" w:firstLineChars="200"/>
        <w:rPr>
          <w:rFonts w:ascii="Times New Roman" w:hAnsi="Times New Roman" w:eastAsia="仿宋_GB2312"/>
          <w:sz w:val="32"/>
          <w:szCs w:val="32"/>
          <w:highlight w:val="none"/>
        </w:rPr>
      </w:pPr>
      <w:r>
        <w:rPr>
          <w:rFonts w:ascii="仿宋_GB2312" w:hAnsi="Times New Roman" w:eastAsia="仿宋_GB2312"/>
          <w:sz w:val="32"/>
          <w:szCs w:val="32"/>
          <w:highlight w:val="none"/>
        </w:rPr>
        <w:t>对于产品中不包含，但对检测必需的试剂如单独注册的校准品</w:t>
      </w:r>
      <w:r>
        <w:rPr>
          <w:rFonts w:ascii="Times New Roman" w:hAnsi="Times New Roman" w:eastAsia="仿宋_GB2312"/>
          <w:sz w:val="32"/>
          <w:szCs w:val="32"/>
          <w:highlight w:val="none"/>
        </w:rPr>
        <w:t>/</w:t>
      </w:r>
      <w:r>
        <w:rPr>
          <w:rFonts w:ascii="仿宋_GB2312" w:hAnsi="Times New Roman" w:eastAsia="仿宋_GB2312"/>
          <w:sz w:val="32"/>
          <w:szCs w:val="32"/>
          <w:highlight w:val="none"/>
        </w:rPr>
        <w:t>质控品等应列明产品名称、注册人（备案人）、货号及其注册证编号（备案编号）。</w:t>
      </w:r>
    </w:p>
    <w:p w14:paraId="4021B92E">
      <w:pPr>
        <w:widowControl/>
        <w:spacing w:line="520" w:lineRule="exact"/>
        <w:ind w:firstLine="640" w:firstLineChars="200"/>
        <w:jc w:val="left"/>
        <w:rPr>
          <w:rFonts w:ascii="Times New Roman" w:hAnsi="Times New Roman" w:eastAsia="仿宋_GB2312"/>
          <w:b/>
          <w:bCs/>
          <w:sz w:val="32"/>
          <w:szCs w:val="32"/>
          <w:highlight w:val="none"/>
        </w:rPr>
      </w:pPr>
      <w:r>
        <w:rPr>
          <w:rFonts w:ascii="Times New Roman" w:hAnsi="Times New Roman" w:eastAsia="仿宋_GB2312"/>
          <w:sz w:val="32"/>
          <w:szCs w:val="32"/>
          <w:highlight w:val="none"/>
        </w:rPr>
        <w:t>6.</w:t>
      </w:r>
      <w:r>
        <w:rPr>
          <w:rFonts w:hint="eastAsia" w:ascii="Times New Roman" w:hAnsi="Times New Roman" w:eastAsia="仿宋_GB2312"/>
          <w:sz w:val="32"/>
          <w:szCs w:val="32"/>
          <w:highlight w:val="none"/>
        </w:rPr>
        <w:t>【储存条件及有效期】</w:t>
      </w:r>
    </w:p>
    <w:p w14:paraId="47C74F79">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首段明确货架保存条件和有效期，如</w:t>
      </w:r>
      <w:r>
        <w:rPr>
          <w:rFonts w:ascii="Times New Roman" w:hAnsi="Times New Roman" w:eastAsia="仿宋_GB2312"/>
          <w:sz w:val="32"/>
          <w:szCs w:val="32"/>
          <w:highlight w:val="none"/>
        </w:rPr>
        <w:t>2~8℃保存，有效期12个月。同时明确特殊保存条件，如禁止冷冻、光线和湿度要求等。</w:t>
      </w:r>
    </w:p>
    <w:p w14:paraId="4440A3EE">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其他段落描述以下内容：</w:t>
      </w:r>
    </w:p>
    <w:p w14:paraId="7EDDCC88">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明确各组分的使用稳定性，包括开封保存条件和保存时长、冻融次数、机载稳定性等。</w:t>
      </w:r>
    </w:p>
    <w:p w14:paraId="1DFC6CE7">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明确生产日期、使用期限</w:t>
      </w:r>
      <w:r>
        <w:rPr>
          <w:rFonts w:ascii="Times New Roman" w:hAnsi="Times New Roman" w:eastAsia="仿宋_GB2312"/>
          <w:sz w:val="32"/>
          <w:szCs w:val="32"/>
          <w:highlight w:val="none"/>
        </w:rPr>
        <w:t>/失效日期/有效期至见标签。</w:t>
      </w:r>
    </w:p>
    <w:p w14:paraId="77EA982E">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若各组分的保存条件不一致，应分别描述。</w:t>
      </w:r>
    </w:p>
    <w:p w14:paraId="7DDD1ABD">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若各组分的有效期不同，则试剂盒的有效期为最短保存时间。</w:t>
      </w:r>
    </w:p>
    <w:p w14:paraId="577BFC7A">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7.</w:t>
      </w:r>
      <w:r>
        <w:rPr>
          <w:rFonts w:hint="eastAsia" w:ascii="Times New Roman" w:hAnsi="Times New Roman" w:eastAsia="仿宋_GB2312"/>
          <w:sz w:val="32"/>
          <w:szCs w:val="32"/>
          <w:highlight w:val="none"/>
        </w:rPr>
        <w:t>【适用仪器】</w:t>
      </w:r>
    </w:p>
    <w:p w14:paraId="2995E83A">
      <w:pPr>
        <w:widowControl/>
        <w:spacing w:line="52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简述对适用仪器的具体要求，如仪器名称及型号等。如不同规格适用不同机型也应说明，且与分析性能评估资料一致。</w:t>
      </w:r>
    </w:p>
    <w:p w14:paraId="538BE560">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8.</w:t>
      </w:r>
      <w:r>
        <w:rPr>
          <w:rFonts w:hint="eastAsia" w:ascii="Times New Roman" w:hAnsi="Times New Roman" w:eastAsia="仿宋_GB2312"/>
          <w:sz w:val="32"/>
          <w:szCs w:val="32"/>
          <w:highlight w:val="none"/>
        </w:rPr>
        <w:t>【样本要求】</w:t>
      </w:r>
    </w:p>
    <w:p w14:paraId="2D1B2B16">
      <w:pPr>
        <w:spacing w:line="520" w:lineRule="exact"/>
        <w:ind w:firstLine="640" w:firstLineChars="200"/>
        <w:rPr>
          <w:rFonts w:ascii="Times New Roman" w:hAnsi="Times New Roman" w:eastAsia="仿宋_GB2312" w:cs="Times New Roman"/>
          <w:kern w:val="44"/>
          <w:sz w:val="32"/>
          <w:szCs w:val="32"/>
          <w:highlight w:val="none"/>
        </w:rPr>
      </w:pPr>
      <w:r>
        <w:rPr>
          <w:rFonts w:hint="eastAsia" w:ascii="Times New Roman" w:hAnsi="Times New Roman" w:eastAsia="仿宋_GB2312"/>
          <w:sz w:val="32"/>
          <w:szCs w:val="32"/>
          <w:highlight w:val="none"/>
        </w:rPr>
        <w:t>重点明确以下内容：</w:t>
      </w:r>
      <w:r>
        <w:rPr>
          <w:rFonts w:hint="eastAsia" w:ascii="Times New Roman" w:hAnsi="Times New Roman" w:eastAsia="仿宋_GB2312"/>
          <w:color w:val="000000"/>
          <w:sz w:val="32"/>
          <w:szCs w:val="32"/>
          <w:highlight w:val="none"/>
        </w:rPr>
        <w:t>说明采集方法及样本类型，如有血浆样本，应注明对抗凝剂的要求</w:t>
      </w:r>
      <w:r>
        <w:rPr>
          <w:rFonts w:hint="eastAsia" w:ascii="Times New Roman" w:hAnsi="Times New Roman" w:eastAsia="仿宋_GB2312" w:cs="Times New Roman"/>
          <w:kern w:val="44"/>
          <w:sz w:val="32"/>
          <w:szCs w:val="32"/>
          <w:highlight w:val="none"/>
        </w:rPr>
        <w:t>以及样本保存条件和期限</w:t>
      </w:r>
      <w:r>
        <w:rPr>
          <w:rFonts w:hint="eastAsia" w:ascii="Times New Roman" w:hAnsi="Times New Roman" w:eastAsia="仿宋_GB2312"/>
          <w:color w:val="000000"/>
          <w:sz w:val="32"/>
          <w:szCs w:val="32"/>
          <w:highlight w:val="none"/>
        </w:rPr>
        <w:t>。</w:t>
      </w:r>
    </w:p>
    <w:p w14:paraId="71DADB37">
      <w:pPr>
        <w:spacing w:line="520" w:lineRule="exact"/>
        <w:ind w:firstLine="640" w:firstLineChars="200"/>
        <w:rPr>
          <w:rFonts w:ascii="Times New Roman" w:hAnsi="Times New Roman" w:eastAsia="仿宋_GB2312" w:cs="Times New Roman"/>
          <w:kern w:val="44"/>
          <w:sz w:val="32"/>
          <w:szCs w:val="32"/>
          <w:highlight w:val="none"/>
        </w:rPr>
      </w:pPr>
      <w:r>
        <w:rPr>
          <w:rFonts w:hint="eastAsia" w:ascii="Times New Roman" w:hAnsi="Times New Roman" w:eastAsia="仿宋_GB2312"/>
          <w:color w:val="000000"/>
          <w:sz w:val="32"/>
          <w:szCs w:val="32"/>
          <w:highlight w:val="none"/>
        </w:rPr>
        <w:t>样本处理方法、保存条件及期限、运输条件（如适用）等。冷藏/冷冻样本检测前是否须恢复室温，如需冻存，应明确冻存条件和冻融次数。对储存样本的添加剂要求等，应与样本稳定性的研究一致。</w:t>
      </w:r>
    </w:p>
    <w:p w14:paraId="68DA87F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9.【检验方法】</w:t>
      </w:r>
    </w:p>
    <w:p w14:paraId="7AA5DDFC">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包含样本处理、试剂配制、反应步骤、反应体系和参数设置等过程。应明确检测过程、主要步骤及反应体系的关键参数。对于适用仪器为全自动的，也应明确适用仪器中与检测相关的运行模式、关键参数等设置，不建议仅以“具体操作步骤及参数设置见仪器说明书”等字样进行描述。</w:t>
      </w:r>
    </w:p>
    <w:p w14:paraId="7F227749">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10.【参考区间】</w:t>
      </w:r>
    </w:p>
    <w:p w14:paraId="76D00F94">
      <w:pPr>
        <w:widowControl/>
        <w:spacing w:line="520" w:lineRule="exact"/>
        <w:ind w:firstLine="640" w:firstLineChars="200"/>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明确参考区间，并简述研究使用的样本量、人群特征、确定方法（如非参数百分位数法）等信息。建议各实验室建立或验证适合自身检测系统及本地人群的参考区间。</w:t>
      </w:r>
    </w:p>
    <w:p w14:paraId="0AFB1B41">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11.【检验结果的解释】</w:t>
      </w:r>
    </w:p>
    <w:p w14:paraId="742649C7">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应根据其临床意义对可能出现的结果进行合理的解释。</w:t>
      </w:r>
    </w:p>
    <w:p w14:paraId="1DBE1ABC">
      <w:pPr>
        <w:widowControl/>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说明在何种情况下</w:t>
      </w:r>
      <w:r>
        <w:rPr>
          <w:rFonts w:hint="eastAsia" w:ascii="Times New Roman" w:hAnsi="Times New Roman" w:eastAsia="仿宋_GB2312"/>
          <w:sz w:val="32"/>
          <w:szCs w:val="32"/>
          <w:highlight w:val="none"/>
        </w:rPr>
        <w:t>需进行</w:t>
      </w:r>
      <w:r>
        <w:rPr>
          <w:rFonts w:ascii="Times New Roman" w:hAnsi="Times New Roman" w:eastAsia="仿宋_GB2312"/>
          <w:sz w:val="32"/>
          <w:szCs w:val="32"/>
          <w:highlight w:val="none"/>
        </w:rPr>
        <w:t>复测或确认试验</w:t>
      </w:r>
      <w:r>
        <w:rPr>
          <w:rFonts w:hint="eastAsia" w:ascii="Times New Roman" w:hAnsi="Times New Roman" w:eastAsia="仿宋_GB2312"/>
          <w:sz w:val="32"/>
          <w:szCs w:val="32"/>
          <w:highlight w:val="none"/>
        </w:rPr>
        <w:t>（如需要）。如</w:t>
      </w:r>
      <w:r>
        <w:rPr>
          <w:rFonts w:ascii="Times New Roman" w:hAnsi="Times New Roman" w:eastAsia="仿宋_GB2312"/>
          <w:sz w:val="32"/>
          <w:szCs w:val="32"/>
          <w:highlight w:val="none"/>
        </w:rPr>
        <w:t>超出</w:t>
      </w:r>
      <w:r>
        <w:rPr>
          <w:rFonts w:hint="eastAsia" w:ascii="Times New Roman" w:hAnsi="Times New Roman" w:eastAsia="仿宋_GB2312"/>
          <w:sz w:val="32"/>
          <w:szCs w:val="32"/>
          <w:highlight w:val="none"/>
        </w:rPr>
        <w:t>测量区间</w:t>
      </w:r>
      <w:r>
        <w:rPr>
          <w:rFonts w:ascii="Times New Roman" w:hAnsi="Times New Roman" w:eastAsia="仿宋_GB2312"/>
          <w:sz w:val="32"/>
          <w:szCs w:val="32"/>
          <w:highlight w:val="none"/>
        </w:rPr>
        <w:t>的样本需稀释，应注明稀释</w:t>
      </w:r>
      <w:r>
        <w:rPr>
          <w:rFonts w:hint="eastAsia" w:ascii="Times New Roman" w:hAnsi="Times New Roman" w:eastAsia="仿宋_GB2312"/>
          <w:sz w:val="32"/>
          <w:szCs w:val="32"/>
          <w:highlight w:val="none"/>
        </w:rPr>
        <w:t>液</w:t>
      </w:r>
      <w:r>
        <w:rPr>
          <w:rFonts w:ascii="Times New Roman" w:hAnsi="Times New Roman" w:eastAsia="仿宋_GB2312"/>
          <w:sz w:val="32"/>
          <w:szCs w:val="32"/>
          <w:highlight w:val="none"/>
        </w:rPr>
        <w:t>、稀释方法、最大稀释比例等。</w:t>
      </w:r>
    </w:p>
    <w:p w14:paraId="01D16793">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说明可能对试验结果产生影响的因素。</w:t>
      </w:r>
    </w:p>
    <w:p w14:paraId="70A4DE2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12</w:t>
      </w:r>
      <w:r>
        <w:rPr>
          <w:rFonts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rPr>
        <w:t>【检验方法的局限性】</w:t>
      </w:r>
    </w:p>
    <w:p w14:paraId="2349B6B4">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color w:val="000000"/>
          <w:kern w:val="0"/>
          <w:sz w:val="32"/>
          <w:szCs w:val="32"/>
          <w:highlight w:val="none"/>
        </w:rPr>
        <w:t>说明该检验方法的局限性，如试剂盒的检测结果仅供临床参考，不能单独作为确诊或排除病例的依据，为达到诊断目的，此检测结果要与临床检查、病史和其他的检查结果结合使用</w:t>
      </w:r>
      <w:r>
        <w:rPr>
          <w:rFonts w:hint="eastAsia" w:ascii="Times New Roman" w:hAnsi="Times New Roman" w:eastAsia="仿宋_GB2312"/>
          <w:sz w:val="32"/>
          <w:szCs w:val="32"/>
          <w:highlight w:val="none"/>
        </w:rPr>
        <w:t>。</w:t>
      </w:r>
    </w:p>
    <w:p w14:paraId="3DDB0189">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13</w:t>
      </w:r>
      <w:r>
        <w:rPr>
          <w:rFonts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rPr>
        <w:t>【产品性能指标】</w:t>
      </w:r>
    </w:p>
    <w:p w14:paraId="0BBCC762">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13.1 概括描述每项分析性能研究如正确度、精密度、灵敏度、测量区间及可报告区间、分析特异性、高剂量钩状效应等适用项目的研究方法和结果。</w:t>
      </w:r>
    </w:p>
    <w:p w14:paraId="6439C29B">
      <w:pPr>
        <w:widowControl/>
        <w:spacing w:line="520" w:lineRule="exact"/>
        <w:ind w:firstLine="640" w:firstLineChars="200"/>
        <w:jc w:val="left"/>
        <w:rPr>
          <w:rFonts w:hint="eastAsia" w:ascii="Times New Roman" w:hAnsi="Times New Roman" w:eastAsia="仿宋_GB2312"/>
          <w:sz w:val="32"/>
          <w:szCs w:val="32"/>
          <w:highlight w:val="none"/>
        </w:rPr>
      </w:pPr>
      <w:r>
        <w:rPr>
          <w:rFonts w:ascii="Times New Roman" w:hAnsi="Times New Roman" w:eastAsia="仿宋_GB2312"/>
          <w:sz w:val="32"/>
          <w:szCs w:val="32"/>
          <w:highlight w:val="none"/>
        </w:rPr>
        <w:t>13.2 概括描述临床评价的方法和结果。</w:t>
      </w:r>
    </w:p>
    <w:p w14:paraId="4BE47CC8">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14.【注意事项】</w:t>
      </w:r>
    </w:p>
    <w:p w14:paraId="7349CDB3">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注明必要的注意事项，如本品仅用于体外诊断等。</w:t>
      </w:r>
    </w:p>
    <w:p w14:paraId="309967F6">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如该产品含有人源或动物源性物质，应给出具有潜在感染性的警告</w:t>
      </w:r>
      <w:r>
        <w:rPr>
          <w:rFonts w:hint="eastAsia" w:ascii="Times New Roman" w:hAnsi="Times New Roman" w:eastAsia="仿宋_GB2312"/>
          <w:sz w:val="32"/>
          <w:szCs w:val="32"/>
          <w:highlight w:val="none"/>
        </w:rPr>
        <w:t>。</w:t>
      </w:r>
    </w:p>
    <w:p w14:paraId="01C79CE1">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15.【标识的解释】</w:t>
      </w:r>
    </w:p>
    <w:p w14:paraId="02FCB235">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如有图形或符号，请解释其代表的意义。</w:t>
      </w:r>
    </w:p>
    <w:p w14:paraId="77E29F33">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16.【参考文献】</w:t>
      </w:r>
    </w:p>
    <w:p w14:paraId="1B586031">
      <w:pPr>
        <w:widowControl/>
        <w:spacing w:line="520" w:lineRule="exact"/>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t>注明引用参考文献，其书写应清楚、易查询且格式规范统一，符合相关标准要求。</w:t>
      </w:r>
    </w:p>
    <w:p w14:paraId="2860FE05">
      <w:pPr>
        <w:pStyle w:val="2"/>
        <w:spacing w:before="0" w:after="0" w:line="520" w:lineRule="exact"/>
        <w:ind w:firstLine="640" w:firstLineChars="200"/>
        <w:rPr>
          <w:rFonts w:ascii="Times New Roman" w:hAnsi="Times New Roman" w:eastAsia="仿宋_GB2312"/>
          <w:b w:val="0"/>
          <w:bCs w:val="0"/>
          <w:sz w:val="32"/>
          <w:szCs w:val="32"/>
          <w:highlight w:val="none"/>
        </w:rPr>
      </w:pPr>
      <w:r>
        <w:rPr>
          <w:rFonts w:hint="eastAsia" w:ascii="Times New Roman" w:hAnsi="Times New Roman" w:eastAsia="仿宋_GB2312"/>
          <w:b w:val="0"/>
          <w:bCs w:val="0"/>
          <w:sz w:val="32"/>
          <w:szCs w:val="32"/>
          <w:highlight w:val="none"/>
        </w:rPr>
        <w:t>1</w:t>
      </w:r>
      <w:r>
        <w:rPr>
          <w:rFonts w:ascii="Times New Roman" w:hAnsi="Times New Roman" w:eastAsia="仿宋_GB2312"/>
          <w:b w:val="0"/>
          <w:bCs w:val="0"/>
          <w:sz w:val="32"/>
          <w:szCs w:val="32"/>
          <w:highlight w:val="none"/>
        </w:rPr>
        <w:t>7.</w:t>
      </w:r>
      <w:r>
        <w:rPr>
          <w:rFonts w:hint="eastAsia" w:ascii="Times New Roman" w:hAnsi="Times New Roman" w:eastAsia="仿宋_GB2312"/>
          <w:b w:val="0"/>
          <w:bCs w:val="0"/>
          <w:sz w:val="32"/>
          <w:szCs w:val="32"/>
          <w:highlight w:val="none"/>
        </w:rPr>
        <w:t>【基本信息】</w:t>
      </w:r>
    </w:p>
    <w:p w14:paraId="47B2945A">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符合《体外诊断试剂说明书编写指导原则》对基本信息的要求，包括但不限于：注册人/生产企业信息、医疗器械注册证编号/产品技术要求编号、说明书核准及修改日期等。</w:t>
      </w:r>
    </w:p>
    <w:p w14:paraId="3AB098A7">
      <w:pPr>
        <w:pStyle w:val="22"/>
        <w:spacing w:line="520" w:lineRule="exact"/>
        <w:rPr>
          <w:highlight w:val="none"/>
        </w:rPr>
      </w:pPr>
      <w:r>
        <w:rPr>
          <w:rFonts w:hint="eastAsia"/>
          <w:highlight w:val="none"/>
        </w:rPr>
        <w:t>(六)质量管理体系文件</w:t>
      </w:r>
    </w:p>
    <w:p w14:paraId="6CBE3650">
      <w:pPr>
        <w:widowControl/>
        <w:spacing w:line="520" w:lineRule="exact"/>
        <w:ind w:firstLine="640" w:firstLineChars="200"/>
        <w:jc w:val="left"/>
        <w:rPr>
          <w:rFonts w:ascii="Times New Roman" w:hAnsi="Times New Roman" w:eastAsia="仿宋_GB2312"/>
          <w:b/>
          <w:bCs/>
          <w:sz w:val="32"/>
          <w:szCs w:val="32"/>
          <w:highlight w:val="none"/>
        </w:rPr>
      </w:pPr>
      <w:r>
        <w:rPr>
          <w:rFonts w:hint="eastAsia" w:ascii="Times New Roman" w:hAnsi="Times New Roman" w:eastAsia="仿宋_GB2312"/>
          <w:sz w:val="32"/>
          <w:szCs w:val="32"/>
          <w:highlight w:val="none"/>
        </w:rPr>
        <w:t>应按《体外诊断试剂注册申报资料要求及说明》的要求提交质量管理体系文件。</w:t>
      </w:r>
    </w:p>
    <w:p w14:paraId="27D437FB">
      <w:pPr>
        <w:pStyle w:val="2"/>
        <w:spacing w:before="0" w:after="0" w:line="520" w:lineRule="exact"/>
        <w:ind w:firstLine="640" w:firstLineChars="200"/>
        <w:rPr>
          <w:rFonts w:ascii="Times New Roman" w:hAnsi="Times New Roman" w:eastAsia="黑体"/>
          <w:b w:val="0"/>
          <w:bCs w:val="0"/>
          <w:sz w:val="32"/>
          <w:szCs w:val="32"/>
          <w:highlight w:val="none"/>
        </w:rPr>
      </w:pPr>
      <w:r>
        <w:rPr>
          <w:rFonts w:hint="eastAsia" w:ascii="Times New Roman" w:hAnsi="Times New Roman" w:eastAsia="黑体"/>
          <w:b w:val="0"/>
          <w:bCs w:val="0"/>
          <w:sz w:val="32"/>
          <w:szCs w:val="32"/>
          <w:highlight w:val="none"/>
        </w:rPr>
        <w:t>三、参考文献</w:t>
      </w:r>
    </w:p>
    <w:p w14:paraId="14D07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[1]中华人民共和国国务院.医疗器械监督管理条例:中华人民共和国国务院令第739号[Z].</w:t>
      </w:r>
    </w:p>
    <w:p w14:paraId="1D6E1A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[2]国家市场监督管理总局.体外诊断试剂注册与备案管理办法:国家市场监督管理总局令第48号[Z].</w:t>
      </w:r>
    </w:p>
    <w:p w14:paraId="23F071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[3]国家药品监督管理局.体外诊断试剂注册申报资料要求和批准证明文件格式: 国家药监局公告2021年第122号[Z].</w:t>
      </w:r>
    </w:p>
    <w:p w14:paraId="5A2F79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[4]国家药品监督管理局.体外诊断试剂分类目录:国家药监局公告2024年第</w:t>
      </w:r>
      <w:r>
        <w:rPr>
          <w:rFonts w:ascii="Times New Roman" w:hAnsi="Times New Roman" w:eastAsia="仿宋_GB2312"/>
          <w:kern w:val="44"/>
          <w:sz w:val="32"/>
          <w:szCs w:val="32"/>
          <w:highlight w:val="none"/>
        </w:rPr>
        <w:t>58</w:t>
      </w:r>
      <w:r>
        <w:rPr>
          <w:rFonts w:hint="eastAsia" w:ascii="Times New Roman" w:hAnsi="Times New Roman" w:eastAsia="仿宋_GB2312"/>
          <w:kern w:val="44"/>
          <w:sz w:val="32"/>
          <w:szCs w:val="32"/>
          <w:highlight w:val="none"/>
        </w:rPr>
        <w:t>号[Z].</w:t>
      </w:r>
    </w:p>
    <w:p w14:paraId="6A5A4C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[5]国家药品监督管理局</w:t>
      </w:r>
      <w:r>
        <w:rPr>
          <w:rFonts w:ascii="Times New Roman" w:hAnsi="Times New Roman" w:eastAsia="仿宋_GB2312"/>
          <w:kern w:val="44"/>
          <w:sz w:val="32"/>
          <w:szCs w:val="32"/>
          <w:highlight w:val="none"/>
        </w:rPr>
        <w:t>.体外诊断试剂分类规则:国家药监局公告2021年第129号[Z]</w:t>
      </w:r>
      <w:r>
        <w:rPr>
          <w:rFonts w:hint="eastAsia" w:ascii="Times New Roman" w:hAnsi="Times New Roman" w:eastAsia="仿宋_GB2312"/>
          <w:kern w:val="44"/>
          <w:sz w:val="32"/>
          <w:szCs w:val="32"/>
          <w:highlight w:val="none"/>
        </w:rPr>
        <w:t>.</w:t>
      </w:r>
    </w:p>
    <w:p w14:paraId="254299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6</w:t>
      </w:r>
      <w:r>
        <w:rPr>
          <w:rFonts w:hint="eastAsia" w:ascii="Times New Roman" w:hAnsi="Times New Roman" w:eastAsia="仿宋_GB2312"/>
          <w:kern w:val="44"/>
          <w:sz w:val="32"/>
          <w:szCs w:val="32"/>
          <w:highlight w:val="none"/>
        </w:rPr>
        <w:t>]国家药品监督管理局.医疗器械产品技术要求编写指导原则:国家药监局通告2022年第8号[Z].</w:t>
      </w:r>
    </w:p>
    <w:p w14:paraId="0712B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[7]国家药品监督管理局.医疗器械注册自检管理规定:国家药监局公告2021年第126号[Z].</w:t>
      </w:r>
    </w:p>
    <w:p w14:paraId="732B85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8</w:t>
      </w:r>
      <w:r>
        <w:rPr>
          <w:rFonts w:hint="eastAsia" w:ascii="Times New Roman" w:hAnsi="Times New Roman" w:eastAsia="仿宋_GB2312"/>
          <w:kern w:val="44"/>
          <w:sz w:val="32"/>
          <w:szCs w:val="32"/>
          <w:highlight w:val="none"/>
        </w:rPr>
        <w:t>]国家药品监督管理局医疗器械技术审评中心.定量检测体外诊断试剂分析性能评估注册审查指导原则: 国家药监局器审中心通告2022年第32号[Z].</w:t>
      </w:r>
    </w:p>
    <w:p w14:paraId="67A56A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[9]国家药品监督管理局医疗器械技术审评中心.质控品注册审查指导原则——质控品赋值研究：国家药监局器审中心通告2022年第36号[Z].</w:t>
      </w:r>
    </w:p>
    <w:p w14:paraId="4FFE61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[10]国家药品监督管理局医疗器械技术审评中心.体外诊断试剂参考区间确定注册审查指导原则：国家药监局器审中心通告2022年第36号[Z].</w:t>
      </w:r>
    </w:p>
    <w:p w14:paraId="6CDF48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[11]国家药品监督管理局.免于进行临床试验体外诊断试剂目录（2025年）:国家药监局通告2025年第23号[Z].</w:t>
      </w:r>
    </w:p>
    <w:p w14:paraId="4CDD25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[12]国家药品监督管理局.免于临床试验的体外诊断试剂临床评价技术指导原则:国家药监局通告2021年第74号[Z].</w:t>
      </w:r>
    </w:p>
    <w:p w14:paraId="5AE9BC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[13]国家药品监督管理局.体外诊断试剂临床试验技术指导原则:国家药监局通告2021年第72号[Z].</w:t>
      </w:r>
    </w:p>
    <w:p w14:paraId="53E699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[14]国家药监局国家卫生健康委.医疗器械临床试验质量管理规范：国家药监局国家卫生健康委公告2022年第28号[Z].</w:t>
      </w:r>
    </w:p>
    <w:p w14:paraId="5091C4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[15]国家食品药品监督管理总局.体外诊断试剂说明书编写指导原则（2023年修订版）:国家药监局器审中心通告2024年第1号[Z].</w:t>
      </w:r>
    </w:p>
    <w:p w14:paraId="0335E2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[16]国家食品药品监督管理总局.医疗器械说明书和标签管理规定:国家食品药品监督管理总局令第6号[Z].</w:t>
      </w:r>
    </w:p>
    <w:p w14:paraId="454A9F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hint="eastAsia" w:ascii="Times New Roman" w:hAnsi="Times New Roman" w:eastAsia="仿宋_GB2312"/>
          <w:kern w:val="44"/>
          <w:sz w:val="32"/>
          <w:szCs w:val="32"/>
          <w:highlight w:val="none"/>
        </w:rPr>
      </w:pPr>
      <w:r>
        <w:rPr>
          <w:rFonts w:ascii="Times New Roman" w:hAnsi="Times New Roman" w:eastAsia="仿宋_GB2312"/>
          <w:kern w:val="44"/>
          <w:sz w:val="32"/>
          <w:szCs w:val="32"/>
          <w:highlight w:val="none"/>
        </w:rPr>
        <w:t>[17]国家药品监督管理局医疗器械技术审评中心.体外诊断试剂稳定性研究注册审查指导原则:国家药监局器审中心通告2025年第4号[Z].</w:t>
      </w:r>
    </w:p>
    <w:p w14:paraId="5ACD2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18</w:t>
      </w:r>
      <w:r>
        <w:rPr>
          <w:rFonts w:hint="eastAsia" w:ascii="Times New Roman" w:hAnsi="Times New Roman" w:eastAsia="仿宋_GB2312"/>
          <w:kern w:val="44"/>
          <w:sz w:val="32"/>
          <w:szCs w:val="32"/>
          <w:highlight w:val="none"/>
        </w:rPr>
        <w:t>]GB/T 42062-2022,医疗器械 风险管理对医疗器械的应用[S].</w:t>
      </w:r>
    </w:p>
    <w:p w14:paraId="0A8105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19</w:t>
      </w: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YY/T 1437-2023</w:t>
      </w:r>
      <w:r>
        <w:rPr>
          <w:rFonts w:hint="eastAsia" w:ascii="Times New Roman" w:hAnsi="Times New Roman" w:eastAsia="仿宋_GB2312"/>
          <w:kern w:val="44"/>
          <w:sz w:val="32"/>
          <w:szCs w:val="32"/>
          <w:highlight w:val="none"/>
        </w:rPr>
        <w:t>,医疗器械</w:t>
      </w:r>
      <w:r>
        <w:rPr>
          <w:rFonts w:ascii="Times New Roman" w:hAnsi="Times New Roman" w:eastAsia="仿宋_GB2312"/>
          <w:kern w:val="44"/>
          <w:sz w:val="32"/>
          <w:szCs w:val="32"/>
          <w:highlight w:val="none"/>
        </w:rPr>
        <w:t xml:space="preserve"> GB/T 42062应用指南</w:t>
      </w:r>
      <w:r>
        <w:rPr>
          <w:rFonts w:hint="eastAsia" w:ascii="Times New Roman" w:hAnsi="Times New Roman" w:eastAsia="仿宋_GB2312"/>
          <w:kern w:val="44"/>
          <w:sz w:val="32"/>
          <w:szCs w:val="32"/>
          <w:highlight w:val="none"/>
        </w:rPr>
        <w:t>[S].</w:t>
      </w:r>
    </w:p>
    <w:p w14:paraId="12C50E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2</w:t>
      </w:r>
      <w:r>
        <w:rPr>
          <w:rFonts w:hint="eastAsia" w:ascii="Times New Roman" w:hAnsi="Times New Roman" w:eastAsia="仿宋_GB2312"/>
          <w:kern w:val="44"/>
          <w:sz w:val="32"/>
          <w:szCs w:val="32"/>
          <w:highlight w:val="none"/>
        </w:rPr>
        <w:t>0]GB/T 21415-20</w:t>
      </w:r>
      <w:r>
        <w:rPr>
          <w:rFonts w:ascii="Times New Roman" w:hAnsi="Times New Roman" w:eastAsia="仿宋_GB2312"/>
          <w:kern w:val="44"/>
          <w:sz w:val="32"/>
          <w:szCs w:val="32"/>
          <w:highlight w:val="none"/>
        </w:rPr>
        <w:t>25</w:t>
      </w:r>
      <w:r>
        <w:rPr>
          <w:rFonts w:hint="eastAsia" w:ascii="Times New Roman" w:hAnsi="Times New Roman" w:eastAsia="仿宋_GB2312"/>
          <w:kern w:val="44"/>
          <w:sz w:val="32"/>
          <w:szCs w:val="32"/>
          <w:highlight w:val="none"/>
        </w:rPr>
        <w:t>, 体外诊断医疗器械</w:t>
      </w:r>
      <w:r>
        <w:rPr>
          <w:rFonts w:ascii="Times New Roman" w:hAnsi="Times New Roman" w:eastAsia="仿宋_GB2312"/>
          <w:kern w:val="44"/>
          <w:sz w:val="32"/>
          <w:szCs w:val="32"/>
          <w:highlight w:val="none"/>
        </w:rPr>
        <w:t xml:space="preserve"> 建立校准品、正确度控制物质和人体样品赋值的计量溯源性要求</w:t>
      </w:r>
      <w:r>
        <w:rPr>
          <w:rFonts w:hint="eastAsia" w:ascii="Times New Roman" w:hAnsi="Times New Roman" w:eastAsia="仿宋_GB2312"/>
          <w:kern w:val="44"/>
          <w:sz w:val="32"/>
          <w:szCs w:val="32"/>
          <w:highlight w:val="none"/>
        </w:rPr>
        <w:t>[S].</w:t>
      </w:r>
    </w:p>
    <w:p w14:paraId="2CBDC6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21</w:t>
      </w:r>
      <w:r>
        <w:rPr>
          <w:rFonts w:hint="eastAsia" w:ascii="Times New Roman" w:hAnsi="Times New Roman" w:eastAsia="仿宋_GB2312"/>
          <w:kern w:val="44"/>
          <w:sz w:val="32"/>
          <w:szCs w:val="32"/>
          <w:highlight w:val="none"/>
        </w:rPr>
        <w:t>]</w:t>
      </w:r>
      <w:r>
        <w:rPr>
          <w:highlight w:val="none"/>
        </w:rPr>
        <w:t xml:space="preserve"> </w:t>
      </w:r>
      <w:r>
        <w:rPr>
          <w:rFonts w:ascii="Times New Roman" w:hAnsi="Times New Roman" w:eastAsia="仿宋_GB2312"/>
          <w:kern w:val="44"/>
          <w:sz w:val="32"/>
          <w:szCs w:val="32"/>
          <w:highlight w:val="none"/>
        </w:rPr>
        <w:t>YY/T 1709-2020</w:t>
      </w:r>
      <w:r>
        <w:rPr>
          <w:rFonts w:hint="eastAsia" w:ascii="Times New Roman" w:hAnsi="Times New Roman" w:eastAsia="仿宋_GB2312"/>
          <w:kern w:val="44"/>
          <w:sz w:val="32"/>
          <w:szCs w:val="32"/>
          <w:highlight w:val="none"/>
        </w:rPr>
        <w:t>,体外诊断试剂用校准物测量不确定度评定[S].</w:t>
      </w:r>
    </w:p>
    <w:p w14:paraId="076AE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kern w:val="44"/>
          <w:sz w:val="32"/>
          <w:szCs w:val="32"/>
          <w:highlight w:val="none"/>
        </w:rPr>
      </w:pP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22</w:t>
      </w:r>
      <w:r>
        <w:rPr>
          <w:rFonts w:hint="eastAsia" w:ascii="Times New Roman" w:hAnsi="Times New Roman" w:eastAsia="仿宋_GB2312"/>
          <w:kern w:val="44"/>
          <w:sz w:val="32"/>
          <w:szCs w:val="32"/>
          <w:highlight w:val="none"/>
        </w:rPr>
        <w:t>]</w:t>
      </w:r>
      <w:r>
        <w:rPr>
          <w:rFonts w:ascii="Times New Roman" w:hAnsi="Times New Roman" w:eastAsia="仿宋_GB2312"/>
          <w:kern w:val="44"/>
          <w:sz w:val="32"/>
          <w:szCs w:val="32"/>
          <w:highlight w:val="none"/>
        </w:rPr>
        <w:t>YY/T 1579-2018</w:t>
      </w:r>
      <w:r>
        <w:rPr>
          <w:rFonts w:hint="eastAsia" w:ascii="Times New Roman" w:hAnsi="Times New Roman" w:eastAsia="仿宋_GB2312"/>
          <w:kern w:val="44"/>
          <w:sz w:val="32"/>
          <w:szCs w:val="32"/>
          <w:highlight w:val="none"/>
        </w:rPr>
        <w:t>,体外诊断医疗器械 体外诊断试剂稳定性评价[S].</w:t>
      </w:r>
    </w:p>
    <w:p w14:paraId="174905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640" w:firstLineChars="200"/>
        <w:rPr>
          <w:rFonts w:ascii="Times New Roman" w:hAnsi="Times New Roman" w:eastAsia="仿宋_GB2312" w:cs="Times New Roman"/>
          <w:kern w:val="44"/>
          <w:sz w:val="32"/>
          <w:szCs w:val="32"/>
          <w:highlight w:val="none"/>
        </w:rPr>
      </w:pPr>
      <w:r>
        <w:rPr>
          <w:rFonts w:hint="eastAsia" w:ascii="Times New Roman" w:hAnsi="Times New Roman" w:eastAsia="仿宋_GB2312" w:cs="Times New Roman"/>
          <w:kern w:val="44"/>
          <w:sz w:val="32"/>
          <w:szCs w:val="32"/>
          <w:highlight w:val="none"/>
        </w:rPr>
        <w:t>[</w:t>
      </w:r>
      <w:r>
        <w:rPr>
          <w:rFonts w:ascii="Times New Roman" w:hAnsi="Times New Roman" w:eastAsia="仿宋_GB2312" w:cs="Times New Roman"/>
          <w:kern w:val="44"/>
          <w:sz w:val="32"/>
          <w:szCs w:val="32"/>
          <w:highlight w:val="none"/>
        </w:rPr>
        <w:t>23</w:t>
      </w:r>
      <w:r>
        <w:rPr>
          <w:rFonts w:hint="eastAsia" w:ascii="Times New Roman" w:hAnsi="Times New Roman" w:eastAsia="仿宋_GB2312" w:cs="Times New Roman"/>
          <w:kern w:val="44"/>
          <w:sz w:val="32"/>
          <w:szCs w:val="32"/>
          <w:highlight w:val="none"/>
        </w:rPr>
        <w:t>]尚红</w:t>
      </w:r>
      <w:r>
        <w:rPr>
          <w:rFonts w:ascii="Times New Roman" w:hAnsi="Times New Roman" w:eastAsia="仿宋_GB2312" w:cs="Times New Roman"/>
          <w:kern w:val="44"/>
          <w:sz w:val="32"/>
          <w:szCs w:val="32"/>
          <w:highlight w:val="none"/>
        </w:rPr>
        <w:t>,</w:t>
      </w:r>
      <w:r>
        <w:rPr>
          <w:rFonts w:hint="eastAsia" w:ascii="Times New Roman" w:hAnsi="Times New Roman" w:eastAsia="仿宋_GB2312" w:cs="Times New Roman"/>
          <w:kern w:val="44"/>
          <w:sz w:val="32"/>
          <w:szCs w:val="32"/>
          <w:highlight w:val="none"/>
        </w:rPr>
        <w:t>王毓三</w:t>
      </w:r>
      <w:r>
        <w:rPr>
          <w:rFonts w:ascii="Times New Roman" w:hAnsi="Times New Roman" w:eastAsia="仿宋_GB2312" w:cs="Times New Roman"/>
          <w:kern w:val="44"/>
          <w:sz w:val="32"/>
          <w:szCs w:val="32"/>
          <w:highlight w:val="none"/>
        </w:rPr>
        <w:t>,</w:t>
      </w:r>
      <w:r>
        <w:rPr>
          <w:rFonts w:hint="eastAsia" w:ascii="Times New Roman" w:hAnsi="Times New Roman" w:eastAsia="仿宋_GB2312" w:cs="Times New Roman"/>
          <w:kern w:val="44"/>
          <w:sz w:val="32"/>
          <w:szCs w:val="32"/>
          <w:highlight w:val="none"/>
        </w:rPr>
        <w:t>申子瑜</w:t>
      </w:r>
      <w:r>
        <w:rPr>
          <w:rFonts w:ascii="Times New Roman" w:hAnsi="Times New Roman" w:eastAsia="仿宋_GB2312" w:cs="Times New Roman"/>
          <w:kern w:val="44"/>
          <w:sz w:val="32"/>
          <w:szCs w:val="32"/>
          <w:highlight w:val="none"/>
        </w:rPr>
        <w:t>.</w:t>
      </w:r>
      <w:r>
        <w:rPr>
          <w:rFonts w:hint="eastAsia" w:ascii="Times New Roman" w:hAnsi="Times New Roman" w:eastAsia="仿宋_GB2312" w:cs="Times New Roman"/>
          <w:kern w:val="44"/>
          <w:sz w:val="32"/>
          <w:szCs w:val="32"/>
          <w:highlight w:val="none"/>
        </w:rPr>
        <w:t>全国临床检验操作规程（第</w:t>
      </w:r>
      <w:r>
        <w:rPr>
          <w:rFonts w:ascii="Times New Roman" w:hAnsi="Times New Roman" w:eastAsia="仿宋_GB2312" w:cs="Times New Roman"/>
          <w:kern w:val="44"/>
          <w:sz w:val="32"/>
          <w:szCs w:val="32"/>
          <w:highlight w:val="none"/>
        </w:rPr>
        <w:t>4</w:t>
      </w:r>
      <w:r>
        <w:rPr>
          <w:rFonts w:hint="eastAsia" w:ascii="Times New Roman" w:hAnsi="Times New Roman" w:eastAsia="仿宋_GB2312" w:cs="Times New Roman"/>
          <w:kern w:val="44"/>
          <w:sz w:val="32"/>
          <w:szCs w:val="32"/>
          <w:highlight w:val="none"/>
        </w:rPr>
        <w:t>版）</w:t>
      </w:r>
      <w:r>
        <w:rPr>
          <w:rFonts w:ascii="Times New Roman" w:hAnsi="Times New Roman" w:eastAsia="仿宋_GB2312" w:cs="Times New Roman"/>
          <w:kern w:val="44"/>
          <w:sz w:val="32"/>
          <w:szCs w:val="32"/>
          <w:highlight w:val="none"/>
        </w:rPr>
        <w:t>[M].</w:t>
      </w:r>
      <w:r>
        <w:rPr>
          <w:rFonts w:hint="eastAsia" w:ascii="Times New Roman" w:hAnsi="Times New Roman" w:eastAsia="仿宋_GB2312" w:cs="Times New Roman"/>
          <w:kern w:val="44"/>
          <w:sz w:val="32"/>
          <w:szCs w:val="32"/>
          <w:highlight w:val="none"/>
        </w:rPr>
        <w:t>北京</w:t>
      </w:r>
      <w:r>
        <w:rPr>
          <w:rFonts w:ascii="Times New Roman" w:hAnsi="Times New Roman" w:eastAsia="仿宋_GB2312" w:cs="Times New Roman"/>
          <w:kern w:val="44"/>
          <w:sz w:val="32"/>
          <w:szCs w:val="32"/>
          <w:highlight w:val="none"/>
        </w:rPr>
        <w:t>:</w:t>
      </w:r>
      <w:r>
        <w:rPr>
          <w:rFonts w:hint="eastAsia" w:ascii="Times New Roman" w:hAnsi="Times New Roman" w:eastAsia="仿宋_GB2312" w:cs="Times New Roman"/>
          <w:kern w:val="44"/>
          <w:sz w:val="32"/>
          <w:szCs w:val="32"/>
          <w:highlight w:val="none"/>
        </w:rPr>
        <w:t>人民卫生出版社</w:t>
      </w:r>
      <w:r>
        <w:rPr>
          <w:rFonts w:ascii="Times New Roman" w:hAnsi="Times New Roman" w:eastAsia="仿宋_GB2312" w:cs="Times New Roman"/>
          <w:kern w:val="44"/>
          <w:sz w:val="32"/>
          <w:szCs w:val="32"/>
          <w:highlight w:val="none"/>
        </w:rPr>
        <w:t>,2015.</w:t>
      </w:r>
    </w:p>
    <w:p w14:paraId="050FB80B">
      <w:pPr>
        <w:spacing w:line="520" w:lineRule="exact"/>
        <w:ind w:firstLine="640" w:firstLineChars="200"/>
        <w:rPr>
          <w:rFonts w:ascii="Times New Roman" w:hAnsi="Times New Roman" w:eastAsia="仿宋_GB2312"/>
          <w:sz w:val="32"/>
          <w:szCs w:val="32"/>
          <w:highlight w:val="none"/>
        </w:rPr>
      </w:pPr>
    </w:p>
    <w:sectPr>
      <w:footerReference r:id="rId3" w:type="default"/>
      <w:pgSz w:w="11906" w:h="16838"/>
      <w:pgMar w:top="1701" w:right="1588" w:bottom="1701" w:left="1588" w:header="851" w:footer="992" w:gutter="0"/>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3F54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38175" cy="2146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38175" cy="214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A7D0B">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9pt;width:50.25pt;mso-position-horizontal:outside;mso-position-horizontal-relative:margin;z-index:251659264;mso-width-relative:page;mso-height-relative:page;" filled="f" stroked="f" coordsize="21600,21600" o:gfxdata="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sbsbe1gAAAAcBAAAPAAAAAAAAAAEAIAAAACIAAABkcnMvZG93bnJldi54bWxQSwEC&#10;FAAUAAAACACHTuJAra1Lqy8CAABVBAAADgAAAAAAAAABACAAAAAlAQAAZHJzL2Uyb0RvYy54bWxQ&#10;SwUGAAAAAAYABgBZAQAAxgUAAAAA&#10;">
              <v:fill on="f" focussize="0,0"/>
              <v:stroke on="f" weight="0.5pt"/>
              <v:imagedata o:title=""/>
              <o:lock v:ext="edit" aspectratio="f"/>
              <v:textbox inset="0mm,0mm,0mm,0mm">
                <w:txbxContent>
                  <w:p w14:paraId="4D5A7D0B">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5OWU3ZGU2ZDIzNzUzYTZhMTUwOWJjMGM5NWFlYjYifQ=="/>
  </w:docVars>
  <w:rsids>
    <w:rsidRoot w:val="00F45B1B"/>
    <w:rsid w:val="00003968"/>
    <w:rsid w:val="00016B6B"/>
    <w:rsid w:val="00041480"/>
    <w:rsid w:val="00047DA4"/>
    <w:rsid w:val="00063994"/>
    <w:rsid w:val="0007544E"/>
    <w:rsid w:val="00076894"/>
    <w:rsid w:val="00076E80"/>
    <w:rsid w:val="000B5863"/>
    <w:rsid w:val="000C7B5F"/>
    <w:rsid w:val="000D04B7"/>
    <w:rsid w:val="000E2E5A"/>
    <w:rsid w:val="00104F89"/>
    <w:rsid w:val="00115BD0"/>
    <w:rsid w:val="00145B71"/>
    <w:rsid w:val="001558C1"/>
    <w:rsid w:val="0015649B"/>
    <w:rsid w:val="00157CD9"/>
    <w:rsid w:val="0017782E"/>
    <w:rsid w:val="001B334A"/>
    <w:rsid w:val="001D651E"/>
    <w:rsid w:val="001E6E06"/>
    <w:rsid w:val="001F0B3B"/>
    <w:rsid w:val="001F1D4D"/>
    <w:rsid w:val="00207476"/>
    <w:rsid w:val="00212898"/>
    <w:rsid w:val="0021339A"/>
    <w:rsid w:val="00223F2E"/>
    <w:rsid w:val="002527D3"/>
    <w:rsid w:val="002546CB"/>
    <w:rsid w:val="00276C37"/>
    <w:rsid w:val="00286697"/>
    <w:rsid w:val="00291CB9"/>
    <w:rsid w:val="002A0063"/>
    <w:rsid w:val="002A52E5"/>
    <w:rsid w:val="002D5123"/>
    <w:rsid w:val="002F0485"/>
    <w:rsid w:val="00307ADB"/>
    <w:rsid w:val="0031139B"/>
    <w:rsid w:val="00351769"/>
    <w:rsid w:val="0035706D"/>
    <w:rsid w:val="00363482"/>
    <w:rsid w:val="003635CD"/>
    <w:rsid w:val="00367D6F"/>
    <w:rsid w:val="003C13F6"/>
    <w:rsid w:val="003C543B"/>
    <w:rsid w:val="003D01E5"/>
    <w:rsid w:val="003F0AA0"/>
    <w:rsid w:val="00407E8D"/>
    <w:rsid w:val="00416BEE"/>
    <w:rsid w:val="00427AE2"/>
    <w:rsid w:val="00450026"/>
    <w:rsid w:val="0047010C"/>
    <w:rsid w:val="0048054E"/>
    <w:rsid w:val="004D7121"/>
    <w:rsid w:val="004E581D"/>
    <w:rsid w:val="004E6291"/>
    <w:rsid w:val="004F6B07"/>
    <w:rsid w:val="00541EB7"/>
    <w:rsid w:val="00547476"/>
    <w:rsid w:val="00556AAA"/>
    <w:rsid w:val="00557C15"/>
    <w:rsid w:val="0059160A"/>
    <w:rsid w:val="005975C1"/>
    <w:rsid w:val="005A454C"/>
    <w:rsid w:val="005A503D"/>
    <w:rsid w:val="00600345"/>
    <w:rsid w:val="00650822"/>
    <w:rsid w:val="00667375"/>
    <w:rsid w:val="0066770F"/>
    <w:rsid w:val="006907F9"/>
    <w:rsid w:val="006C2002"/>
    <w:rsid w:val="006C3DB1"/>
    <w:rsid w:val="006D02BD"/>
    <w:rsid w:val="006E1771"/>
    <w:rsid w:val="00713D3B"/>
    <w:rsid w:val="00714DC0"/>
    <w:rsid w:val="007241F8"/>
    <w:rsid w:val="0073216A"/>
    <w:rsid w:val="00734DEB"/>
    <w:rsid w:val="00736E16"/>
    <w:rsid w:val="00741ABA"/>
    <w:rsid w:val="00742204"/>
    <w:rsid w:val="00756158"/>
    <w:rsid w:val="00762281"/>
    <w:rsid w:val="00762C4C"/>
    <w:rsid w:val="00773A93"/>
    <w:rsid w:val="0078757F"/>
    <w:rsid w:val="0079450E"/>
    <w:rsid w:val="007A12DE"/>
    <w:rsid w:val="007A595A"/>
    <w:rsid w:val="007B2562"/>
    <w:rsid w:val="007E384A"/>
    <w:rsid w:val="007F0F44"/>
    <w:rsid w:val="00806D9B"/>
    <w:rsid w:val="00823255"/>
    <w:rsid w:val="00827EF4"/>
    <w:rsid w:val="00851231"/>
    <w:rsid w:val="00890811"/>
    <w:rsid w:val="0089100A"/>
    <w:rsid w:val="008B6D86"/>
    <w:rsid w:val="008B73FC"/>
    <w:rsid w:val="00937174"/>
    <w:rsid w:val="00955E13"/>
    <w:rsid w:val="00985C68"/>
    <w:rsid w:val="009863AF"/>
    <w:rsid w:val="00987777"/>
    <w:rsid w:val="009A6820"/>
    <w:rsid w:val="009B0B1A"/>
    <w:rsid w:val="00A41B56"/>
    <w:rsid w:val="00A549FE"/>
    <w:rsid w:val="00A633D0"/>
    <w:rsid w:val="00A65CF6"/>
    <w:rsid w:val="00AC360F"/>
    <w:rsid w:val="00AE3E7B"/>
    <w:rsid w:val="00B162FA"/>
    <w:rsid w:val="00B20BFF"/>
    <w:rsid w:val="00B308FD"/>
    <w:rsid w:val="00B402A9"/>
    <w:rsid w:val="00B7108B"/>
    <w:rsid w:val="00B76298"/>
    <w:rsid w:val="00BA1E49"/>
    <w:rsid w:val="00BC26C0"/>
    <w:rsid w:val="00BC5681"/>
    <w:rsid w:val="00BC6AF0"/>
    <w:rsid w:val="00BD3C9D"/>
    <w:rsid w:val="00BD465A"/>
    <w:rsid w:val="00C15A3D"/>
    <w:rsid w:val="00C229F9"/>
    <w:rsid w:val="00C32DAA"/>
    <w:rsid w:val="00C36660"/>
    <w:rsid w:val="00C519D5"/>
    <w:rsid w:val="00C64A7F"/>
    <w:rsid w:val="00C64ED8"/>
    <w:rsid w:val="00C6681E"/>
    <w:rsid w:val="00C71BC1"/>
    <w:rsid w:val="00C74627"/>
    <w:rsid w:val="00CA4129"/>
    <w:rsid w:val="00CF15D7"/>
    <w:rsid w:val="00D005E5"/>
    <w:rsid w:val="00D201DE"/>
    <w:rsid w:val="00D2617D"/>
    <w:rsid w:val="00D317A1"/>
    <w:rsid w:val="00D62F82"/>
    <w:rsid w:val="00D74EAB"/>
    <w:rsid w:val="00D82057"/>
    <w:rsid w:val="00D848D8"/>
    <w:rsid w:val="00D85ECC"/>
    <w:rsid w:val="00DA41F6"/>
    <w:rsid w:val="00DB2729"/>
    <w:rsid w:val="00DF78E8"/>
    <w:rsid w:val="00E00E8C"/>
    <w:rsid w:val="00E051F2"/>
    <w:rsid w:val="00E11F0A"/>
    <w:rsid w:val="00E374BF"/>
    <w:rsid w:val="00E42384"/>
    <w:rsid w:val="00E46272"/>
    <w:rsid w:val="00E54985"/>
    <w:rsid w:val="00E93A12"/>
    <w:rsid w:val="00EA42B9"/>
    <w:rsid w:val="00EA46CE"/>
    <w:rsid w:val="00EB739B"/>
    <w:rsid w:val="00EC3019"/>
    <w:rsid w:val="00EC5D31"/>
    <w:rsid w:val="00EE44B3"/>
    <w:rsid w:val="00F03646"/>
    <w:rsid w:val="00F137C5"/>
    <w:rsid w:val="00F15E18"/>
    <w:rsid w:val="00F24F10"/>
    <w:rsid w:val="00F30520"/>
    <w:rsid w:val="00F34DFF"/>
    <w:rsid w:val="00F45B1B"/>
    <w:rsid w:val="00F46AC6"/>
    <w:rsid w:val="00F65FFE"/>
    <w:rsid w:val="00F83C7F"/>
    <w:rsid w:val="00F857DD"/>
    <w:rsid w:val="00F87110"/>
    <w:rsid w:val="00F9369C"/>
    <w:rsid w:val="00F944D0"/>
    <w:rsid w:val="00F97AA9"/>
    <w:rsid w:val="00FC7857"/>
    <w:rsid w:val="00FD1A94"/>
    <w:rsid w:val="00FD38B1"/>
    <w:rsid w:val="00FD4B8B"/>
    <w:rsid w:val="00FE7A2C"/>
    <w:rsid w:val="00FF43D4"/>
    <w:rsid w:val="03463A74"/>
    <w:rsid w:val="06191AF2"/>
    <w:rsid w:val="08EF27BF"/>
    <w:rsid w:val="0DB735A4"/>
    <w:rsid w:val="0DC21358"/>
    <w:rsid w:val="0F5D461F"/>
    <w:rsid w:val="161D01E7"/>
    <w:rsid w:val="1AEE6DAA"/>
    <w:rsid w:val="1B220EFA"/>
    <w:rsid w:val="220953C2"/>
    <w:rsid w:val="22C64F8A"/>
    <w:rsid w:val="2A0D0CC4"/>
    <w:rsid w:val="2B0B7F03"/>
    <w:rsid w:val="30FC55EE"/>
    <w:rsid w:val="322272D6"/>
    <w:rsid w:val="32241CF7"/>
    <w:rsid w:val="33FB3C41"/>
    <w:rsid w:val="35D13A1A"/>
    <w:rsid w:val="36DF0C0B"/>
    <w:rsid w:val="399E3844"/>
    <w:rsid w:val="3A584043"/>
    <w:rsid w:val="3E9765C7"/>
    <w:rsid w:val="3FCA3223"/>
    <w:rsid w:val="43672A92"/>
    <w:rsid w:val="44564BBE"/>
    <w:rsid w:val="48065804"/>
    <w:rsid w:val="481B1F9F"/>
    <w:rsid w:val="48284AC3"/>
    <w:rsid w:val="4C436C35"/>
    <w:rsid w:val="52935F60"/>
    <w:rsid w:val="53D74DAF"/>
    <w:rsid w:val="56F049FE"/>
    <w:rsid w:val="5CFB2F36"/>
    <w:rsid w:val="5D092EE3"/>
    <w:rsid w:val="649D7742"/>
    <w:rsid w:val="64BF5891"/>
    <w:rsid w:val="67D43B66"/>
    <w:rsid w:val="683410CD"/>
    <w:rsid w:val="6A2B641A"/>
    <w:rsid w:val="6DDE7A63"/>
    <w:rsid w:val="6F3563A0"/>
    <w:rsid w:val="6F6D2C38"/>
    <w:rsid w:val="71501F6B"/>
    <w:rsid w:val="72EE22E1"/>
    <w:rsid w:val="766B1C6E"/>
    <w:rsid w:val="77792E22"/>
    <w:rsid w:val="77876861"/>
    <w:rsid w:val="77B30CA3"/>
    <w:rsid w:val="795D656B"/>
    <w:rsid w:val="7AD77313"/>
    <w:rsid w:val="7CB12C71"/>
    <w:rsid w:val="7D652C3F"/>
    <w:rsid w:val="7DFF35F5"/>
    <w:rsid w:val="EE7F829F"/>
    <w:rsid w:val="F5FFD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99"/>
    <w:pPr>
      <w:jc w:val="left"/>
    </w:p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annotation subject"/>
    <w:basedOn w:val="3"/>
    <w:next w:val="3"/>
    <w:link w:val="19"/>
    <w:semiHidden/>
    <w:unhideWhenUsed/>
    <w:qFormat/>
    <w:uiPriority w:val="99"/>
    <w:rPr>
      <w:b/>
      <w:bCs/>
    </w:rPr>
  </w:style>
  <w:style w:type="character" w:styleId="10">
    <w:name w:val="Strong"/>
    <w:basedOn w:val="9"/>
    <w:qFormat/>
    <w:uiPriority w:val="22"/>
    <w:rPr>
      <w:b/>
      <w:bCs/>
    </w:rPr>
  </w:style>
  <w:style w:type="character" w:styleId="11">
    <w:name w:val="line number"/>
    <w:basedOn w:val="9"/>
    <w:semiHidden/>
    <w:unhideWhenUsed/>
    <w:qFormat/>
    <w:uiPriority w:val="99"/>
  </w:style>
  <w:style w:type="character" w:styleId="12">
    <w:name w:val="annotation reference"/>
    <w:basedOn w:val="9"/>
    <w:semiHidden/>
    <w:unhideWhenUsed/>
    <w:qFormat/>
    <w:uiPriority w:val="99"/>
    <w:rPr>
      <w:sz w:val="21"/>
      <w:szCs w:val="21"/>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paragraph" w:customStyle="1" w:styleId="15">
    <w:name w:val="ybc-li-componen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6">
    <w:name w:val="标题 1 字符"/>
    <w:basedOn w:val="9"/>
    <w:link w:val="2"/>
    <w:qFormat/>
    <w:uiPriority w:val="9"/>
    <w:rPr>
      <w:rFonts w:ascii="Calibri" w:hAnsi="Calibri" w:eastAsia="宋体" w:cs="Times New Roman"/>
      <w:b/>
      <w:bCs/>
      <w:kern w:val="44"/>
      <w:sz w:val="44"/>
      <w:szCs w:val="44"/>
    </w:rPr>
  </w:style>
  <w:style w:type="character" w:customStyle="1" w:styleId="17">
    <w:name w:val="HTML 预设格式 字符"/>
    <w:basedOn w:val="9"/>
    <w:link w:val="6"/>
    <w:semiHidden/>
    <w:qFormat/>
    <w:uiPriority w:val="99"/>
    <w:rPr>
      <w:rFonts w:ascii="宋体" w:hAnsi="宋体" w:eastAsia="宋体" w:cs="宋体"/>
      <w:kern w:val="0"/>
      <w:sz w:val="24"/>
      <w:szCs w:val="24"/>
    </w:rPr>
  </w:style>
  <w:style w:type="character" w:customStyle="1" w:styleId="18">
    <w:name w:val="批注文字 字符"/>
    <w:basedOn w:val="9"/>
    <w:link w:val="3"/>
    <w:qFormat/>
    <w:uiPriority w:val="99"/>
  </w:style>
  <w:style w:type="character" w:customStyle="1" w:styleId="19">
    <w:name w:val="批注主题 字符"/>
    <w:basedOn w:val="18"/>
    <w:link w:val="7"/>
    <w:semiHidden/>
    <w:qFormat/>
    <w:uiPriority w:val="99"/>
    <w:rPr>
      <w:b/>
      <w:bCs/>
    </w:rPr>
  </w:style>
  <w:style w:type="paragraph" w:customStyle="1" w:styleId="20">
    <w:name w:val="样式3"/>
    <w:basedOn w:val="1"/>
    <w:link w:val="21"/>
    <w:qFormat/>
    <w:uiPriority w:val="0"/>
    <w:pPr>
      <w:spacing w:line="520" w:lineRule="exact"/>
      <w:ind w:firstLine="640" w:firstLineChars="200"/>
    </w:pPr>
    <w:rPr>
      <w:rFonts w:ascii="Times New Roman" w:hAnsi="Times New Roman" w:eastAsia="仿宋_GB2312" w:cs="Times New Roman"/>
      <w:sz w:val="32"/>
      <w:szCs w:val="28"/>
    </w:rPr>
  </w:style>
  <w:style w:type="character" w:customStyle="1" w:styleId="21">
    <w:name w:val="样式3 字符"/>
    <w:link w:val="20"/>
    <w:qFormat/>
    <w:uiPriority w:val="0"/>
    <w:rPr>
      <w:rFonts w:ascii="Times New Roman" w:hAnsi="Times New Roman" w:eastAsia="仿宋_GB2312" w:cs="Times New Roman"/>
      <w:sz w:val="32"/>
      <w:szCs w:val="28"/>
    </w:rPr>
  </w:style>
  <w:style w:type="paragraph" w:customStyle="1" w:styleId="22">
    <w:name w:val="样式2"/>
    <w:basedOn w:val="1"/>
    <w:link w:val="23"/>
    <w:qFormat/>
    <w:uiPriority w:val="0"/>
    <w:pPr>
      <w:spacing w:line="520" w:lineRule="exact"/>
      <w:ind w:firstLine="640" w:firstLineChars="200"/>
      <w:outlineLvl w:val="0"/>
    </w:pPr>
    <w:rPr>
      <w:rFonts w:ascii="Times New Roman" w:hAnsi="Times New Roman" w:eastAsia="楷体_GB2312" w:cs="Times New Roman"/>
      <w:kern w:val="0"/>
      <w:sz w:val="32"/>
      <w:szCs w:val="32"/>
    </w:rPr>
  </w:style>
  <w:style w:type="character" w:customStyle="1" w:styleId="23">
    <w:name w:val="样式2 字符"/>
    <w:link w:val="22"/>
    <w:qFormat/>
    <w:uiPriority w:val="0"/>
    <w:rPr>
      <w:rFonts w:ascii="Times New Roman" w:hAnsi="Times New Roman" w:eastAsia="楷体_GB2312" w:cs="Times New Roman"/>
      <w:kern w:val="0"/>
      <w:sz w:val="32"/>
      <w:szCs w:val="32"/>
    </w:rPr>
  </w:style>
  <w:style w:type="paragraph" w:styleId="24">
    <w:name w:val="No Spacing"/>
    <w:basedOn w:val="1"/>
    <w:qFormat/>
    <w:uiPriority w:val="99"/>
    <w:pPr>
      <w:spacing w:line="520" w:lineRule="exact"/>
      <w:ind w:firstLine="200" w:firstLineChars="200"/>
      <w:jc w:val="left"/>
    </w:pPr>
    <w:rPr>
      <w:rFonts w:ascii="Times New Roman" w:hAnsi="Times New Roman" w:eastAsia="楷体" w:cs="Calibri"/>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10418</Words>
  <Characters>11021</Characters>
  <Lines>118</Lines>
  <Paragraphs>33</Paragraphs>
  <TotalTime>9</TotalTime>
  <ScaleCrop>false</ScaleCrop>
  <LinksUpToDate>false</LinksUpToDate>
  <CharactersWithSpaces>11086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2026-03-13T09:19:00Z</dcterms:created>
  <dc:creator>李玥瑶</dc:creator>
  <cp:lastModifiedBy>器械二科</cp:lastModifiedBy>
  <dcterms:modified xsi:type="dcterms:W3CDTF">2026-08-10T02:04:59Z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1610EC601D0C4056984E4A36148427FB_13</vt:lpwstr>
  </property>
  <property fmtid="{D5CDD505-2E9C-101B-9397-08002B2CF9AE}" pid="4" name="KSOTemplateDocerSaveRecord">
    <vt:lpwstr>eyJoZGlkIjoiN2I0ZjU4ODU3ZDJhMTEyNTRjYmFhNGNiYTM3MjlhOGUiLCJ1c2VySWQiOiIxNzEyOTY1MzcyIn0=</vt:lpwstr>
  </property>
</Properties>
</file>