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spacing w:line="520" w:lineRule="exact"/>
        <w:jc w:val="center"/>
        <w:rPr>
          <w:rFonts w:hint="eastAsia" w:ascii="Times New Roman" w:hAnsi="Times New Roman" w:eastAsia="方正小标宋简体"/>
          <w:sz w:val="44"/>
          <w:szCs w:val="44"/>
          <w:lang w:eastAsia="zh-CN"/>
        </w:rPr>
      </w:pPr>
    </w:p>
    <w:p>
      <w:pPr>
        <w:autoSpaceDE w:val="0"/>
        <w:autoSpaceDN w:val="0"/>
        <w:spacing w:line="520" w:lineRule="exact"/>
        <w:jc w:val="center"/>
        <w:rPr>
          <w:rFonts w:hint="eastAsia" w:ascii="Times New Roman" w:hAnsi="Times New Roman" w:eastAsia="方正小标宋简体"/>
          <w:sz w:val="44"/>
          <w:szCs w:val="44"/>
        </w:rPr>
      </w:pPr>
      <w:r>
        <w:rPr>
          <w:rFonts w:hint="eastAsia" w:ascii="Times New Roman" w:hAnsi="Times New Roman" w:eastAsia="方正小标宋简体"/>
          <w:sz w:val="44"/>
          <w:szCs w:val="44"/>
          <w:lang w:eastAsia="zh-CN"/>
        </w:rPr>
        <w:t>髓过氧化物酶</w:t>
      </w:r>
      <w:r>
        <w:rPr>
          <w:rFonts w:hint="eastAsia" w:ascii="Times New Roman" w:hAnsi="Times New Roman" w:eastAsia="方正小标宋简体"/>
          <w:sz w:val="44"/>
          <w:szCs w:val="44"/>
        </w:rPr>
        <w:t>检测试剂</w:t>
      </w:r>
    </w:p>
    <w:p>
      <w:pPr>
        <w:adjustRightInd w:val="0"/>
        <w:snapToGrid w:val="0"/>
        <w:spacing w:line="520" w:lineRule="exact"/>
        <w:jc w:val="center"/>
        <w:rPr>
          <w:rFonts w:ascii="Times New Roman" w:hAnsi="Times New Roman" w:eastAsia="方正小标宋简体"/>
          <w:sz w:val="44"/>
          <w:szCs w:val="44"/>
        </w:rPr>
      </w:pPr>
      <w:r>
        <w:rPr>
          <w:rFonts w:ascii="Times New Roman" w:hAnsi="Times New Roman" w:eastAsia="方正小标宋简体"/>
          <w:sz w:val="44"/>
          <w:szCs w:val="44"/>
        </w:rPr>
        <w:t>注册审查指导原则</w:t>
      </w:r>
    </w:p>
    <w:p>
      <w:pPr>
        <w:adjustRightInd w:val="0"/>
        <w:snapToGrid w:val="0"/>
        <w:spacing w:line="520" w:lineRule="exact"/>
        <w:jc w:val="center"/>
        <w:rPr>
          <w:rFonts w:hint="eastAsia" w:ascii="Times New Roman" w:hAnsi="Times New Roman" w:eastAsia="方正小标宋简体"/>
          <w:sz w:val="44"/>
          <w:szCs w:val="44"/>
          <w:lang w:eastAsia="zh-CN"/>
        </w:rPr>
      </w:pPr>
      <w:r>
        <w:rPr>
          <w:rFonts w:hint="eastAsia" w:ascii="Times New Roman" w:hAnsi="Times New Roman" w:eastAsia="方正小标宋简体"/>
          <w:sz w:val="44"/>
          <w:szCs w:val="44"/>
          <w:lang w:eastAsia="zh-CN"/>
        </w:rPr>
        <w:t>（征求意见稿）</w:t>
      </w:r>
    </w:p>
    <w:p>
      <w:pPr>
        <w:autoSpaceDE w:val="0"/>
        <w:autoSpaceDN w:val="0"/>
        <w:spacing w:line="520" w:lineRule="exact"/>
        <w:jc w:val="center"/>
        <w:rPr>
          <w:rFonts w:hint="eastAsia" w:ascii="Times New Roman" w:hAnsi="Times New Roman" w:eastAsia="方正小标宋简体"/>
          <w:sz w:val="44"/>
          <w:szCs w:val="44"/>
          <w:lang w:val="en-US" w:eastAsia="zh-CN"/>
        </w:rPr>
      </w:pPr>
    </w:p>
    <w:p>
      <w:pPr>
        <w:pStyle w:val="11"/>
        <w:rPr>
          <w:rFonts w:hint="eastAsia"/>
          <w:lang w:eastAsia="zh-CN"/>
        </w:rPr>
      </w:pPr>
    </w:p>
    <w:p>
      <w:pPr>
        <w:spacing w:line="520" w:lineRule="exact"/>
        <w:ind w:firstLine="640" w:firstLineChars="200"/>
        <w:rPr>
          <w:rFonts w:hint="eastAsia" w:ascii="Times New Roman" w:hAnsi="Times New Roman" w:eastAsia="仿宋_GB2312"/>
          <w:sz w:val="32"/>
          <w:lang w:eastAsia="zh-CN"/>
        </w:rPr>
      </w:pPr>
      <w:r>
        <w:rPr>
          <w:rFonts w:ascii="Times New Roman" w:hAnsi="Times New Roman" w:eastAsia="仿宋_GB2312"/>
          <w:sz w:val="32"/>
        </w:rPr>
        <w:t>本指导原则旨在为医疗器</w:t>
      </w:r>
      <w:bookmarkStart w:id="3" w:name="_GoBack"/>
      <w:bookmarkEnd w:id="3"/>
      <w:r>
        <w:rPr>
          <w:rFonts w:ascii="Times New Roman" w:hAnsi="Times New Roman" w:eastAsia="仿宋_GB2312"/>
          <w:sz w:val="32"/>
        </w:rPr>
        <w:t>械注册申请人进行</w:t>
      </w:r>
      <w:r>
        <w:rPr>
          <w:rFonts w:hint="eastAsia" w:ascii="Times New Roman" w:hAnsi="Times New Roman" w:eastAsia="仿宋_GB2312"/>
          <w:sz w:val="32"/>
          <w:lang w:eastAsia="zh-CN"/>
        </w:rPr>
        <w:t>髓过氧化物酶</w:t>
      </w:r>
      <w:r>
        <w:rPr>
          <w:rFonts w:ascii="Times New Roman" w:hAnsi="Times New Roman" w:eastAsia="仿宋_GB2312"/>
          <w:sz w:val="32"/>
        </w:rPr>
        <w:t>检测试剂的注册申报提供技术指导，同时也为医疗器械</w:t>
      </w:r>
      <w:r>
        <w:rPr>
          <w:rFonts w:hint="eastAsia" w:ascii="Times New Roman" w:hAnsi="Times New Roman" w:eastAsia="仿宋_GB2312"/>
          <w:sz w:val="32"/>
          <w:lang w:eastAsia="zh-CN"/>
        </w:rPr>
        <w:t>技术审评</w:t>
      </w:r>
      <w:r>
        <w:rPr>
          <w:rFonts w:ascii="Times New Roman" w:hAnsi="Times New Roman" w:eastAsia="仿宋_GB2312"/>
          <w:sz w:val="32"/>
        </w:rPr>
        <w:t>部门对注册申报资料的审评提供技术参考。</w:t>
      </w:r>
    </w:p>
    <w:p>
      <w:pPr>
        <w:spacing w:line="520" w:lineRule="exact"/>
        <w:ind w:firstLine="640" w:firstLineChars="200"/>
        <w:rPr>
          <w:rFonts w:ascii="Times New Roman" w:hAnsi="Times New Roman" w:eastAsia="仿宋_GB2312"/>
          <w:sz w:val="32"/>
        </w:rPr>
      </w:pPr>
      <w:r>
        <w:rPr>
          <w:rFonts w:ascii="Times New Roman" w:hAnsi="Times New Roman" w:eastAsia="仿宋_GB2312"/>
          <w:sz w:val="32"/>
        </w:rPr>
        <w:t>本指导原则是对该类试剂注册申报资料的一般要求，申请人应依据产品的具体特性确定其中内容是否适用，若不适用，需具体阐述理由及相应的科学依据，并依据产品的具体特性对注册申报资料的内容进行充实和细化。如注册申请人认为有必要增加本指导原则不包含的研究内容，可自行补充。</w:t>
      </w:r>
    </w:p>
    <w:p>
      <w:pPr>
        <w:spacing w:line="520" w:lineRule="exact"/>
        <w:ind w:firstLine="640" w:firstLineChars="200"/>
        <w:rPr>
          <w:rFonts w:ascii="Times New Roman" w:hAnsi="Times New Roman" w:eastAsia="仿宋_GB2312"/>
          <w:sz w:val="32"/>
        </w:rPr>
      </w:pPr>
      <w:r>
        <w:rPr>
          <w:rFonts w:ascii="Times New Roman" w:hAnsi="Times New Roman" w:eastAsia="仿宋_GB2312"/>
          <w:sz w:val="32"/>
        </w:rPr>
        <w:t>本指导原则是供注册申请人和技术审评人员使用的指导性文件，但不包括注册审批所涉及的行政事项，亦不作为法规强制执行，如果有能够满足相关法规要求的其他方法，也可以采用，但需要提供详细的研究资料和验证资料。</w:t>
      </w:r>
      <w:r>
        <w:rPr>
          <w:rFonts w:ascii="Times New Roman" w:hAnsi="Times New Roman" w:eastAsia="仿宋_GB2312"/>
          <w:sz w:val="32"/>
          <w:szCs w:val="32"/>
        </w:rPr>
        <w:t>需在遵循相关法规和强制性标准的前提下使用本指导原则。</w:t>
      </w:r>
    </w:p>
    <w:p>
      <w:pPr>
        <w:spacing w:line="520" w:lineRule="exact"/>
        <w:ind w:firstLine="640" w:firstLineChars="200"/>
        <w:rPr>
          <w:rFonts w:hint="eastAsia" w:ascii="Times New Roman" w:hAnsi="Times New Roman" w:eastAsia="仿宋_GB2312"/>
          <w:sz w:val="32"/>
          <w:lang w:val="en-US" w:eastAsia="zh-CN"/>
        </w:rPr>
      </w:pPr>
      <w:r>
        <w:rPr>
          <w:rFonts w:ascii="Times New Roman" w:hAnsi="Times New Roman" w:eastAsia="仿宋_GB2312"/>
          <w:sz w:val="32"/>
        </w:rPr>
        <w:t>本指导原则是在现行法规、标准体系以及当前认知水平下制定的，随着法规、标准的不断完善和科学技术的不断发展，本指导原则相关内容也将适时进行调整。</w:t>
      </w:r>
    </w:p>
    <w:p>
      <w:pPr>
        <w:tabs>
          <w:tab w:val="left" w:pos="6720"/>
        </w:tabs>
        <w:snapToGrid w:val="0"/>
        <w:spacing w:line="520" w:lineRule="exact"/>
        <w:ind w:firstLine="640" w:firstLineChars="200"/>
        <w:outlineLvl w:val="0"/>
        <w:rPr>
          <w:rFonts w:ascii="Times New Roman" w:hAnsi="Times New Roman" w:eastAsia="仿宋_GB2312"/>
          <w:kern w:val="0"/>
          <w:sz w:val="32"/>
          <w:szCs w:val="32"/>
        </w:rPr>
      </w:pPr>
      <w:bookmarkStart w:id="0" w:name="_Toc356315071"/>
      <w:bookmarkStart w:id="1" w:name="_Toc356314744"/>
      <w:bookmarkStart w:id="2" w:name="_Toc356316158"/>
      <w:r>
        <w:rPr>
          <w:rFonts w:ascii="Times New Roman" w:hAnsi="Times New Roman" w:eastAsia="黑体"/>
          <w:sz w:val="32"/>
          <w:szCs w:val="30"/>
        </w:rPr>
        <w:t>一、适用范围</w:t>
      </w:r>
      <w:bookmarkEnd w:id="0"/>
      <w:bookmarkEnd w:id="1"/>
      <w:bookmarkEnd w:id="2"/>
    </w:p>
    <w:p>
      <w:pPr>
        <w:spacing w:line="520" w:lineRule="exact"/>
        <w:ind w:firstLine="640" w:firstLineChars="200"/>
        <w:rPr>
          <w:rFonts w:ascii="Times New Roman" w:hAnsi="Times New Roman" w:eastAsia="仿宋_GB2312"/>
          <w:sz w:val="32"/>
        </w:rPr>
      </w:pPr>
      <w:r>
        <w:rPr>
          <w:rFonts w:hint="eastAsia" w:ascii="Times New Roman" w:hAnsi="Times New Roman" w:eastAsia="仿宋_GB2312"/>
          <w:sz w:val="32"/>
          <w:lang w:eastAsia="zh-CN"/>
        </w:rPr>
        <w:t>髓过氧化物酶</w:t>
      </w:r>
      <w:r>
        <w:rPr>
          <w:rFonts w:ascii="Times New Roman" w:hAnsi="Times New Roman" w:eastAsia="仿宋_GB2312"/>
          <w:sz w:val="32"/>
        </w:rPr>
        <w:t>检测试剂是指用于体外定量测定人体血液样本（血清、血</w:t>
      </w:r>
      <w:r>
        <w:rPr>
          <w:rFonts w:hint="eastAsia" w:ascii="Times New Roman" w:hAnsi="Times New Roman" w:eastAsia="仿宋_GB2312"/>
          <w:sz w:val="32"/>
          <w:lang w:eastAsia="zh-CN"/>
        </w:rPr>
        <w:t>浆、全血）中髓过氧化物酶</w:t>
      </w:r>
      <w:r>
        <w:rPr>
          <w:rFonts w:hint="eastAsia" w:ascii="Times New Roman" w:hAnsi="Times New Roman" w:eastAsia="仿宋_GB2312"/>
          <w:sz w:val="32"/>
          <w:lang w:val="en-US" w:eastAsia="zh-CN"/>
        </w:rPr>
        <w:t>活性或含量</w:t>
      </w:r>
      <w:r>
        <w:rPr>
          <w:rFonts w:ascii="Times New Roman" w:hAnsi="Times New Roman" w:eastAsia="仿宋_GB2312"/>
          <w:sz w:val="32"/>
        </w:rPr>
        <w:t>的试剂。</w:t>
      </w:r>
    </w:p>
    <w:p>
      <w:pPr>
        <w:spacing w:line="520" w:lineRule="exact"/>
        <w:ind w:firstLine="640" w:firstLineChars="200"/>
        <w:rPr>
          <w:rFonts w:ascii="Times New Roman" w:hAnsi="Times New Roman" w:eastAsia="仿宋_GB2312"/>
          <w:sz w:val="32"/>
          <w:szCs w:val="28"/>
          <w:highlight w:val="none"/>
        </w:rPr>
      </w:pPr>
      <w:r>
        <w:rPr>
          <w:rFonts w:ascii="Times New Roman" w:hAnsi="Times New Roman" w:eastAsia="仿宋_GB2312"/>
          <w:sz w:val="32"/>
        </w:rPr>
        <w:t>本</w:t>
      </w:r>
      <w:r>
        <w:rPr>
          <w:rFonts w:hint="eastAsia" w:ascii="Times New Roman" w:hAnsi="Times New Roman" w:eastAsia="仿宋_GB2312"/>
          <w:sz w:val="32"/>
          <w:lang w:eastAsia="zh-CN"/>
        </w:rPr>
        <w:t>指导原则</w:t>
      </w:r>
      <w:r>
        <w:rPr>
          <w:rFonts w:ascii="Times New Roman" w:hAnsi="Times New Roman" w:eastAsia="仿宋_GB2312"/>
          <w:sz w:val="32"/>
        </w:rPr>
        <w:t>适用于以</w:t>
      </w:r>
      <w:r>
        <w:rPr>
          <w:rFonts w:hint="eastAsia" w:ascii="Times New Roman" w:hAnsi="Times New Roman" w:eastAsia="仿宋_GB2312"/>
          <w:sz w:val="32"/>
          <w:lang w:eastAsia="zh-CN"/>
        </w:rPr>
        <w:t>免疫比浊</w:t>
      </w:r>
      <w:r>
        <w:rPr>
          <w:rFonts w:hint="eastAsia" w:ascii="Times New Roman" w:hAnsi="Times New Roman" w:eastAsia="仿宋_GB2312"/>
          <w:sz w:val="32"/>
          <w:lang w:val="en-US" w:eastAsia="zh-CN"/>
        </w:rPr>
        <w:t>法、免疫层析法、化学发光法等</w:t>
      </w:r>
      <w:r>
        <w:rPr>
          <w:rFonts w:ascii="Times New Roman" w:hAnsi="Times New Roman" w:eastAsia="仿宋_GB2312"/>
          <w:sz w:val="32"/>
        </w:rPr>
        <w:t>对</w:t>
      </w:r>
      <w:r>
        <w:rPr>
          <w:rFonts w:hint="eastAsia" w:ascii="Times New Roman" w:hAnsi="Times New Roman" w:eastAsia="仿宋_GB2312"/>
          <w:sz w:val="32"/>
          <w:lang w:eastAsia="zh-CN"/>
        </w:rPr>
        <w:t>髓过氧化物酶</w:t>
      </w:r>
      <w:r>
        <w:rPr>
          <w:rFonts w:ascii="Times New Roman" w:hAnsi="Times New Roman" w:eastAsia="仿宋_GB2312"/>
          <w:sz w:val="32"/>
        </w:rPr>
        <w:t>进行定量测定的体外诊断试剂。</w:t>
      </w:r>
      <w:r>
        <w:rPr>
          <w:rFonts w:ascii="Times New Roman" w:hAnsi="Times New Roman" w:eastAsia="仿宋_GB2312"/>
          <w:sz w:val="32"/>
          <w:szCs w:val="32"/>
        </w:rPr>
        <w:t>不包括用于单独销售的校准品和质控品。</w:t>
      </w:r>
      <w:r>
        <w:rPr>
          <w:rFonts w:ascii="Times New Roman" w:hAnsi="Times New Roman" w:eastAsia="仿宋_GB2312"/>
          <w:sz w:val="32"/>
          <w:szCs w:val="24"/>
          <w:highlight w:val="none"/>
        </w:rPr>
        <w:t>其他方法学的</w:t>
      </w:r>
      <w:r>
        <w:rPr>
          <w:rFonts w:hint="eastAsia" w:ascii="Times New Roman" w:hAnsi="Times New Roman" w:eastAsia="仿宋_GB2312"/>
          <w:kern w:val="0"/>
          <w:sz w:val="32"/>
          <w:szCs w:val="32"/>
          <w:highlight w:val="none"/>
          <w:lang w:eastAsia="zh-CN"/>
        </w:rPr>
        <w:t>髓过氧化物酶</w:t>
      </w:r>
      <w:r>
        <w:rPr>
          <w:rFonts w:ascii="Times New Roman" w:hAnsi="Times New Roman" w:eastAsia="仿宋_GB2312"/>
          <w:kern w:val="0"/>
          <w:sz w:val="32"/>
          <w:szCs w:val="32"/>
          <w:highlight w:val="none"/>
        </w:rPr>
        <w:t>检测试剂</w:t>
      </w:r>
      <w:r>
        <w:rPr>
          <w:rFonts w:ascii="Times New Roman" w:hAnsi="Times New Roman" w:eastAsia="仿宋_GB2312"/>
          <w:sz w:val="32"/>
          <w:szCs w:val="24"/>
          <w:highlight w:val="none"/>
        </w:rPr>
        <w:t>注册可参考本</w:t>
      </w:r>
      <w:r>
        <w:rPr>
          <w:rFonts w:hint="eastAsia" w:ascii="Times New Roman" w:hAnsi="Times New Roman" w:eastAsia="仿宋_GB2312"/>
          <w:sz w:val="32"/>
          <w:szCs w:val="24"/>
          <w:highlight w:val="none"/>
          <w:lang w:eastAsia="zh-CN"/>
        </w:rPr>
        <w:t>指导原则</w:t>
      </w:r>
      <w:r>
        <w:rPr>
          <w:rFonts w:ascii="Times New Roman" w:hAnsi="Times New Roman" w:eastAsia="仿宋_GB2312"/>
          <w:sz w:val="32"/>
          <w:szCs w:val="24"/>
          <w:highlight w:val="none"/>
        </w:rPr>
        <w:t>，但应根据产品的具体特性确定其中内容是否适用。</w:t>
      </w:r>
    </w:p>
    <w:p>
      <w:pPr>
        <w:numPr>
          <w:ilvl w:val="0"/>
          <w:numId w:val="1"/>
        </w:numPr>
        <w:tabs>
          <w:tab w:val="left" w:pos="6720"/>
        </w:tabs>
        <w:spacing w:line="520" w:lineRule="exact"/>
        <w:ind w:firstLine="640"/>
        <w:outlineLvl w:val="0"/>
        <w:rPr>
          <w:rFonts w:ascii="Times New Roman" w:hAnsi="Times New Roman" w:eastAsia="黑体"/>
          <w:sz w:val="32"/>
          <w:szCs w:val="30"/>
        </w:rPr>
      </w:pPr>
      <w:r>
        <w:rPr>
          <w:rFonts w:ascii="Times New Roman" w:hAnsi="Times New Roman" w:eastAsia="黑体"/>
          <w:sz w:val="32"/>
          <w:szCs w:val="30"/>
        </w:rPr>
        <w:t>注册</w:t>
      </w:r>
      <w:r>
        <w:rPr>
          <w:rFonts w:hint="eastAsia" w:ascii="Times New Roman" w:hAnsi="Times New Roman" w:eastAsia="黑体"/>
          <w:sz w:val="32"/>
          <w:szCs w:val="30"/>
          <w:lang w:eastAsia="zh-CN"/>
        </w:rPr>
        <w:t>审查要点</w:t>
      </w:r>
    </w:p>
    <w:p>
      <w:pPr>
        <w:tabs>
          <w:tab w:val="left" w:pos="6720"/>
        </w:tabs>
        <w:spacing w:line="520" w:lineRule="exact"/>
        <w:ind w:firstLine="640" w:firstLineChars="200"/>
        <w:outlineLvl w:val="0"/>
        <w:rPr>
          <w:rFonts w:ascii="Times New Roman" w:hAnsi="Times New Roman" w:eastAsia="楷体_GB2312"/>
          <w:color w:val="000000"/>
          <w:sz w:val="32"/>
          <w:szCs w:val="32"/>
        </w:rPr>
      </w:pPr>
      <w:r>
        <w:rPr>
          <w:rFonts w:ascii="Times New Roman" w:hAnsi="Times New Roman" w:eastAsia="楷体_GB2312"/>
          <w:color w:val="000000"/>
          <w:sz w:val="32"/>
          <w:szCs w:val="32"/>
        </w:rPr>
        <w:t>（一）监管信息</w:t>
      </w:r>
    </w:p>
    <w:p>
      <w:pPr>
        <w:overflowPunct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1.产品名称</w:t>
      </w:r>
    </w:p>
    <w:p>
      <w:pPr>
        <w:overflowPunct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产品名称一般由三部分组成。第一部分：被测物名称</w:t>
      </w:r>
      <w:r>
        <w:rPr>
          <w:rFonts w:hint="eastAsia" w:ascii="Times New Roman" w:hAnsi="Times New Roman" w:eastAsia="仿宋_GB2312"/>
          <w:sz w:val="32"/>
          <w:szCs w:val="32"/>
          <w:lang w:val="en-US" w:eastAsia="zh-CN"/>
        </w:rPr>
        <w:t>为髓过氧化物酶</w:t>
      </w:r>
      <w:r>
        <w:rPr>
          <w:rFonts w:ascii="Times New Roman" w:hAnsi="Times New Roman" w:eastAsia="仿宋_GB2312"/>
          <w:sz w:val="32"/>
          <w:szCs w:val="32"/>
        </w:rPr>
        <w:t>；第二部分：用途，如测定试剂</w:t>
      </w:r>
      <w:r>
        <w:rPr>
          <w:rFonts w:hint="eastAsia" w:ascii="Times New Roman" w:hAnsi="Times New Roman" w:eastAsia="仿宋_GB2312"/>
          <w:sz w:val="32"/>
          <w:szCs w:val="32"/>
          <w:lang w:val="en-US" w:eastAsia="zh-CN"/>
        </w:rPr>
        <w:t>或检测试剂</w:t>
      </w:r>
      <w:r>
        <w:rPr>
          <w:rFonts w:ascii="Times New Roman" w:hAnsi="Times New Roman" w:eastAsia="仿宋_GB2312"/>
          <w:sz w:val="32"/>
          <w:szCs w:val="32"/>
        </w:rPr>
        <w:t>；第三部分：方法或者原理，如</w:t>
      </w:r>
      <w:r>
        <w:rPr>
          <w:rFonts w:hint="eastAsia" w:ascii="Times New Roman" w:hAnsi="Times New Roman" w:eastAsia="仿宋_GB2312"/>
          <w:sz w:val="32"/>
          <w:szCs w:val="32"/>
          <w:lang w:val="en-US" w:eastAsia="zh-CN"/>
        </w:rPr>
        <w:t>免疫比浊法、</w:t>
      </w:r>
      <w:r>
        <w:rPr>
          <w:rFonts w:hint="eastAsia" w:eastAsia="仿宋_GB2312"/>
          <w:sz w:val="32"/>
          <w:szCs w:val="32"/>
        </w:rPr>
        <w:t>化学发光</w:t>
      </w:r>
      <w:r>
        <w:rPr>
          <w:rFonts w:hint="eastAsia" w:eastAsia="仿宋_GB2312"/>
          <w:sz w:val="32"/>
          <w:szCs w:val="32"/>
          <w:lang w:val="en-US" w:eastAsia="zh-CN"/>
        </w:rPr>
        <w:t>法、荧光</w:t>
      </w:r>
      <w:r>
        <w:rPr>
          <w:rFonts w:hint="eastAsia" w:eastAsia="仿宋_GB2312"/>
          <w:sz w:val="32"/>
          <w:szCs w:val="32"/>
        </w:rPr>
        <w:t>免疫</w:t>
      </w:r>
      <w:r>
        <w:rPr>
          <w:rFonts w:hint="eastAsia" w:eastAsia="仿宋_GB2312"/>
          <w:sz w:val="32"/>
          <w:szCs w:val="32"/>
          <w:lang w:val="en-US" w:eastAsia="zh-CN"/>
        </w:rPr>
        <w:t>层析</w:t>
      </w:r>
      <w:r>
        <w:rPr>
          <w:rFonts w:hint="eastAsia" w:eastAsia="仿宋_GB2312"/>
          <w:sz w:val="32"/>
          <w:szCs w:val="32"/>
        </w:rPr>
        <w:t>法等，本部分应当在括号中列出。</w:t>
      </w:r>
    </w:p>
    <w:p>
      <w:pPr>
        <w:overflowPunct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2.分类依据</w:t>
      </w:r>
    </w:p>
    <w:p>
      <w:pPr>
        <w:spacing w:line="520" w:lineRule="exact"/>
        <w:ind w:firstLine="640" w:firstLineChars="200"/>
        <w:rPr>
          <w:rFonts w:hint="eastAsia" w:ascii="Times New Roman" w:hAnsi="Times New Roman" w:eastAsia="仿宋_GB2312"/>
          <w:color w:val="0000FF"/>
          <w:sz w:val="32"/>
          <w:szCs w:val="24"/>
          <w:highlight w:val="yellow"/>
          <w:lang w:val="en-US" w:eastAsia="zh-CN"/>
        </w:rPr>
      </w:pPr>
      <w:r>
        <w:rPr>
          <w:rFonts w:hint="eastAsia" w:ascii="Times New Roman" w:hAnsi="Times New Roman" w:eastAsia="仿宋_GB2312"/>
          <w:sz w:val="32"/>
          <w:szCs w:val="32"/>
          <w:lang w:val="en-US" w:eastAsia="zh-CN"/>
        </w:rPr>
        <w:t>根据</w:t>
      </w:r>
      <w:r>
        <w:rPr>
          <w:rFonts w:ascii="Times New Roman" w:hAnsi="Times New Roman" w:eastAsia="仿宋_GB2312"/>
          <w:sz w:val="32"/>
          <w:szCs w:val="32"/>
        </w:rPr>
        <w:t>《</w:t>
      </w:r>
      <w:r>
        <w:rPr>
          <w:rFonts w:ascii="Times New Roman" w:hAnsi="Times New Roman" w:eastAsia="仿宋_GB2312"/>
          <w:sz w:val="32"/>
          <w:szCs w:val="32"/>
          <w:lang w:val="en"/>
        </w:rPr>
        <w:t>体外诊断试剂分类规则》</w:t>
      </w:r>
      <w:r>
        <w:rPr>
          <w:rFonts w:hint="default" w:ascii="Times New Roman" w:hAnsi="Times New Roman" w:eastAsia="仿宋_GB2312"/>
          <w:sz w:val="32"/>
          <w:szCs w:val="32"/>
          <w:lang w:val="en"/>
        </w:rPr>
        <w:t>和《体外诊断试剂分类目录》</w:t>
      </w:r>
      <w:r>
        <w:rPr>
          <w:rFonts w:ascii="Times New Roman" w:hAnsi="Times New Roman" w:eastAsia="仿宋_GB2312"/>
          <w:sz w:val="32"/>
          <w:szCs w:val="32"/>
          <w:lang w:val="en"/>
        </w:rPr>
        <w:t>，</w:t>
      </w:r>
      <w:r>
        <w:rPr>
          <w:rFonts w:ascii="Times New Roman" w:hAnsi="Times New Roman" w:eastAsia="仿宋_GB2312"/>
          <w:sz w:val="32"/>
          <w:szCs w:val="32"/>
        </w:rPr>
        <w:t>该产品按照第</w:t>
      </w:r>
      <w:r>
        <w:rPr>
          <w:rFonts w:hint="eastAsia" w:ascii="Times New Roman" w:hAnsi="Times New Roman" w:eastAsia="仿宋_GB2312"/>
          <w:sz w:val="32"/>
          <w:szCs w:val="32"/>
        </w:rPr>
        <w:t>二</w:t>
      </w:r>
      <w:r>
        <w:rPr>
          <w:rFonts w:ascii="Times New Roman" w:hAnsi="Times New Roman" w:eastAsia="仿宋_GB2312"/>
          <w:sz w:val="32"/>
          <w:szCs w:val="32"/>
        </w:rPr>
        <w:t>类体外诊断试剂管理，</w:t>
      </w:r>
      <w:r>
        <w:rPr>
          <w:rFonts w:hint="eastAsia" w:ascii="Times New Roman" w:hAnsi="Times New Roman" w:eastAsia="仿宋_GB2312"/>
          <w:sz w:val="32"/>
          <w:szCs w:val="32"/>
          <w:lang w:val="en-US" w:eastAsia="zh-CN"/>
        </w:rPr>
        <w:t>一级序号11，用于酶类检测试剂，二级序号11035</w:t>
      </w:r>
      <w:r>
        <w:rPr>
          <w:rFonts w:hint="eastAsia" w:ascii="Times New Roman" w:hAnsi="Times New Roman" w:eastAsia="仿宋_GB2312"/>
          <w:sz w:val="32"/>
          <w:szCs w:val="32"/>
        </w:rPr>
        <w:t>，</w:t>
      </w:r>
      <w:r>
        <w:rPr>
          <w:rFonts w:ascii="Times New Roman" w:hAnsi="Times New Roman" w:eastAsia="仿宋_GB2312"/>
          <w:sz w:val="32"/>
          <w:szCs w:val="32"/>
        </w:rPr>
        <w:t>分类编码为6840。</w:t>
      </w:r>
    </w:p>
    <w:p>
      <w:pPr>
        <w:tabs>
          <w:tab w:val="left" w:pos="6720"/>
        </w:tabs>
        <w:spacing w:line="520" w:lineRule="exact"/>
        <w:ind w:firstLine="640" w:firstLineChars="200"/>
        <w:outlineLvl w:val="0"/>
        <w:rPr>
          <w:rFonts w:ascii="Times New Roman" w:hAnsi="Times New Roman" w:eastAsia="楷体_GB2312"/>
          <w:sz w:val="32"/>
          <w:szCs w:val="28"/>
        </w:rPr>
      </w:pPr>
      <w:r>
        <w:rPr>
          <w:rFonts w:ascii="Times New Roman" w:hAnsi="Times New Roman" w:eastAsia="楷体_GB2312"/>
          <w:color w:val="000000"/>
          <w:sz w:val="32"/>
          <w:szCs w:val="32"/>
        </w:rPr>
        <w:t>（二）</w:t>
      </w:r>
      <w:r>
        <w:rPr>
          <w:rFonts w:ascii="Times New Roman" w:hAnsi="Times New Roman" w:eastAsia="楷体_GB2312"/>
          <w:sz w:val="32"/>
          <w:szCs w:val="28"/>
        </w:rPr>
        <w:t>综述资料</w:t>
      </w:r>
    </w:p>
    <w:p>
      <w:pPr>
        <w:spacing w:line="520" w:lineRule="exact"/>
        <w:ind w:firstLine="640" w:firstLineChars="200"/>
        <w:rPr>
          <w:rFonts w:hint="eastAsia" w:ascii="Times New Roman" w:hAnsi="Times New Roman" w:eastAsia="仿宋_GB2312"/>
          <w:sz w:val="32"/>
          <w:szCs w:val="32"/>
        </w:rPr>
      </w:pPr>
      <w:r>
        <w:rPr>
          <w:rFonts w:ascii="Times New Roman" w:hAnsi="Times New Roman" w:eastAsia="仿宋_GB2312"/>
          <w:sz w:val="32"/>
          <w:szCs w:val="32"/>
        </w:rPr>
        <w:t>综述资料主要包括</w:t>
      </w:r>
      <w:r>
        <w:rPr>
          <w:rFonts w:hint="eastAsia" w:ascii="Times New Roman" w:hAnsi="Times New Roman" w:eastAsia="仿宋_GB2312"/>
          <w:sz w:val="32"/>
          <w:szCs w:val="32"/>
        </w:rPr>
        <w:t>概述、产品描述、预期用途、申报产品上市历史、其他需说明的内容等。</w:t>
      </w:r>
    </w:p>
    <w:p>
      <w:pPr>
        <w:spacing w:line="520" w:lineRule="exact"/>
        <w:ind w:firstLine="640" w:firstLineChars="200"/>
        <w:rPr>
          <w:rFonts w:ascii="Times New Roman" w:hAnsi="Times New Roman" w:eastAsia="楷体_GB2312"/>
          <w:sz w:val="32"/>
          <w:szCs w:val="32"/>
        </w:rPr>
      </w:pPr>
      <w:r>
        <w:rPr>
          <w:rFonts w:ascii="Times New Roman" w:hAnsi="Times New Roman" w:eastAsia="仿宋_GB2312"/>
          <w:sz w:val="32"/>
          <w:szCs w:val="28"/>
        </w:rPr>
        <w:t>1.</w:t>
      </w:r>
      <w:r>
        <w:rPr>
          <w:rFonts w:ascii="Times New Roman" w:hAnsi="Times New Roman" w:eastAsia="仿宋_GB2312"/>
          <w:sz w:val="32"/>
          <w:szCs w:val="24"/>
        </w:rPr>
        <w:t>概述</w:t>
      </w:r>
    </w:p>
    <w:p>
      <w:pPr>
        <w:spacing w:line="520" w:lineRule="exact"/>
        <w:ind w:firstLine="640" w:firstLineChars="200"/>
        <w:rPr>
          <w:rFonts w:ascii="Times New Roman" w:hAnsi="Times New Roman" w:eastAsia="仿宋_GB2312"/>
          <w:sz w:val="32"/>
          <w:szCs w:val="24"/>
        </w:rPr>
      </w:pPr>
      <w:r>
        <w:rPr>
          <w:rFonts w:hint="eastAsia" w:eastAsia="仿宋_GB2312"/>
          <w:sz w:val="32"/>
          <w:szCs w:val="22"/>
          <w:lang w:eastAsia="zh-CN"/>
        </w:rPr>
        <w:t>应</w:t>
      </w:r>
      <w:r>
        <w:rPr>
          <w:rFonts w:ascii="Times New Roman" w:hAnsi="Times New Roman" w:eastAsia="仿宋_GB2312"/>
          <w:sz w:val="32"/>
          <w:szCs w:val="24"/>
        </w:rPr>
        <w:t>描述</w:t>
      </w:r>
      <w:r>
        <w:rPr>
          <w:rFonts w:hint="eastAsia" w:ascii="Times New Roman" w:hAnsi="Times New Roman" w:eastAsia="仿宋_GB2312"/>
          <w:kern w:val="0"/>
          <w:sz w:val="32"/>
          <w:szCs w:val="32"/>
          <w:lang w:eastAsia="zh-CN"/>
        </w:rPr>
        <w:t>髓过氧化物酶</w:t>
      </w:r>
      <w:r>
        <w:rPr>
          <w:rFonts w:ascii="Times New Roman" w:hAnsi="Times New Roman" w:eastAsia="仿宋_GB2312"/>
          <w:kern w:val="0"/>
          <w:sz w:val="32"/>
          <w:szCs w:val="32"/>
        </w:rPr>
        <w:t>检测试剂</w:t>
      </w:r>
      <w:r>
        <w:rPr>
          <w:rFonts w:hint="eastAsia" w:ascii="Times New Roman" w:hAnsi="Times New Roman" w:eastAsia="仿宋_GB2312"/>
          <w:kern w:val="0"/>
          <w:sz w:val="32"/>
          <w:szCs w:val="32"/>
          <w:lang w:val="en-US" w:eastAsia="zh-CN"/>
        </w:rPr>
        <w:t>通用</w:t>
      </w:r>
      <w:r>
        <w:rPr>
          <w:rFonts w:ascii="Times New Roman" w:hAnsi="Times New Roman" w:eastAsia="仿宋_GB2312"/>
          <w:sz w:val="32"/>
          <w:szCs w:val="24"/>
        </w:rPr>
        <w:t>名称及其确定依据；</w:t>
      </w:r>
      <w:r>
        <w:rPr>
          <w:rFonts w:hint="eastAsia" w:ascii="Times New Roman" w:hAnsi="Times New Roman" w:eastAsia="仿宋_GB2312"/>
          <w:sz w:val="32"/>
          <w:szCs w:val="24"/>
        </w:rPr>
        <w:t>根据《体外诊断试剂注册与备案管理办法》和《体外诊断试剂分类目录》，</w:t>
      </w:r>
      <w:r>
        <w:rPr>
          <w:rFonts w:hint="eastAsia" w:eastAsia="仿宋_GB2312"/>
          <w:sz w:val="32"/>
          <w:szCs w:val="22"/>
        </w:rPr>
        <w:t>该</w:t>
      </w:r>
      <w:r>
        <w:rPr>
          <w:rFonts w:hint="eastAsia" w:eastAsia="仿宋_GB2312"/>
          <w:kern w:val="0"/>
          <w:sz w:val="32"/>
          <w:szCs w:val="32"/>
        </w:rPr>
        <w:t>产品属于</w:t>
      </w:r>
      <w:r>
        <w:rPr>
          <w:rFonts w:ascii="Times New Roman" w:hAnsi="Times New Roman" w:eastAsia="仿宋_GB2312"/>
          <w:sz w:val="32"/>
          <w:szCs w:val="28"/>
        </w:rPr>
        <w:t>II-4</w:t>
      </w:r>
      <w:r>
        <w:rPr>
          <w:rFonts w:hint="eastAsia" w:eastAsia="仿宋_GB2312"/>
          <w:kern w:val="0"/>
          <w:sz w:val="32"/>
          <w:szCs w:val="32"/>
        </w:rPr>
        <w:t>用于酶类检测的试剂，管理类</w:t>
      </w:r>
      <w:r>
        <w:rPr>
          <w:rFonts w:hint="eastAsia" w:eastAsia="仿宋_GB2312"/>
          <w:sz w:val="32"/>
          <w:szCs w:val="22"/>
        </w:rPr>
        <w:t>别为第二类，分类编码为</w:t>
      </w:r>
      <w:r>
        <w:rPr>
          <w:rFonts w:hint="eastAsia" w:ascii="Times New Roman" w:hAnsi="Times New Roman" w:eastAsia="仿宋_GB2312"/>
          <w:sz w:val="32"/>
          <w:szCs w:val="32"/>
        </w:rPr>
        <w:t>6840</w:t>
      </w:r>
      <w:r>
        <w:rPr>
          <w:rFonts w:hint="eastAsia" w:eastAsia="仿宋_GB2312"/>
          <w:sz w:val="32"/>
          <w:szCs w:val="22"/>
        </w:rPr>
        <w:t>；</w:t>
      </w:r>
      <w:r>
        <w:rPr>
          <w:rFonts w:ascii="Times New Roman" w:hAnsi="Times New Roman" w:eastAsia="仿宋_GB2312"/>
          <w:sz w:val="32"/>
          <w:szCs w:val="24"/>
        </w:rPr>
        <w:t>描述申报产品预期用途；描述有关申报产品的背景信息概述或特别</w:t>
      </w:r>
      <w:r>
        <w:rPr>
          <w:rFonts w:ascii="Times New Roman" w:hAnsi="Times New Roman" w:eastAsia="仿宋_GB2312"/>
          <w:color w:val="0C0C0C"/>
          <w:sz w:val="32"/>
          <w:szCs w:val="24"/>
        </w:rPr>
        <w:t>细节（如适用），如申报产品的历</w:t>
      </w:r>
      <w:r>
        <w:rPr>
          <w:rFonts w:ascii="Times New Roman" w:hAnsi="Times New Roman" w:eastAsia="仿宋_GB2312"/>
          <w:sz w:val="32"/>
          <w:szCs w:val="24"/>
        </w:rPr>
        <w:t>史概述、历次提交的信息，与其他经批准上市产品的关系等。</w:t>
      </w:r>
    </w:p>
    <w:p>
      <w:pPr>
        <w:spacing w:line="520" w:lineRule="exact"/>
        <w:ind w:firstLine="640" w:firstLineChars="200"/>
        <w:rPr>
          <w:rFonts w:ascii="Times New Roman" w:hAnsi="Times New Roman" w:eastAsia="仿宋_GB2312"/>
          <w:sz w:val="32"/>
          <w:szCs w:val="24"/>
        </w:rPr>
      </w:pPr>
      <w:r>
        <w:rPr>
          <w:rFonts w:ascii="Times New Roman" w:hAnsi="Times New Roman" w:eastAsia="仿宋_GB2312"/>
          <w:sz w:val="32"/>
          <w:szCs w:val="28"/>
        </w:rPr>
        <w:t>2</w:t>
      </w:r>
      <w:r>
        <w:rPr>
          <w:rFonts w:ascii="Times New Roman" w:hAnsi="Times New Roman" w:eastAsia="仿宋_GB2312"/>
          <w:sz w:val="32"/>
          <w:szCs w:val="24"/>
        </w:rPr>
        <w:t>.产品描述</w:t>
      </w:r>
    </w:p>
    <w:p>
      <w:pPr>
        <w:spacing w:line="520" w:lineRule="exact"/>
        <w:ind w:firstLine="640" w:firstLineChars="200"/>
        <w:rPr>
          <w:rFonts w:ascii="Times New Roman" w:hAnsi="Times New Roman" w:eastAsia="仿宋_GB2312"/>
          <w:color w:val="auto"/>
          <w:sz w:val="32"/>
          <w:szCs w:val="24"/>
        </w:rPr>
      </w:pPr>
      <w:r>
        <w:rPr>
          <w:rFonts w:hint="eastAsia" w:ascii="Times New Roman" w:hAnsi="Times New Roman" w:eastAsia="仿宋_GB2312"/>
          <w:color w:val="auto"/>
          <w:sz w:val="32"/>
          <w:szCs w:val="24"/>
        </w:rPr>
        <w:t>应提供产品</w:t>
      </w:r>
      <w:r>
        <w:rPr>
          <w:rFonts w:ascii="Times New Roman" w:hAnsi="Times New Roman" w:eastAsia="仿宋_GB2312"/>
          <w:color w:val="auto"/>
          <w:sz w:val="32"/>
          <w:szCs w:val="24"/>
        </w:rPr>
        <w:t>所采用的技术原理，产品组成，原材料的来源及制备方法，主要生产工艺，检验方法，质控品的制备方法及赋值情况</w:t>
      </w:r>
      <w:r>
        <w:rPr>
          <w:rFonts w:hint="eastAsia" w:ascii="Times New Roman" w:hAnsi="Times New Roman" w:eastAsia="仿宋_GB2312"/>
          <w:color w:val="auto"/>
          <w:sz w:val="32"/>
          <w:szCs w:val="24"/>
          <w:lang w:eastAsia="zh-CN"/>
        </w:rPr>
        <w:t>（</w:t>
      </w:r>
      <w:r>
        <w:rPr>
          <w:rFonts w:hint="eastAsia" w:ascii="Times New Roman" w:hAnsi="Times New Roman" w:eastAsia="仿宋_GB2312"/>
          <w:color w:val="auto"/>
          <w:sz w:val="32"/>
          <w:szCs w:val="24"/>
          <w:lang w:val="en-US" w:eastAsia="zh-CN"/>
        </w:rPr>
        <w:t>如适用</w:t>
      </w:r>
      <w:r>
        <w:rPr>
          <w:rFonts w:hint="eastAsia" w:ascii="Times New Roman" w:hAnsi="Times New Roman" w:eastAsia="仿宋_GB2312"/>
          <w:color w:val="auto"/>
          <w:sz w:val="32"/>
          <w:szCs w:val="24"/>
          <w:lang w:eastAsia="zh-CN"/>
        </w:rPr>
        <w:t>）、</w:t>
      </w:r>
      <w:r>
        <w:rPr>
          <w:rFonts w:hint="eastAsia" w:eastAsia="仿宋_GB2312"/>
          <w:color w:val="auto"/>
          <w:sz w:val="32"/>
        </w:rPr>
        <w:t>校准品的制备方法及溯源情况（如适用）</w:t>
      </w:r>
      <w:r>
        <w:rPr>
          <w:rFonts w:ascii="Times New Roman" w:hAnsi="Times New Roman" w:eastAsia="仿宋_GB2312"/>
          <w:color w:val="auto"/>
          <w:sz w:val="32"/>
          <w:szCs w:val="24"/>
        </w:rPr>
        <w:t>。</w:t>
      </w:r>
      <w:r>
        <w:rPr>
          <w:rFonts w:hint="eastAsia" w:ascii="Times New Roman" w:hAnsi="Times New Roman" w:eastAsia="仿宋_GB2312"/>
          <w:color w:val="auto"/>
          <w:sz w:val="32"/>
          <w:szCs w:val="24"/>
          <w:lang w:val="en-US" w:eastAsia="zh-CN"/>
        </w:rPr>
        <w:t>应提供</w:t>
      </w:r>
      <w:r>
        <w:rPr>
          <w:rFonts w:ascii="Times New Roman" w:hAnsi="Times New Roman" w:eastAsia="仿宋_GB2312"/>
          <w:color w:val="auto"/>
          <w:sz w:val="32"/>
          <w:szCs w:val="24"/>
        </w:rPr>
        <w:t>产品主要研究结果的总结和评价，包括分析性能评估、参考区间、稳定性以及临床评价等。</w:t>
      </w:r>
      <w:r>
        <w:rPr>
          <w:rFonts w:hint="eastAsia" w:ascii="Times New Roman" w:hAnsi="Times New Roman" w:eastAsia="仿宋_GB2312"/>
          <w:color w:val="auto"/>
          <w:sz w:val="32"/>
          <w:szCs w:val="24"/>
          <w:lang w:val="en-US" w:eastAsia="zh-CN"/>
        </w:rPr>
        <w:t>提供</w:t>
      </w:r>
      <w:r>
        <w:rPr>
          <w:rFonts w:ascii="Times New Roman" w:hAnsi="Times New Roman" w:eastAsia="仿宋_GB2312"/>
          <w:color w:val="auto"/>
          <w:sz w:val="32"/>
          <w:szCs w:val="24"/>
        </w:rPr>
        <w:t>不同包装规格之间的差异。</w:t>
      </w:r>
      <w:r>
        <w:rPr>
          <w:rFonts w:hint="eastAsia" w:ascii="Times New Roman" w:hAnsi="Times New Roman" w:eastAsia="仿宋_GB2312"/>
          <w:color w:val="auto"/>
          <w:sz w:val="32"/>
          <w:szCs w:val="24"/>
          <w:lang w:val="en-US" w:eastAsia="zh-CN"/>
        </w:rPr>
        <w:t>提供</w:t>
      </w:r>
      <w:r>
        <w:rPr>
          <w:rFonts w:ascii="Times New Roman" w:hAnsi="Times New Roman" w:eastAsia="仿宋_GB2312"/>
          <w:color w:val="auto"/>
          <w:sz w:val="32"/>
          <w:szCs w:val="24"/>
        </w:rPr>
        <w:t>产品中使用的生物材料或衍生物（如适用），包括生物学来源（如人、动物、病原体、重组或发酵产物）和组织来源（如血液）的描述。</w:t>
      </w:r>
      <w:r>
        <w:rPr>
          <w:rFonts w:eastAsia="仿宋_GB2312"/>
          <w:color w:val="000000"/>
          <w:sz w:val="32"/>
          <w:szCs w:val="32"/>
        </w:rPr>
        <w:t>人源性材料须对有关传染病</w:t>
      </w:r>
      <w:r>
        <w:rPr>
          <w:rFonts w:ascii="Times New Roman" w:hAnsi="Times New Roman" w:eastAsia="仿宋_GB2312"/>
          <w:sz w:val="32"/>
          <w:szCs w:val="28"/>
        </w:rPr>
        <w:t>（HIV、HBV、HCV等）</w:t>
      </w:r>
      <w:r>
        <w:rPr>
          <w:rFonts w:eastAsia="仿宋_GB2312"/>
          <w:color w:val="000000"/>
          <w:sz w:val="32"/>
          <w:szCs w:val="32"/>
        </w:rPr>
        <w:t>病原体检测予以说明；</w:t>
      </w:r>
      <w:r>
        <w:rPr>
          <w:rFonts w:ascii="Times New Roman" w:hAnsi="Times New Roman" w:eastAsia="仿宋_GB2312"/>
          <w:color w:val="auto"/>
          <w:sz w:val="32"/>
          <w:szCs w:val="24"/>
        </w:rPr>
        <w:t>其他动物源及微生物来源的材料，应当说明其在产品运输、使用过程中对使用者和环境是安全的，并提供相关的文件。</w:t>
      </w:r>
    </w:p>
    <w:p>
      <w:pPr>
        <w:spacing w:line="520" w:lineRule="exact"/>
        <w:ind w:firstLine="640" w:firstLineChars="200"/>
        <w:rPr>
          <w:rFonts w:ascii="Times New Roman" w:hAnsi="Times New Roman" w:eastAsia="仿宋_GB2312"/>
          <w:sz w:val="32"/>
          <w:szCs w:val="24"/>
          <w:highlight w:val="none"/>
        </w:rPr>
      </w:pPr>
      <w:r>
        <w:rPr>
          <w:rFonts w:ascii="Times New Roman" w:hAnsi="Times New Roman" w:eastAsia="仿宋_GB2312"/>
          <w:sz w:val="32"/>
          <w:szCs w:val="24"/>
          <w:highlight w:val="none"/>
        </w:rPr>
        <w:t>3.预期用途</w:t>
      </w:r>
    </w:p>
    <w:p>
      <w:pPr>
        <w:spacing w:line="520" w:lineRule="exact"/>
        <w:ind w:firstLine="640" w:firstLineChars="200"/>
        <w:rPr>
          <w:rFonts w:ascii="Times New Roman" w:hAnsi="Times New Roman" w:eastAsia="仿宋_GB2312"/>
          <w:spacing w:val="-1"/>
          <w:sz w:val="32"/>
          <w:szCs w:val="32"/>
        </w:rPr>
      </w:pPr>
      <w:r>
        <w:rPr>
          <w:rFonts w:hint="eastAsia" w:ascii="Times New Roman" w:hAnsi="Times New Roman" w:eastAsia="仿宋_GB2312"/>
          <w:sz w:val="32"/>
          <w:szCs w:val="24"/>
          <w:highlight w:val="none"/>
        </w:rPr>
        <w:t>用于体外定量测定人体样本中髓过氧化物酶（MPO）</w:t>
      </w:r>
      <w:r>
        <w:rPr>
          <w:rFonts w:hint="eastAsia" w:ascii="Times New Roman" w:hAnsi="Times New Roman" w:eastAsia="仿宋_GB2312"/>
          <w:sz w:val="32"/>
          <w:szCs w:val="24"/>
          <w:highlight w:val="none"/>
          <w:lang w:val="en-US" w:eastAsia="zh-CN"/>
        </w:rPr>
        <w:t>的活性或</w:t>
      </w:r>
      <w:r>
        <w:rPr>
          <w:rFonts w:hint="eastAsia" w:ascii="Times New Roman" w:hAnsi="Times New Roman" w:eastAsia="仿宋_GB2312"/>
          <w:sz w:val="32"/>
          <w:szCs w:val="24"/>
          <w:highlight w:val="none"/>
        </w:rPr>
        <w:t>含量，应明确具体的样本类型如血清、血浆</w:t>
      </w:r>
      <w:r>
        <w:rPr>
          <w:rFonts w:hint="eastAsia" w:ascii="Times New Roman" w:hAnsi="Times New Roman" w:eastAsia="仿宋_GB2312"/>
          <w:sz w:val="32"/>
          <w:szCs w:val="24"/>
          <w:highlight w:val="none"/>
          <w:lang w:eastAsia="zh-CN"/>
        </w:rPr>
        <w:t>、全血</w:t>
      </w:r>
      <w:r>
        <w:rPr>
          <w:rFonts w:hint="eastAsia" w:ascii="Times New Roman" w:hAnsi="Times New Roman" w:eastAsia="仿宋_GB2312"/>
          <w:sz w:val="32"/>
          <w:szCs w:val="24"/>
          <w:highlight w:val="none"/>
        </w:rPr>
        <w:t>等</w:t>
      </w:r>
      <w:r>
        <w:rPr>
          <w:rFonts w:hint="eastAsia" w:ascii="Times New Roman" w:hAnsi="Times New Roman" w:eastAsia="仿宋_GB2312"/>
          <w:sz w:val="32"/>
          <w:szCs w:val="24"/>
          <w:highlight w:val="none"/>
          <w:lang w:eastAsia="zh-CN"/>
        </w:rPr>
        <w:t>，</w:t>
      </w:r>
      <w:r>
        <w:rPr>
          <w:rFonts w:ascii="Times New Roman" w:hAnsi="Times New Roman" w:eastAsia="仿宋_GB2312"/>
          <w:kern w:val="0"/>
          <w:sz w:val="32"/>
          <w:szCs w:val="32"/>
        </w:rPr>
        <w:t>明确适用仪器及使用方法（</w:t>
      </w:r>
      <w:r>
        <w:rPr>
          <w:rFonts w:ascii="Times New Roman" w:hAnsi="Times New Roman" w:eastAsia="仿宋_GB2312"/>
          <w:sz w:val="32"/>
          <w:szCs w:val="32"/>
        </w:rPr>
        <w:t>自动/半自动</w:t>
      </w:r>
      <w:r>
        <w:rPr>
          <w:rFonts w:ascii="Times New Roman" w:hAnsi="Times New Roman" w:eastAsia="仿宋_GB2312"/>
          <w:kern w:val="0"/>
          <w:sz w:val="32"/>
          <w:szCs w:val="32"/>
        </w:rPr>
        <w:t>），样本采集</w:t>
      </w:r>
      <w:r>
        <w:rPr>
          <w:rFonts w:ascii="Times New Roman" w:hAnsi="Times New Roman" w:eastAsia="仿宋_GB2312"/>
          <w:sz w:val="32"/>
          <w:szCs w:val="32"/>
        </w:rPr>
        <w:t>及保存装置和/或添加剂</w:t>
      </w:r>
      <w:r>
        <w:rPr>
          <w:rFonts w:hint="eastAsia" w:ascii="Times New Roman" w:hAnsi="Times New Roman" w:eastAsia="仿宋_GB2312"/>
          <w:spacing w:val="-1"/>
          <w:sz w:val="32"/>
          <w:szCs w:val="32"/>
        </w:rPr>
        <w:t>（如</w:t>
      </w:r>
      <w:r>
        <w:rPr>
          <w:rFonts w:ascii="Times New Roman" w:hAnsi="Times New Roman" w:eastAsia="仿宋_GB2312"/>
          <w:spacing w:val="-1"/>
          <w:sz w:val="32"/>
          <w:szCs w:val="32"/>
        </w:rPr>
        <w:t>抗凝剂</w:t>
      </w:r>
      <w:r>
        <w:rPr>
          <w:rFonts w:hint="eastAsia" w:ascii="Times New Roman" w:hAnsi="Times New Roman" w:eastAsia="仿宋_GB2312"/>
          <w:spacing w:val="-1"/>
          <w:sz w:val="32"/>
          <w:szCs w:val="32"/>
        </w:rPr>
        <w:t>）</w:t>
      </w:r>
      <w:r>
        <w:rPr>
          <w:rFonts w:ascii="Times New Roman" w:hAnsi="Times New Roman" w:eastAsia="仿宋_GB2312"/>
          <w:spacing w:val="-1"/>
          <w:sz w:val="32"/>
          <w:szCs w:val="32"/>
        </w:rPr>
        <w:t>使用情况。</w:t>
      </w:r>
    </w:p>
    <w:p>
      <w:pPr>
        <w:spacing w:line="520" w:lineRule="exact"/>
        <w:ind w:firstLine="640" w:firstLineChars="200"/>
        <w:rPr>
          <w:rFonts w:ascii="Times New Roman" w:hAnsi="Times New Roman" w:eastAsia="仿宋_GB2312"/>
          <w:spacing w:val="-1"/>
          <w:sz w:val="32"/>
          <w:szCs w:val="32"/>
        </w:rPr>
      </w:pPr>
      <w:r>
        <w:rPr>
          <w:rFonts w:hint="eastAsia" w:ascii="Times New Roman" w:hAnsi="Times New Roman" w:eastAsia="仿宋_GB2312"/>
          <w:color w:val="auto"/>
          <w:sz w:val="32"/>
          <w:szCs w:val="24"/>
          <w:highlight w:val="none"/>
          <w:lang w:eastAsia="zh-CN"/>
        </w:rPr>
        <w:t>髓过氧化物酶测定试剂</w:t>
      </w:r>
      <w:r>
        <w:rPr>
          <w:rFonts w:hint="eastAsia" w:ascii="Times New Roman" w:hAnsi="Times New Roman" w:eastAsia="仿宋_GB2312"/>
          <w:color w:val="auto"/>
          <w:sz w:val="32"/>
          <w:szCs w:val="24"/>
          <w:highlight w:val="none"/>
        </w:rPr>
        <w:t>临床上</w:t>
      </w:r>
      <w:r>
        <w:rPr>
          <w:rFonts w:hint="eastAsia" w:ascii="Times New Roman" w:hAnsi="Times New Roman" w:eastAsia="仿宋_GB2312"/>
          <w:color w:val="auto"/>
          <w:sz w:val="32"/>
          <w:szCs w:val="24"/>
          <w:highlight w:val="none"/>
          <w:lang w:eastAsia="zh-CN"/>
        </w:rPr>
        <w:t>主要</w:t>
      </w:r>
      <w:r>
        <w:rPr>
          <w:rFonts w:hint="eastAsia" w:ascii="Times New Roman" w:hAnsi="Times New Roman" w:eastAsia="仿宋_GB2312"/>
          <w:color w:val="auto"/>
          <w:sz w:val="32"/>
          <w:szCs w:val="24"/>
          <w:highlight w:val="none"/>
        </w:rPr>
        <w:t>用于心血管系统炎症的辅助诊断。</w:t>
      </w:r>
    </w:p>
    <w:p>
      <w:pPr>
        <w:spacing w:line="520" w:lineRule="exact"/>
        <w:ind w:firstLine="640" w:firstLineChars="200"/>
        <w:rPr>
          <w:rFonts w:hint="eastAsia" w:ascii="Times New Roman" w:hAnsi="Times New Roman" w:eastAsia="仿宋_GB2312"/>
          <w:color w:val="auto"/>
          <w:sz w:val="32"/>
          <w:szCs w:val="24"/>
          <w:highlight w:val="none"/>
          <w:lang w:eastAsia="zh-CN"/>
        </w:rPr>
      </w:pPr>
      <w:r>
        <w:rPr>
          <w:rFonts w:hint="eastAsia" w:ascii="Times New Roman" w:hAnsi="Times New Roman" w:eastAsia="仿宋_GB2312"/>
          <w:color w:val="auto"/>
          <w:sz w:val="32"/>
          <w:szCs w:val="24"/>
          <w:highlight w:val="none"/>
          <w:lang w:eastAsia="zh-CN"/>
        </w:rPr>
        <w:t>髓过氧化物酶（</w:t>
      </w:r>
      <w:r>
        <w:rPr>
          <w:rFonts w:hint="eastAsia" w:ascii="Times New Roman" w:hAnsi="Times New Roman" w:eastAsia="仿宋_GB2312"/>
          <w:color w:val="auto"/>
          <w:sz w:val="32"/>
          <w:szCs w:val="24"/>
          <w:highlight w:val="none"/>
          <w:lang w:val="en-US" w:eastAsia="zh-CN"/>
        </w:rPr>
        <w:t>MPO</w:t>
      </w:r>
      <w:r>
        <w:rPr>
          <w:rFonts w:hint="eastAsia" w:ascii="Times New Roman" w:hAnsi="Times New Roman" w:eastAsia="仿宋_GB2312"/>
          <w:color w:val="auto"/>
          <w:sz w:val="32"/>
          <w:szCs w:val="24"/>
          <w:highlight w:val="none"/>
          <w:lang w:eastAsia="zh-CN"/>
        </w:rPr>
        <w:t>）</w:t>
      </w:r>
      <w:r>
        <w:rPr>
          <w:rFonts w:hint="eastAsia" w:ascii="Times New Roman" w:hAnsi="Times New Roman" w:eastAsia="仿宋_GB2312"/>
          <w:color w:val="auto"/>
          <w:sz w:val="32"/>
          <w:szCs w:val="24"/>
          <w:highlight w:val="none"/>
          <w:lang w:val="en-US" w:eastAsia="zh-CN"/>
        </w:rPr>
        <w:t>是一种</w:t>
      </w:r>
      <w:r>
        <w:rPr>
          <w:rFonts w:hint="eastAsia" w:ascii="Times New Roman" w:hAnsi="Times New Roman" w:eastAsia="仿宋_GB2312"/>
          <w:color w:val="auto"/>
          <w:sz w:val="32"/>
          <w:szCs w:val="24"/>
          <w:highlight w:val="none"/>
        </w:rPr>
        <w:t>含血红素过氧化物酶</w:t>
      </w:r>
      <w:r>
        <w:rPr>
          <w:rFonts w:hint="eastAsia" w:ascii="Times New Roman" w:hAnsi="Times New Roman" w:eastAsia="仿宋_GB2312"/>
          <w:color w:val="auto"/>
          <w:sz w:val="32"/>
          <w:szCs w:val="24"/>
          <w:highlight w:val="none"/>
          <w:lang w:eastAsia="zh-CN"/>
        </w:rPr>
        <w:t>，</w:t>
      </w:r>
      <w:r>
        <w:rPr>
          <w:rFonts w:hint="eastAsia" w:ascii="Times New Roman" w:hAnsi="Times New Roman" w:eastAsia="仿宋_GB2312"/>
          <w:color w:val="auto"/>
          <w:sz w:val="32"/>
          <w:szCs w:val="24"/>
          <w:highlight w:val="none"/>
        </w:rPr>
        <w:t>存在于嗜中性粒细胞或单核细胞</w:t>
      </w:r>
      <w:r>
        <w:rPr>
          <w:rFonts w:hint="eastAsia" w:ascii="Times New Roman" w:hAnsi="Times New Roman" w:eastAsia="仿宋_GB2312"/>
          <w:color w:val="auto"/>
          <w:sz w:val="32"/>
          <w:szCs w:val="24"/>
          <w:highlight w:val="none"/>
          <w:lang w:val="en-US" w:eastAsia="zh-CN"/>
        </w:rPr>
        <w:t>的</w:t>
      </w:r>
      <w:r>
        <w:rPr>
          <w:rFonts w:hint="eastAsia" w:ascii="Times New Roman" w:hAnsi="Times New Roman" w:eastAsia="仿宋_GB2312"/>
          <w:color w:val="auto"/>
          <w:sz w:val="32"/>
          <w:szCs w:val="24"/>
          <w:highlight w:val="none"/>
        </w:rPr>
        <w:t>嗜天青颗粒</w:t>
      </w:r>
      <w:r>
        <w:rPr>
          <w:rFonts w:hint="eastAsia" w:ascii="Times New Roman" w:hAnsi="Times New Roman" w:eastAsia="仿宋_GB2312"/>
          <w:color w:val="auto"/>
          <w:sz w:val="32"/>
          <w:szCs w:val="24"/>
          <w:highlight w:val="none"/>
          <w:lang w:val="en-US" w:eastAsia="zh-CN"/>
        </w:rPr>
        <w:t>中。</w:t>
      </w:r>
      <w:r>
        <w:rPr>
          <w:rFonts w:hint="eastAsia" w:ascii="Times New Roman" w:hAnsi="Times New Roman" w:eastAsia="仿宋_GB2312"/>
          <w:color w:val="auto"/>
          <w:sz w:val="32"/>
          <w:szCs w:val="24"/>
          <w:highlight w:val="none"/>
        </w:rPr>
        <w:t>炎症时嗜中性粒细胞发生脱颗粒并释放MPO，它能导致冠状动脉粥样硬化病灶不稳定甚至破裂，使血管内皮下胶原组织暴露，随之发生血小板黏附聚集和血栓形成，造成冠状动脉阻塞，发生急性冠脉综合征</w:t>
      </w:r>
      <w:r>
        <w:rPr>
          <w:rFonts w:hint="eastAsia" w:ascii="Times New Roman" w:hAnsi="Times New Roman" w:eastAsia="仿宋_GB2312"/>
          <w:color w:val="auto"/>
          <w:sz w:val="32"/>
          <w:szCs w:val="24"/>
          <w:highlight w:val="none"/>
          <w:lang w:eastAsia="zh-CN"/>
        </w:rPr>
        <w:t>（</w:t>
      </w:r>
      <w:r>
        <w:rPr>
          <w:rFonts w:hint="eastAsia" w:ascii="Times New Roman" w:hAnsi="Times New Roman" w:eastAsia="仿宋_GB2312"/>
          <w:color w:val="auto"/>
          <w:sz w:val="32"/>
          <w:szCs w:val="24"/>
          <w:highlight w:val="none"/>
        </w:rPr>
        <w:t>ACS</w:t>
      </w:r>
      <w:r>
        <w:rPr>
          <w:rFonts w:hint="eastAsia" w:ascii="Times New Roman" w:hAnsi="Times New Roman" w:eastAsia="仿宋_GB2312"/>
          <w:color w:val="auto"/>
          <w:sz w:val="32"/>
          <w:szCs w:val="24"/>
          <w:highlight w:val="none"/>
          <w:lang w:eastAsia="zh-CN"/>
        </w:rPr>
        <w:t>）</w:t>
      </w:r>
      <w:r>
        <w:rPr>
          <w:rFonts w:hint="eastAsia" w:ascii="Times New Roman" w:hAnsi="Times New Roman" w:eastAsia="仿宋_GB2312"/>
          <w:color w:val="auto"/>
          <w:sz w:val="32"/>
          <w:szCs w:val="24"/>
          <w:highlight w:val="none"/>
        </w:rPr>
        <w:t>并可致严重心肌不可逆性缺血损伤。</w:t>
      </w:r>
      <w:r>
        <w:rPr>
          <w:rFonts w:hint="default" w:ascii="Times New Roman" w:hAnsi="Times New Roman" w:eastAsia="仿宋_GB2312"/>
          <w:color w:val="auto"/>
          <w:sz w:val="32"/>
          <w:szCs w:val="24"/>
          <w:highlight w:val="none"/>
        </w:rPr>
        <w:t>大量临床研究结果表明，MPO 水平变化与急性心肌梗死</w:t>
      </w:r>
      <w:r>
        <w:rPr>
          <w:rFonts w:hint="eastAsia" w:ascii="Times New Roman" w:hAnsi="Times New Roman" w:eastAsia="仿宋_GB2312"/>
          <w:color w:val="auto"/>
          <w:sz w:val="32"/>
          <w:szCs w:val="24"/>
          <w:highlight w:val="none"/>
          <w:lang w:eastAsia="zh-CN"/>
        </w:rPr>
        <w:t>（</w:t>
      </w:r>
      <w:r>
        <w:rPr>
          <w:rFonts w:hint="default" w:ascii="Times New Roman" w:hAnsi="Times New Roman" w:eastAsia="仿宋_GB2312"/>
          <w:color w:val="auto"/>
          <w:sz w:val="32"/>
          <w:szCs w:val="24"/>
          <w:highlight w:val="none"/>
        </w:rPr>
        <w:t>AMI</w:t>
      </w:r>
      <w:r>
        <w:rPr>
          <w:rFonts w:hint="eastAsia" w:ascii="Times New Roman" w:hAnsi="Times New Roman" w:eastAsia="仿宋_GB2312"/>
          <w:color w:val="auto"/>
          <w:sz w:val="32"/>
          <w:szCs w:val="24"/>
          <w:highlight w:val="none"/>
          <w:lang w:eastAsia="zh-CN"/>
        </w:rPr>
        <w:t>）</w:t>
      </w:r>
      <w:r>
        <w:rPr>
          <w:rFonts w:hint="default" w:ascii="Times New Roman" w:hAnsi="Times New Roman" w:eastAsia="仿宋_GB2312"/>
          <w:color w:val="auto"/>
          <w:sz w:val="32"/>
          <w:szCs w:val="24"/>
          <w:highlight w:val="none"/>
        </w:rPr>
        <w:t>发病密切相关，ACS患者血清中MPO含量显著升高，故MPO可作为ACS 患者发生心血管不良事件的一个新的预测因子，特别是在肌钙蛋白水平较低情况下，MPO能够识别那些将要发生</w:t>
      </w:r>
      <w:r>
        <w:rPr>
          <w:rFonts w:hint="eastAsia" w:ascii="Times New Roman" w:hAnsi="Times New Roman" w:eastAsia="仿宋_GB2312"/>
          <w:color w:val="auto"/>
          <w:sz w:val="32"/>
          <w:szCs w:val="24"/>
          <w:highlight w:val="none"/>
          <w:lang w:val="en-US" w:eastAsia="zh-CN"/>
        </w:rPr>
        <w:t>心脏不良事件</w:t>
      </w:r>
      <w:r>
        <w:rPr>
          <w:rFonts w:hint="default" w:ascii="Times New Roman" w:hAnsi="Times New Roman" w:eastAsia="仿宋_GB2312"/>
          <w:color w:val="auto"/>
          <w:sz w:val="32"/>
          <w:szCs w:val="24"/>
          <w:highlight w:val="none"/>
        </w:rPr>
        <w:t>的高危患者</w:t>
      </w:r>
      <w:r>
        <w:rPr>
          <w:rFonts w:hint="eastAsia" w:ascii="Times New Roman" w:hAnsi="Times New Roman" w:eastAsia="仿宋_GB2312"/>
          <w:color w:val="auto"/>
          <w:sz w:val="32"/>
          <w:szCs w:val="24"/>
          <w:highlight w:val="none"/>
          <w:lang w:eastAsia="zh-CN"/>
        </w:rPr>
        <w:t>。</w:t>
      </w:r>
    </w:p>
    <w:p>
      <w:pPr>
        <w:spacing w:line="520" w:lineRule="exact"/>
        <w:ind w:firstLine="640" w:firstLineChars="200"/>
        <w:rPr>
          <w:rFonts w:ascii="Times New Roman" w:hAnsi="Times New Roman" w:eastAsia="仿宋_GB2312"/>
          <w:sz w:val="32"/>
          <w:szCs w:val="24"/>
        </w:rPr>
      </w:pPr>
      <w:r>
        <w:rPr>
          <w:rFonts w:ascii="Times New Roman" w:hAnsi="Times New Roman" w:eastAsia="仿宋_GB2312"/>
          <w:sz w:val="32"/>
          <w:szCs w:val="28"/>
        </w:rPr>
        <w:t>4.提供</w:t>
      </w:r>
      <w:r>
        <w:rPr>
          <w:rFonts w:ascii="Times New Roman" w:hAnsi="Times New Roman" w:eastAsia="仿宋_GB2312"/>
          <w:sz w:val="32"/>
          <w:szCs w:val="24"/>
        </w:rPr>
        <w:t>申报产品上市历史情况（如适用）。</w:t>
      </w:r>
    </w:p>
    <w:p>
      <w:pPr>
        <w:spacing w:line="520" w:lineRule="exact"/>
        <w:ind w:firstLine="640" w:firstLineChars="200"/>
        <w:rPr>
          <w:rFonts w:ascii="Times New Roman" w:hAnsi="Times New Roman" w:eastAsia="仿宋_GB2312"/>
          <w:sz w:val="32"/>
          <w:szCs w:val="28"/>
        </w:rPr>
      </w:pPr>
      <w:r>
        <w:rPr>
          <w:rFonts w:ascii="Times New Roman" w:hAnsi="Times New Roman" w:eastAsia="仿宋_GB2312"/>
          <w:sz w:val="32"/>
          <w:szCs w:val="28"/>
        </w:rPr>
        <w:t>5.其他。</w:t>
      </w:r>
    </w:p>
    <w:p>
      <w:pPr>
        <w:spacing w:line="520" w:lineRule="exact"/>
        <w:ind w:firstLine="640" w:firstLineChars="200"/>
        <w:rPr>
          <w:rFonts w:hint="default" w:ascii="Times New Roman" w:hAnsi="Times New Roman" w:eastAsia="仿宋_GB2312"/>
          <w:color w:val="auto"/>
          <w:sz w:val="32"/>
          <w:szCs w:val="24"/>
          <w:highlight w:val="none"/>
        </w:rPr>
      </w:pPr>
      <w:r>
        <w:rPr>
          <w:rFonts w:hint="default" w:ascii="Times New Roman" w:hAnsi="Times New Roman" w:eastAsia="仿宋_GB2312"/>
          <w:color w:val="auto"/>
          <w:sz w:val="32"/>
          <w:szCs w:val="24"/>
          <w:highlight w:val="none"/>
        </w:rPr>
        <w:t>除申报产品外，还需提供测定系统的其他组成部分，如适用仪器、质控品、校准品</w:t>
      </w:r>
      <w:r>
        <w:rPr>
          <w:rFonts w:hint="eastAsia" w:ascii="Times New Roman" w:hAnsi="Times New Roman" w:eastAsia="仿宋_GB2312"/>
          <w:color w:val="auto"/>
          <w:sz w:val="32"/>
          <w:szCs w:val="24"/>
          <w:highlight w:val="none"/>
          <w:lang w:eastAsia="zh-CN"/>
        </w:rPr>
        <w:t>、清洗液、底物液</w:t>
      </w:r>
      <w:r>
        <w:rPr>
          <w:rFonts w:hint="default" w:ascii="Times New Roman" w:hAnsi="Times New Roman" w:eastAsia="仿宋_GB2312"/>
          <w:color w:val="auto"/>
          <w:sz w:val="32"/>
          <w:szCs w:val="24"/>
          <w:highlight w:val="none"/>
        </w:rPr>
        <w:t>等的基本信息，并说明其在测定中发挥的作用。</w:t>
      </w:r>
    </w:p>
    <w:p>
      <w:pPr>
        <w:spacing w:line="520" w:lineRule="exact"/>
        <w:ind w:firstLine="640" w:firstLineChars="200"/>
        <w:outlineLvl w:val="1"/>
        <w:rPr>
          <w:rFonts w:ascii="Times New Roman" w:hAnsi="Times New Roman" w:eastAsia="仿宋_GB2312"/>
          <w:kern w:val="0"/>
          <w:sz w:val="32"/>
          <w:szCs w:val="32"/>
        </w:rPr>
      </w:pPr>
      <w:r>
        <w:rPr>
          <w:rFonts w:ascii="Times New Roman" w:hAnsi="Times New Roman" w:eastAsia="仿宋_GB2312"/>
          <w:sz w:val="32"/>
          <w:szCs w:val="32"/>
        </w:rPr>
        <w:t>对于已获得批准的测定系统的其他组成部分，应当提供注册证编号和国家药监局官方网站公布的注册证信息。</w:t>
      </w:r>
    </w:p>
    <w:p>
      <w:pPr>
        <w:spacing w:line="520" w:lineRule="exact"/>
        <w:ind w:firstLine="640" w:firstLineChars="200"/>
        <w:outlineLvl w:val="1"/>
        <w:rPr>
          <w:rFonts w:ascii="Times New Roman" w:hAnsi="Times New Roman" w:eastAsia="黑体"/>
          <w:color w:val="00B050"/>
          <w:sz w:val="32"/>
          <w:szCs w:val="32"/>
        </w:rPr>
      </w:pPr>
      <w:r>
        <w:rPr>
          <w:rFonts w:ascii="Times New Roman" w:hAnsi="Times New Roman" w:eastAsia="楷体_GB2312"/>
          <w:color w:val="000000"/>
          <w:sz w:val="32"/>
          <w:szCs w:val="32"/>
        </w:rPr>
        <w:t>（三）非临床资料</w:t>
      </w:r>
      <w:r>
        <w:rPr>
          <w:rFonts w:ascii="Times New Roman" w:hAnsi="Times New Roman" w:eastAsia="黑体"/>
          <w:color w:val="00B050"/>
          <w:sz w:val="32"/>
          <w:szCs w:val="32"/>
        </w:rPr>
        <w:t xml:space="preserve"> </w:t>
      </w:r>
    </w:p>
    <w:p>
      <w:pPr>
        <w:spacing w:line="520" w:lineRule="exact"/>
        <w:ind w:firstLine="640" w:firstLineChars="200"/>
        <w:outlineLvl w:val="1"/>
        <w:rPr>
          <w:rFonts w:hint="eastAsia" w:ascii="Times New Roman" w:hAnsi="Times New Roman" w:eastAsia="仿宋_GB2312"/>
          <w:sz w:val="32"/>
          <w:szCs w:val="32"/>
          <w:lang w:val="en-US" w:eastAsia="zh-CN"/>
        </w:rPr>
      </w:pPr>
      <w:r>
        <w:rPr>
          <w:rFonts w:ascii="Times New Roman" w:hAnsi="Times New Roman" w:eastAsia="仿宋_GB2312"/>
          <w:sz w:val="32"/>
          <w:szCs w:val="32"/>
        </w:rPr>
        <w:t>1.</w:t>
      </w:r>
      <w:r>
        <w:rPr>
          <w:rFonts w:ascii="Times New Roman" w:hAnsi="Times New Roman" w:eastAsia="仿宋_GB2312"/>
          <w:sz w:val="32"/>
          <w:szCs w:val="24"/>
        </w:rPr>
        <w:t>产品风险管理资料</w:t>
      </w:r>
      <w:r>
        <w:rPr>
          <w:rFonts w:hint="eastAsia" w:ascii="Times New Roman" w:hAnsi="Times New Roman" w:eastAsia="仿宋_GB2312"/>
          <w:sz w:val="32"/>
          <w:szCs w:val="24"/>
          <w:lang w:val="en-US" w:eastAsia="zh-CN"/>
        </w:rPr>
        <w:t xml:space="preserve"> </w:t>
      </w:r>
    </w:p>
    <w:p>
      <w:pPr>
        <w:snapToGrid w:val="0"/>
        <w:spacing w:line="520" w:lineRule="exact"/>
        <w:ind w:firstLine="640" w:firstLineChars="200"/>
        <w:rPr>
          <w:rFonts w:ascii="Times New Roman" w:hAnsi="Times New Roman" w:eastAsia="仿宋_GB2312"/>
          <w:sz w:val="32"/>
          <w:szCs w:val="28"/>
        </w:rPr>
      </w:pPr>
      <w:r>
        <w:rPr>
          <w:rFonts w:ascii="Times New Roman" w:hAnsi="Times New Roman" w:eastAsia="仿宋_GB2312"/>
          <w:sz w:val="32"/>
          <w:szCs w:val="32"/>
        </w:rPr>
        <w:t>申请人应考虑产品</w:t>
      </w:r>
      <w:r>
        <w:rPr>
          <w:rFonts w:ascii="Times New Roman" w:hAnsi="Times New Roman" w:eastAsia="仿宋_GB2312"/>
          <w:sz w:val="32"/>
          <w:szCs w:val="28"/>
        </w:rPr>
        <w:t>生命周期的各个环节，从产品设计开发、原材料的采购控制、生产、预期用途、可能的使用错误、与安全性有关的特征、已知和可预见的危害等方面的判定以及对患者风险的估计进行风险分析、风险评价和相应的风险控制基础上，</w:t>
      </w:r>
      <w:r>
        <w:rPr>
          <w:rFonts w:ascii="Times New Roman" w:hAnsi="Times New Roman" w:eastAsia="仿宋_GB2312"/>
          <w:color w:val="000000"/>
          <w:sz w:val="32"/>
          <w:szCs w:val="32"/>
        </w:rPr>
        <w:t>综合评价产品风险可接受程度，</w:t>
      </w:r>
      <w:r>
        <w:rPr>
          <w:rFonts w:ascii="Times New Roman" w:hAnsi="Times New Roman" w:eastAsia="仿宋_GB2312"/>
          <w:sz w:val="32"/>
          <w:szCs w:val="28"/>
        </w:rPr>
        <w:t>形成风险管理资料。应符合</w:t>
      </w:r>
      <w:r>
        <w:rPr>
          <w:rFonts w:hint="eastAsia" w:ascii="Times New Roman" w:hAnsi="Times New Roman" w:eastAsia="仿宋_GB2312"/>
          <w:sz w:val="32"/>
          <w:szCs w:val="28"/>
        </w:rPr>
        <w:t>GB/T 42062《医疗器械 风险管理对医疗器械的应用》</w:t>
      </w:r>
      <w:r>
        <w:rPr>
          <w:rFonts w:ascii="Times New Roman" w:hAnsi="Times New Roman" w:eastAsia="仿宋_GB2312"/>
          <w:sz w:val="32"/>
          <w:szCs w:val="28"/>
        </w:rPr>
        <w:t>的要求。</w:t>
      </w:r>
    </w:p>
    <w:p>
      <w:pPr>
        <w:spacing w:line="520" w:lineRule="exact"/>
        <w:ind w:firstLine="640" w:firstLineChars="200"/>
        <w:rPr>
          <w:rFonts w:hint="default" w:ascii="Times New Roman" w:hAnsi="Times New Roman" w:eastAsia="仿宋_GB2312"/>
          <w:sz w:val="32"/>
          <w:szCs w:val="32"/>
        </w:rPr>
      </w:pPr>
      <w:r>
        <w:rPr>
          <w:rFonts w:hint="default" w:ascii="Times New Roman" w:hAnsi="Times New Roman" w:eastAsia="仿宋_GB2312"/>
          <w:sz w:val="32"/>
          <w:szCs w:val="32"/>
        </w:rPr>
        <w:t>应当提供风险分析、风险评价、风险控制、任何一个或多个剩余风险的可接受性评定、与产品受益相比，综合评价产品风险可接受等内容，并说明对于每项已判定危害的各个过程的可追溯性。</w:t>
      </w:r>
    </w:p>
    <w:p>
      <w:pPr>
        <w:spacing w:line="520" w:lineRule="exact"/>
        <w:ind w:firstLine="640" w:firstLineChars="200"/>
        <w:rPr>
          <w:rFonts w:hint="default" w:ascii="Times New Roman" w:hAnsi="Times New Roman" w:eastAsia="仿宋_GB2312"/>
          <w:sz w:val="32"/>
          <w:szCs w:val="32"/>
        </w:rPr>
      </w:pPr>
      <w:r>
        <w:rPr>
          <w:rFonts w:hint="eastAsia" w:ascii="Times New Roman" w:hAnsi="Times New Roman" w:eastAsia="仿宋_GB2312" w:cs="仿宋_GB2312"/>
          <w:sz w:val="32"/>
          <w:szCs w:val="32"/>
        </w:rPr>
        <w:t>应根据产品的实际情况充分考虑影响检测结果的各种因素，并采用合理的控制措施，综合评估风险是否可接受。比如，抗凝剂（肝素或EDTA等）</w:t>
      </w:r>
      <w:r>
        <w:rPr>
          <w:rFonts w:hint="eastAsia" w:eastAsia="仿宋_GB2312"/>
          <w:sz w:val="32"/>
          <w:szCs w:val="28"/>
        </w:rPr>
        <w:t>、防腐剂可能对检测结果产生干扰</w:t>
      </w:r>
      <w:r>
        <w:rPr>
          <w:rFonts w:hint="default" w:ascii="Times New Roman" w:hAnsi="Times New Roman" w:eastAsia="仿宋_GB2312"/>
          <w:sz w:val="32"/>
          <w:szCs w:val="32"/>
        </w:rPr>
        <w:t>。</w:t>
      </w:r>
    </w:p>
    <w:p>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2.体外诊断试剂安全和性能基本原则清单</w:t>
      </w:r>
    </w:p>
    <w:p>
      <w:pPr>
        <w:snapToGrid w:val="0"/>
        <w:spacing w:line="520" w:lineRule="exact"/>
        <w:ind w:firstLine="640" w:firstLineChars="200"/>
        <w:rPr>
          <w:rFonts w:ascii="Times New Roman" w:hAnsi="Times New Roman" w:eastAsia="仿宋_GB2312"/>
          <w:color w:val="00B050"/>
          <w:sz w:val="32"/>
          <w:szCs w:val="32"/>
        </w:rPr>
      </w:pPr>
      <w:r>
        <w:rPr>
          <w:rFonts w:ascii="Times New Roman" w:hAnsi="Times New Roman" w:eastAsia="仿宋_GB2312"/>
          <w:sz w:val="32"/>
          <w:szCs w:val="32"/>
        </w:rPr>
        <w:t>产品应符合《体外诊断试剂安全和性能基本原则清单》各项适用要求所采用的方法，以及证明其符合性的文件。对于其中不适用的各项要求，应当说明理由。</w:t>
      </w:r>
    </w:p>
    <w:p>
      <w:pPr>
        <w:widowControl/>
        <w:snapToGrid w:val="0"/>
        <w:spacing w:before="89" w:after="89"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3.产品技术要求及检验报告</w:t>
      </w:r>
    </w:p>
    <w:p>
      <w:pPr>
        <w:overflowPunct w:val="0"/>
        <w:snapToGrid w:val="0"/>
        <w:spacing w:line="520" w:lineRule="exact"/>
        <w:ind w:firstLine="640" w:firstLineChars="200"/>
        <w:rPr>
          <w:rFonts w:ascii="Times New Roman" w:hAnsi="Times New Roman" w:eastAsia="仿宋_GB2312"/>
          <w:sz w:val="32"/>
          <w:szCs w:val="28"/>
        </w:rPr>
      </w:pPr>
      <w:r>
        <w:rPr>
          <w:rFonts w:hint="eastAsia" w:ascii="Times New Roman" w:hAnsi="Times New Roman" w:eastAsia="仿宋_GB2312"/>
          <w:sz w:val="32"/>
          <w:szCs w:val="32"/>
        </w:rPr>
        <w:t>产品技术要求应按照《体外诊断试剂注册与备案管理办法》和《医疗器械产品技术要求编写指导原则》的相关规定进行编写。同时结合产品具体适用的指导原则或相关国家标准、行业标准以及产品的特点，明确保证产品安全、有效、质量可控的各项性能指标和检验方法。</w:t>
      </w:r>
    </w:p>
    <w:p>
      <w:pPr>
        <w:overflowPunct w:val="0"/>
        <w:snapToGrid w:val="0"/>
        <w:spacing w:line="52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3.1适用的产品标准</w:t>
      </w:r>
    </w:p>
    <w:p>
      <w:pPr>
        <w:overflowPunct w:val="0"/>
        <w:snapToGrid w:val="0"/>
        <w:spacing w:line="52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目前该产品无相应</w:t>
      </w:r>
      <w:r>
        <w:rPr>
          <w:rFonts w:hint="eastAsia" w:ascii="Times New Roman" w:hAnsi="Times New Roman" w:eastAsia="仿宋_GB2312"/>
          <w:sz w:val="32"/>
          <w:szCs w:val="32"/>
          <w:lang w:eastAsia="zh-CN"/>
        </w:rPr>
        <w:t>强制性行业标准</w:t>
      </w:r>
      <w:r>
        <w:rPr>
          <w:rFonts w:hint="eastAsia" w:ascii="Times New Roman" w:hAnsi="Times New Roman" w:eastAsia="仿宋_GB2312"/>
          <w:sz w:val="32"/>
          <w:szCs w:val="32"/>
        </w:rPr>
        <w:t>发布</w:t>
      </w:r>
      <w:r>
        <w:rPr>
          <w:rFonts w:hint="eastAsia" w:ascii="Times New Roman" w:hAnsi="Times New Roman" w:eastAsia="仿宋_GB2312"/>
          <w:sz w:val="32"/>
          <w:szCs w:val="32"/>
          <w:lang w:eastAsia="zh-CN"/>
        </w:rPr>
        <w:t>，如有，</w:t>
      </w:r>
      <w:r>
        <w:rPr>
          <w:rFonts w:hint="eastAsia" w:ascii="Times New Roman" w:hAnsi="Times New Roman" w:eastAsia="仿宋_GB2312"/>
          <w:sz w:val="32"/>
          <w:szCs w:val="32"/>
        </w:rPr>
        <w:t>申报产品应当符合适用的强制性标准。对于强制性行业标准，若申报产品结构特征、技术原理、预期用途、使用方式等与强制性标准的适用范围不一致，申请人应当提出不适用强制性标准的说明，并提供经验证的证明性资料。</w:t>
      </w:r>
    </w:p>
    <w:p>
      <w:pPr>
        <w:overflowPunct w:val="0"/>
        <w:snapToGrid w:val="0"/>
        <w:spacing w:line="520" w:lineRule="exact"/>
        <w:ind w:firstLine="640" w:firstLineChars="200"/>
        <w:rPr>
          <w:rFonts w:hint="eastAsia" w:ascii="Times New Roman" w:hAnsi="Times New Roman" w:eastAsia="仿宋_GB2312"/>
          <w:sz w:val="32"/>
          <w:szCs w:val="32"/>
          <w:lang w:val="en-US" w:eastAsia="zh-CN"/>
        </w:rPr>
      </w:pPr>
      <w:r>
        <w:rPr>
          <w:rFonts w:ascii="Times New Roman" w:hAnsi="Times New Roman" w:eastAsia="仿宋_GB2312"/>
          <w:sz w:val="32"/>
          <w:szCs w:val="32"/>
        </w:rPr>
        <w:t>3.2</w:t>
      </w:r>
      <w:r>
        <w:rPr>
          <w:rFonts w:hint="eastAsia" w:ascii="Times New Roman" w:hAnsi="Times New Roman" w:eastAsia="仿宋_GB2312"/>
          <w:sz w:val="32"/>
          <w:szCs w:val="32"/>
          <w:lang w:val="en-US" w:eastAsia="zh-CN"/>
        </w:rPr>
        <w:t>产品技术要求</w:t>
      </w:r>
    </w:p>
    <w:p>
      <w:pPr>
        <w:overflowPunct w:val="0"/>
        <w:snapToGrid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val="en-US" w:eastAsia="zh-CN"/>
        </w:rPr>
        <w:t>3.2.1</w:t>
      </w:r>
      <w:r>
        <w:rPr>
          <w:rFonts w:ascii="Times New Roman" w:hAnsi="Times New Roman" w:eastAsia="仿宋_GB2312"/>
          <w:sz w:val="32"/>
          <w:szCs w:val="32"/>
        </w:rPr>
        <w:t>主要性能指标</w:t>
      </w:r>
    </w:p>
    <w:p>
      <w:pPr>
        <w:overflowPunct w:val="0"/>
        <w:snapToGrid w:val="0"/>
        <w:spacing w:line="52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该产品作为定量测定试剂主要包括以下性能指标：外观、装量（如适用）、空白吸光度（如适用）、</w:t>
      </w:r>
      <w:r>
        <w:rPr>
          <w:rFonts w:hint="eastAsia" w:ascii="Times New Roman" w:hAnsi="Times New Roman" w:eastAsia="仿宋_GB2312"/>
          <w:sz w:val="32"/>
          <w:szCs w:val="32"/>
          <w:lang w:val="en-US" w:eastAsia="zh-CN"/>
        </w:rPr>
        <w:t>分析灵敏度</w:t>
      </w:r>
      <w:r>
        <w:rPr>
          <w:rFonts w:hint="eastAsia" w:ascii="Times New Roman" w:hAnsi="Times New Roman" w:eastAsia="仿宋_GB2312"/>
          <w:sz w:val="32"/>
          <w:szCs w:val="32"/>
        </w:rPr>
        <w:t>（如适用）</w:t>
      </w:r>
      <w:r>
        <w:rPr>
          <w:rFonts w:hint="eastAsia" w:ascii="Times New Roman" w:hAnsi="Times New Roman" w:eastAsia="仿宋_GB2312"/>
          <w:sz w:val="32"/>
          <w:szCs w:val="32"/>
          <w:lang w:val="en-US" w:eastAsia="zh-CN"/>
        </w:rPr>
        <w:t>、膜条宽度</w:t>
      </w:r>
      <w:r>
        <w:rPr>
          <w:rFonts w:hint="eastAsia" w:ascii="Times New Roman" w:hAnsi="Times New Roman" w:eastAsia="仿宋_GB2312"/>
          <w:sz w:val="32"/>
          <w:szCs w:val="32"/>
        </w:rPr>
        <w:t>（如适用）</w:t>
      </w:r>
      <w:r>
        <w:rPr>
          <w:rFonts w:hint="eastAsia" w:ascii="Times New Roman" w:hAnsi="Times New Roman" w:eastAsia="仿宋_GB2312"/>
          <w:sz w:val="32"/>
          <w:szCs w:val="32"/>
          <w:lang w:val="en-US" w:eastAsia="zh-CN"/>
        </w:rPr>
        <w:t>、膜条爬行速度</w:t>
      </w:r>
      <w:r>
        <w:rPr>
          <w:rFonts w:hint="eastAsia" w:ascii="Times New Roman" w:hAnsi="Times New Roman" w:eastAsia="仿宋_GB2312"/>
          <w:sz w:val="32"/>
          <w:szCs w:val="32"/>
        </w:rPr>
        <w:t>（如适用）</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检出限</w:t>
      </w:r>
      <w:r>
        <w:rPr>
          <w:rFonts w:hint="eastAsia" w:ascii="Times New Roman" w:hAnsi="Times New Roman" w:eastAsia="仿宋_GB2312"/>
          <w:sz w:val="32"/>
          <w:szCs w:val="32"/>
        </w:rPr>
        <w:t>、准确度、线性、</w:t>
      </w:r>
      <w:r>
        <w:rPr>
          <w:rFonts w:hint="eastAsia" w:ascii="Times New Roman" w:hAnsi="Times New Roman" w:eastAsia="仿宋_GB2312"/>
          <w:sz w:val="32"/>
          <w:szCs w:val="32"/>
          <w:lang w:val="en-US" w:eastAsia="zh-CN"/>
        </w:rPr>
        <w:t>精密度</w:t>
      </w:r>
      <w:r>
        <w:rPr>
          <w:rFonts w:hint="eastAsia" w:ascii="Times New Roman" w:hAnsi="Times New Roman" w:eastAsia="仿宋_GB2312"/>
          <w:sz w:val="32"/>
          <w:szCs w:val="32"/>
        </w:rPr>
        <w:t>等，如注册单元中包含校准品和/或质控品，至少包含校准品均匀性等，质控品的可接受区间/值、均匀性等。具体产品的性能指标需结合方法学本身特性，确定其性能指标或者提供此指标不适用的说明</w:t>
      </w:r>
      <w:r>
        <w:rPr>
          <w:rFonts w:hint="eastAsia" w:ascii="Times New Roman" w:hAnsi="Times New Roman" w:eastAsia="仿宋_GB2312"/>
          <w:sz w:val="32"/>
          <w:szCs w:val="32"/>
          <w:lang w:eastAsia="zh-CN"/>
        </w:rPr>
        <w:t>。</w:t>
      </w:r>
    </w:p>
    <w:p>
      <w:pPr>
        <w:overflowPunct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w:t>
      </w:r>
      <w:r>
        <w:rPr>
          <w:rFonts w:hint="eastAsia" w:ascii="Times New Roman" w:hAnsi="Times New Roman" w:eastAsia="仿宋_GB2312"/>
          <w:sz w:val="32"/>
          <w:szCs w:val="32"/>
          <w:lang w:val="en-US" w:eastAsia="zh-CN"/>
        </w:rPr>
        <w:t>2.2</w:t>
      </w:r>
      <w:r>
        <w:rPr>
          <w:rFonts w:ascii="Times New Roman" w:hAnsi="Times New Roman" w:eastAsia="仿宋_GB2312"/>
          <w:sz w:val="32"/>
          <w:szCs w:val="32"/>
        </w:rPr>
        <w:t>检验方法</w:t>
      </w:r>
    </w:p>
    <w:p>
      <w:pPr>
        <w:overflowPunct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产品的检验方法需根据技术性能指标设定，检验方法需优先采用公认的或已颁布的标准检验方法；</w:t>
      </w:r>
      <w:r>
        <w:rPr>
          <w:rFonts w:hint="eastAsia" w:ascii="Times New Roman" w:hAnsi="Times New Roman" w:eastAsia="仿宋_GB2312"/>
          <w:sz w:val="32"/>
          <w:szCs w:val="32"/>
        </w:rPr>
        <w:t>自建检验方法需提供相应的方法学依据及理论基础，同时保证检验方法具有可操作性和可重现性，必要时可附相应图示进行说明，文本较大的可以附录形式提供。</w:t>
      </w:r>
    </w:p>
    <w:p>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w:t>
      </w:r>
      <w:r>
        <w:rPr>
          <w:rFonts w:hint="eastAsia" w:ascii="Times New Roman" w:hAnsi="Times New Roman" w:eastAsia="仿宋_GB2312"/>
          <w:sz w:val="32"/>
          <w:szCs w:val="32"/>
          <w:lang w:val="en-US" w:eastAsia="zh-CN"/>
        </w:rPr>
        <w:t>3</w:t>
      </w:r>
      <w:r>
        <w:rPr>
          <w:rFonts w:ascii="Times New Roman" w:hAnsi="Times New Roman" w:eastAsia="仿宋_GB2312"/>
          <w:sz w:val="32"/>
          <w:szCs w:val="32"/>
        </w:rPr>
        <w:t>产品检验报告</w:t>
      </w:r>
    </w:p>
    <w:p>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在保证产品原材料和生产工艺稳定可靠的基础上，采用在符合医疗器械质量管理体系相关要求的条件下生产的产品进行检验。</w:t>
      </w:r>
      <w:r>
        <w:rPr>
          <w:rFonts w:hint="eastAsia" w:ascii="Times New Roman" w:hAnsi="Times New Roman" w:eastAsia="仿宋_GB2312"/>
          <w:sz w:val="32"/>
          <w:szCs w:val="32"/>
        </w:rPr>
        <w:t>目前该产品无相应国家标准品发布，如有，</w:t>
      </w:r>
      <w:r>
        <w:rPr>
          <w:rFonts w:hint="eastAsia" w:ascii="Times New Roman" w:hAnsi="Times New Roman" w:eastAsia="仿宋_GB2312"/>
          <w:sz w:val="32"/>
          <w:szCs w:val="32"/>
          <w:lang w:eastAsia="zh-CN"/>
        </w:rPr>
        <w:t>则</w:t>
      </w:r>
      <w:r>
        <w:rPr>
          <w:rFonts w:ascii="Times New Roman" w:hAnsi="Times New Roman" w:eastAsia="仿宋_GB2312"/>
          <w:sz w:val="32"/>
          <w:szCs w:val="32"/>
        </w:rPr>
        <w:t>应当使用国家标准品对产品进行检验。可提交以下任一形式的检验报告：</w:t>
      </w:r>
    </w:p>
    <w:p>
      <w:pPr>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val="en-US" w:eastAsia="zh-CN"/>
        </w:rPr>
        <w:t>3.3.1</w:t>
      </w:r>
      <w:r>
        <w:rPr>
          <w:rFonts w:ascii="Times New Roman" w:hAnsi="Times New Roman" w:eastAsia="仿宋_GB2312"/>
          <w:sz w:val="32"/>
          <w:szCs w:val="32"/>
        </w:rPr>
        <w:t>申请人出具的自检报告。</w:t>
      </w:r>
    </w:p>
    <w:p>
      <w:pPr>
        <w:spacing w:line="520" w:lineRule="exact"/>
        <w:ind w:firstLine="640" w:firstLineChars="200"/>
        <w:outlineLvl w:val="1"/>
        <w:rPr>
          <w:rFonts w:ascii="Times New Roman" w:hAnsi="Times New Roman" w:eastAsia="仿宋_GB2312"/>
          <w:sz w:val="32"/>
          <w:szCs w:val="32"/>
        </w:rPr>
      </w:pPr>
      <w:r>
        <w:rPr>
          <w:rFonts w:hint="eastAsia" w:ascii="Times New Roman" w:hAnsi="Times New Roman" w:eastAsia="仿宋_GB2312"/>
          <w:sz w:val="32"/>
          <w:szCs w:val="32"/>
          <w:lang w:val="en-US" w:eastAsia="zh-CN"/>
        </w:rPr>
        <w:t>3.3.2</w:t>
      </w:r>
      <w:r>
        <w:rPr>
          <w:rFonts w:ascii="Times New Roman" w:hAnsi="Times New Roman" w:eastAsia="仿宋_GB2312"/>
          <w:sz w:val="32"/>
          <w:szCs w:val="32"/>
        </w:rPr>
        <w:t>委托有资质的医疗器械检验机构出具的检验报告。</w:t>
      </w:r>
    </w:p>
    <w:p>
      <w:pPr>
        <w:spacing w:line="520" w:lineRule="exact"/>
        <w:ind w:firstLine="640" w:firstLineChars="200"/>
        <w:outlineLvl w:val="1"/>
        <w:rPr>
          <w:rFonts w:ascii="Times New Roman" w:hAnsi="Times New Roman" w:eastAsia="仿宋_GB2312"/>
          <w:color w:val="0C0C0C"/>
          <w:sz w:val="32"/>
          <w:szCs w:val="32"/>
        </w:rPr>
      </w:pPr>
      <w:r>
        <w:rPr>
          <w:rFonts w:ascii="Times New Roman" w:hAnsi="Times New Roman" w:eastAsia="仿宋_GB2312"/>
          <w:color w:val="0C0C0C"/>
          <w:sz w:val="32"/>
          <w:szCs w:val="32"/>
        </w:rPr>
        <w:t>如产品提交自检报告，还需按照《医疗器械注册自检管理规定》的要求提交相应资料。</w:t>
      </w:r>
    </w:p>
    <w:p>
      <w:pPr>
        <w:adjustRightInd w:val="0"/>
        <w:snapToGrid w:val="0"/>
        <w:spacing w:line="520" w:lineRule="exact"/>
        <w:ind w:firstLine="640" w:firstLineChars="200"/>
        <w:rPr>
          <w:rFonts w:hint="eastAsia" w:ascii="Times New Roman" w:hAnsi="Times New Roman" w:eastAsia="仿宋_GB2312"/>
          <w:color w:val="0C0C0C"/>
          <w:sz w:val="32"/>
          <w:szCs w:val="32"/>
          <w:lang w:eastAsia="zh-CN"/>
        </w:rPr>
      </w:pPr>
      <w:r>
        <w:rPr>
          <w:rFonts w:ascii="Times New Roman" w:hAnsi="Times New Roman" w:eastAsia="仿宋_GB2312"/>
          <w:color w:val="0C0C0C"/>
          <w:sz w:val="32"/>
          <w:szCs w:val="28"/>
        </w:rPr>
        <w:t>4.</w:t>
      </w:r>
      <w:r>
        <w:rPr>
          <w:rFonts w:ascii="Times New Roman" w:hAnsi="Times New Roman" w:eastAsia="仿宋_GB2312"/>
          <w:color w:val="0C0C0C"/>
          <w:sz w:val="32"/>
          <w:szCs w:val="32"/>
        </w:rPr>
        <w:t>分析性能</w:t>
      </w:r>
      <w:r>
        <w:rPr>
          <w:rFonts w:hint="eastAsia" w:ascii="Times New Roman" w:hAnsi="Times New Roman" w:eastAsia="仿宋_GB2312"/>
          <w:color w:val="0C0C0C"/>
          <w:sz w:val="32"/>
          <w:szCs w:val="32"/>
          <w:lang w:eastAsia="zh-CN"/>
        </w:rPr>
        <w:t>研究</w:t>
      </w:r>
    </w:p>
    <w:p>
      <w:pPr>
        <w:adjustRightInd w:val="0"/>
        <w:snapToGrid w:val="0"/>
        <w:spacing w:line="520" w:lineRule="exact"/>
        <w:ind w:firstLine="640" w:firstLineChars="200"/>
        <w:rPr>
          <w:rFonts w:eastAsia="仿宋_GB2312"/>
          <w:kern w:val="0"/>
          <w:sz w:val="32"/>
          <w:szCs w:val="32"/>
        </w:rPr>
      </w:pPr>
      <w:r>
        <w:rPr>
          <w:rFonts w:hint="eastAsia" w:eastAsia="仿宋_GB2312"/>
          <w:kern w:val="0"/>
          <w:sz w:val="32"/>
          <w:szCs w:val="32"/>
        </w:rPr>
        <w:t>申请人应提交在有效质量管理体系下生产的体外诊断试剂产品的所有分析性能评估资料，对于每项分析性能的研究都应包括研究目的、试验设计、研究方法、可接受标准、试验数据、统计方法等详细资料。分析性能研究的试验方法，可以参考</w:t>
      </w:r>
      <w:r>
        <w:rPr>
          <w:rFonts w:hint="eastAsia" w:eastAsia="仿宋_GB2312"/>
          <w:sz w:val="32"/>
          <w:szCs w:val="32"/>
        </w:rPr>
        <w:t>《定量检测体外诊断试剂分析性能评估注册审查指导原则》</w:t>
      </w:r>
      <w:r>
        <w:rPr>
          <w:rFonts w:hint="eastAsia" w:eastAsia="仿宋_GB2312"/>
          <w:kern w:val="0"/>
          <w:sz w:val="32"/>
          <w:szCs w:val="32"/>
        </w:rPr>
        <w:t>。</w:t>
      </w:r>
    </w:p>
    <w:p>
      <w:pPr>
        <w:adjustRightInd w:val="0"/>
        <w:snapToGrid w:val="0"/>
        <w:spacing w:line="520" w:lineRule="exact"/>
        <w:ind w:firstLine="640" w:firstLineChars="200"/>
        <w:rPr>
          <w:rFonts w:ascii="Times New Roman" w:hAnsi="Times New Roman" w:eastAsia="仿宋_GB2312"/>
          <w:sz w:val="32"/>
          <w:szCs w:val="32"/>
        </w:rPr>
      </w:pPr>
      <w:r>
        <w:rPr>
          <w:rFonts w:hint="eastAsia" w:eastAsia="仿宋_GB2312"/>
          <w:sz w:val="32"/>
          <w:szCs w:val="32"/>
        </w:rPr>
        <w:t>分析</w:t>
      </w:r>
      <w:r>
        <w:rPr>
          <w:rFonts w:ascii="Times New Roman" w:hAnsi="Times New Roman" w:eastAsia="仿宋_GB2312"/>
          <w:sz w:val="32"/>
          <w:szCs w:val="32"/>
        </w:rPr>
        <w:t>性能评估时应将试剂、仪器和所选用的校准品、质控品作为一个整体进行评价，评估整个系统的性能是否符合要求。有关分析性能验证的背景信息也应在申报资料中有所体现，包括试验时间、地点、检验人员、适用仪器、试剂规格和批号、所选用的校准品和质控品（如有）等。</w:t>
      </w:r>
      <w:r>
        <w:rPr>
          <w:rFonts w:hint="eastAsia" w:eastAsia="仿宋_GB2312"/>
          <w:sz w:val="32"/>
          <w:szCs w:val="32"/>
        </w:rPr>
        <w:t>用于分析性能评估的样本，应尽量与预期适用的真实临床样本一致，并按照说明书描述的方式进行样本采集、处理、运输和保存。</w:t>
      </w:r>
    </w:p>
    <w:p>
      <w:pPr>
        <w:adjustRightInd w:val="0"/>
        <w:snapToGrid w:val="0"/>
        <w:spacing w:line="520" w:lineRule="exact"/>
        <w:ind w:firstLine="640" w:firstLineChars="200"/>
        <w:outlineLvl w:val="9"/>
        <w:rPr>
          <w:rFonts w:ascii="Times New Roman" w:hAnsi="Times New Roman" w:eastAsia="仿宋_GB2312"/>
          <w:sz w:val="32"/>
          <w:szCs w:val="28"/>
        </w:rPr>
      </w:pPr>
      <w:r>
        <w:rPr>
          <w:rFonts w:ascii="Times New Roman" w:hAnsi="Times New Roman" w:eastAsia="仿宋_GB2312"/>
          <w:sz w:val="32"/>
          <w:szCs w:val="32"/>
        </w:rPr>
        <w:t>分析性能评估主要包括样本稳定性、适用的样本类型、校准品的量值溯源和质控品的赋值</w:t>
      </w:r>
      <w:r>
        <w:rPr>
          <w:rFonts w:hint="eastAsia" w:ascii="Times New Roman" w:hAnsi="Times New Roman" w:eastAsia="仿宋_GB2312"/>
          <w:sz w:val="32"/>
          <w:szCs w:val="32"/>
        </w:rPr>
        <w:t>（如适用）</w:t>
      </w:r>
      <w:r>
        <w:rPr>
          <w:rFonts w:ascii="Times New Roman" w:hAnsi="Times New Roman" w:eastAsia="仿宋_GB2312"/>
          <w:sz w:val="32"/>
          <w:szCs w:val="32"/>
        </w:rPr>
        <w:t>、正确度、精密度、空白限、检出限及定量限、分析特异性、高剂量钩状效应</w:t>
      </w:r>
      <w:r>
        <w:rPr>
          <w:rFonts w:hint="eastAsia" w:ascii="Times New Roman" w:hAnsi="Times New Roman" w:eastAsia="仿宋_GB2312"/>
          <w:sz w:val="32"/>
          <w:szCs w:val="32"/>
          <w:lang w:eastAsia="zh-CN"/>
        </w:rPr>
        <w:t>（如适用）</w:t>
      </w:r>
      <w:r>
        <w:rPr>
          <w:rFonts w:ascii="Times New Roman" w:hAnsi="Times New Roman" w:eastAsia="仿宋_GB2312"/>
          <w:sz w:val="32"/>
          <w:szCs w:val="32"/>
        </w:rPr>
        <w:t>、线性区间及可报告区间等。不同方法学的产品应根据方法学特点制订不同的性能指标：如</w:t>
      </w:r>
      <w:r>
        <w:rPr>
          <w:rFonts w:hint="eastAsia" w:ascii="Times New Roman" w:hAnsi="Times New Roman" w:eastAsia="仿宋_GB2312"/>
          <w:sz w:val="32"/>
          <w:szCs w:val="32"/>
          <w:lang w:val="en-US" w:eastAsia="zh-CN"/>
        </w:rPr>
        <w:t>免疫比浊法</w:t>
      </w:r>
      <w:r>
        <w:rPr>
          <w:rFonts w:ascii="Times New Roman" w:hAnsi="Times New Roman" w:eastAsia="仿宋_GB2312"/>
          <w:sz w:val="32"/>
          <w:szCs w:val="32"/>
        </w:rPr>
        <w:t>产品还应制订空白吸光度、</w:t>
      </w:r>
      <w:r>
        <w:rPr>
          <w:rFonts w:hint="eastAsia" w:ascii="Times New Roman" w:hAnsi="Times New Roman" w:eastAsia="仿宋_GB2312"/>
          <w:sz w:val="32"/>
          <w:szCs w:val="32"/>
          <w:lang w:val="en-US" w:eastAsia="zh-CN"/>
        </w:rPr>
        <w:t>分析</w:t>
      </w:r>
      <w:r>
        <w:rPr>
          <w:rFonts w:ascii="Times New Roman" w:hAnsi="Times New Roman" w:eastAsia="仿宋_GB2312"/>
          <w:sz w:val="32"/>
          <w:szCs w:val="32"/>
        </w:rPr>
        <w:t>灵敏度等指标。根据产品方法学的不同，具体的研究方法可参考体外诊断试剂相关性能评估行业标准、文件等。</w:t>
      </w:r>
    </w:p>
    <w:p>
      <w:pPr>
        <w:adjustRightInd w:val="0"/>
        <w:snapToGrid w:val="0"/>
        <w:spacing w:line="520" w:lineRule="exact"/>
        <w:ind w:firstLine="640" w:firstLineChars="200"/>
        <w:rPr>
          <w:rFonts w:ascii="Times New Roman" w:hAnsi="Times New Roman" w:eastAsia="仿宋_GB2312"/>
          <w:sz w:val="32"/>
          <w:szCs w:val="28"/>
        </w:rPr>
      </w:pPr>
      <w:r>
        <w:rPr>
          <w:rFonts w:ascii="Times New Roman" w:hAnsi="Times New Roman" w:eastAsia="仿宋_GB2312"/>
          <w:sz w:val="32"/>
          <w:szCs w:val="28"/>
        </w:rPr>
        <w:t>如申报产品适用不同的机型，需要提交在不同机型上进行评估的资料。如申报产品包含不同的包装规格，需要对各包装规格进行分析或验证。</w:t>
      </w:r>
    </w:p>
    <w:p>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color w:val="0C0C0C"/>
          <w:kern w:val="0"/>
          <w:sz w:val="32"/>
          <w:szCs w:val="32"/>
        </w:rPr>
        <w:t>对于本试剂，建议着重对以下分析性能进行研究：</w:t>
      </w:r>
    </w:p>
    <w:p>
      <w:pPr>
        <w:snapToGrid w:val="0"/>
        <w:spacing w:line="520" w:lineRule="exact"/>
        <w:ind w:firstLine="640" w:firstLineChars="200"/>
        <w:rPr>
          <w:rFonts w:ascii="Times New Roman" w:hAnsi="Times New Roman" w:eastAsia="仿宋_GB2312"/>
          <w:sz w:val="32"/>
          <w:szCs w:val="28"/>
        </w:rPr>
      </w:pPr>
      <w:r>
        <w:rPr>
          <w:rFonts w:ascii="Times New Roman" w:hAnsi="Times New Roman" w:eastAsia="仿宋_GB2312"/>
          <w:sz w:val="32"/>
          <w:szCs w:val="28"/>
        </w:rPr>
        <w:t>4.1样本稳定性</w:t>
      </w:r>
    </w:p>
    <w:p>
      <w:pPr>
        <w:snapToGrid w:val="0"/>
        <w:spacing w:line="520" w:lineRule="exact"/>
        <w:ind w:firstLine="640" w:firstLineChars="200"/>
        <w:rPr>
          <w:rFonts w:ascii="Times New Roman" w:hAnsi="Times New Roman" w:eastAsia="仿宋_GB2312"/>
          <w:sz w:val="32"/>
          <w:szCs w:val="28"/>
        </w:rPr>
      </w:pPr>
      <w:r>
        <w:rPr>
          <w:rFonts w:ascii="Times New Roman" w:hAnsi="Times New Roman" w:eastAsia="仿宋_GB2312"/>
          <w:sz w:val="32"/>
          <w:szCs w:val="28"/>
        </w:rPr>
        <w:t>应充分考虑实际使用过程中样本采集、处理、运输及保存等各个阶段的条件，对不同类型样本的稳定性分别进行评价并提交研究</w:t>
      </w:r>
      <w:r>
        <w:rPr>
          <w:rFonts w:ascii="Times New Roman" w:hAnsi="Times New Roman" w:eastAsia="仿宋_GB2312"/>
          <w:color w:val="0C0C0C"/>
          <w:sz w:val="32"/>
          <w:szCs w:val="28"/>
        </w:rPr>
        <w:t>资料。对于冷冻保存的样本还应对冻融次数进行评价。内</w:t>
      </w:r>
      <w:r>
        <w:rPr>
          <w:rFonts w:ascii="Times New Roman" w:hAnsi="Times New Roman" w:eastAsia="仿宋_GB2312"/>
          <w:sz w:val="32"/>
          <w:szCs w:val="28"/>
        </w:rPr>
        <w:t>容包括建议的保存条件、添加剂</w:t>
      </w:r>
      <w:r>
        <w:rPr>
          <w:rFonts w:hint="eastAsia" w:ascii="Times New Roman" w:hAnsi="Times New Roman" w:eastAsia="仿宋_GB2312"/>
          <w:sz w:val="32"/>
          <w:szCs w:val="28"/>
          <w:lang w:eastAsia="zh-CN"/>
        </w:rPr>
        <w:t>（</w:t>
      </w:r>
      <w:r>
        <w:rPr>
          <w:rFonts w:ascii="Times New Roman" w:hAnsi="Times New Roman" w:eastAsia="仿宋_GB2312"/>
          <w:sz w:val="32"/>
          <w:szCs w:val="28"/>
        </w:rPr>
        <w:t>如抗凝剂</w:t>
      </w:r>
      <w:r>
        <w:rPr>
          <w:rFonts w:hint="eastAsia" w:ascii="Times New Roman" w:hAnsi="Times New Roman" w:eastAsia="仿宋_GB2312"/>
          <w:sz w:val="32"/>
          <w:szCs w:val="28"/>
          <w:lang w:eastAsia="zh-CN"/>
        </w:rPr>
        <w:t>）</w:t>
      </w:r>
      <w:r>
        <w:rPr>
          <w:rFonts w:ascii="Times New Roman" w:hAnsi="Times New Roman" w:eastAsia="仿宋_GB2312"/>
          <w:sz w:val="32"/>
          <w:szCs w:val="28"/>
        </w:rPr>
        <w:t>和运输条件</w:t>
      </w:r>
      <w:r>
        <w:rPr>
          <w:rFonts w:hint="eastAsia" w:ascii="Times New Roman" w:hAnsi="Times New Roman" w:eastAsia="仿宋_GB2312"/>
          <w:sz w:val="32"/>
          <w:szCs w:val="28"/>
          <w:lang w:eastAsia="zh-CN"/>
        </w:rPr>
        <w:t>（</w:t>
      </w:r>
      <w:r>
        <w:rPr>
          <w:rFonts w:ascii="Times New Roman" w:hAnsi="Times New Roman" w:eastAsia="仿宋_GB2312"/>
          <w:sz w:val="32"/>
          <w:szCs w:val="28"/>
        </w:rPr>
        <w:t>如涉及</w:t>
      </w:r>
      <w:r>
        <w:rPr>
          <w:rFonts w:hint="eastAsia" w:ascii="Times New Roman" w:hAnsi="Times New Roman" w:eastAsia="仿宋_GB2312"/>
          <w:sz w:val="32"/>
          <w:szCs w:val="28"/>
          <w:lang w:eastAsia="zh-CN"/>
        </w:rPr>
        <w:t>）</w:t>
      </w:r>
      <w:r>
        <w:rPr>
          <w:rFonts w:ascii="Times New Roman" w:hAnsi="Times New Roman" w:eastAsia="仿宋_GB2312"/>
          <w:sz w:val="32"/>
          <w:szCs w:val="28"/>
        </w:rPr>
        <w:t>等。样本稳定性内容的研究结果应在说明书【样本要求】中进行详细描述。</w:t>
      </w:r>
    </w:p>
    <w:p>
      <w:pPr>
        <w:spacing w:line="520" w:lineRule="exact"/>
        <w:ind w:firstLine="640" w:firstLineChars="200"/>
        <w:rPr>
          <w:rFonts w:ascii="Times New Roman" w:hAnsi="Times New Roman" w:eastAsia="仿宋_GB2312"/>
          <w:sz w:val="32"/>
          <w:szCs w:val="28"/>
        </w:rPr>
      </w:pPr>
      <w:r>
        <w:rPr>
          <w:rFonts w:ascii="Times New Roman" w:hAnsi="Times New Roman" w:eastAsia="仿宋_GB2312"/>
          <w:sz w:val="32"/>
          <w:szCs w:val="28"/>
        </w:rPr>
        <w:t>4.2适用的样本类型</w:t>
      </w:r>
    </w:p>
    <w:p>
      <w:pPr>
        <w:snapToGrid w:val="0"/>
        <w:spacing w:line="520" w:lineRule="exact"/>
        <w:ind w:firstLine="640" w:firstLineChars="200"/>
        <w:rPr>
          <w:rFonts w:hint="eastAsia" w:ascii="Times New Roman" w:hAnsi="Times New Roman" w:eastAsia="仿宋_GB2312"/>
          <w:color w:val="0C0C0C"/>
          <w:sz w:val="32"/>
          <w:szCs w:val="28"/>
          <w:lang w:eastAsia="zh-CN"/>
        </w:rPr>
      </w:pPr>
      <w:r>
        <w:rPr>
          <w:rFonts w:hint="eastAsia" w:ascii="Times New Roman" w:hAnsi="Times New Roman" w:eastAsia="仿宋_GB2312"/>
          <w:color w:val="0C0C0C"/>
          <w:sz w:val="32"/>
          <w:szCs w:val="28"/>
        </w:rPr>
        <w:t>血清、血</w:t>
      </w:r>
      <w:r>
        <w:rPr>
          <w:rFonts w:hint="eastAsia" w:ascii="Times New Roman" w:hAnsi="Times New Roman" w:eastAsia="仿宋_GB2312"/>
          <w:color w:val="0C0C0C"/>
          <w:sz w:val="32"/>
          <w:szCs w:val="28"/>
          <w:lang w:eastAsia="zh-CN"/>
        </w:rPr>
        <w:t>浆、全血是髓过氧化物酶检测的</w:t>
      </w:r>
      <w:r>
        <w:rPr>
          <w:rFonts w:hint="eastAsia" w:ascii="Times New Roman" w:hAnsi="Times New Roman" w:eastAsia="仿宋_GB2312"/>
          <w:color w:val="0C0C0C"/>
          <w:sz w:val="32"/>
          <w:szCs w:val="28"/>
          <w:lang w:val="en-US" w:eastAsia="zh-CN"/>
        </w:rPr>
        <w:t>常用</w:t>
      </w:r>
      <w:r>
        <w:rPr>
          <w:rFonts w:hint="eastAsia" w:ascii="Times New Roman" w:hAnsi="Times New Roman" w:eastAsia="仿宋_GB2312"/>
          <w:color w:val="0C0C0C"/>
          <w:sz w:val="32"/>
          <w:szCs w:val="28"/>
          <w:lang w:eastAsia="zh-CN"/>
        </w:rPr>
        <w:t>适宜样本，如果试剂适用于多种样本类型，应采用合理方法评价每种样本类型的适用性。</w:t>
      </w:r>
    </w:p>
    <w:p>
      <w:pPr>
        <w:snapToGrid w:val="0"/>
        <w:spacing w:line="520" w:lineRule="exact"/>
        <w:ind w:firstLine="640" w:firstLineChars="200"/>
        <w:rPr>
          <w:rFonts w:eastAsia="仿宋_GB2312"/>
          <w:kern w:val="0"/>
          <w:sz w:val="32"/>
          <w:szCs w:val="32"/>
        </w:rPr>
      </w:pPr>
      <w:r>
        <w:rPr>
          <w:rFonts w:hint="eastAsia" w:ascii="Times New Roman" w:hAnsi="Times New Roman" w:eastAsia="仿宋_GB2312"/>
          <w:color w:val="0C0C0C"/>
          <w:sz w:val="32"/>
          <w:szCs w:val="28"/>
          <w:lang w:eastAsia="zh-CN"/>
        </w:rPr>
        <w:t>其中针对血清、血浆、全血样本，可选择具有统计学意义数量的样本进行样本一致性的同源比对研</w:t>
      </w:r>
      <w:r>
        <w:rPr>
          <w:rFonts w:hint="eastAsia" w:eastAsia="仿宋_GB2312"/>
          <w:sz w:val="32"/>
          <w:szCs w:val="28"/>
        </w:rPr>
        <w:t>究。对于不具有可比性的样本类型，应对每种样本类型分别进行分析性能评估。采用抗凝剂时，应说</w:t>
      </w:r>
      <w:r>
        <w:rPr>
          <w:rFonts w:hint="eastAsia" w:eastAsia="仿宋_GB2312"/>
          <w:kern w:val="0"/>
          <w:sz w:val="32"/>
          <w:szCs w:val="32"/>
        </w:rPr>
        <w:t>明抗凝剂对样本检测结果的影响。样本量选择应体现一定的统计学意义，说明样本的来源及制备方法。</w:t>
      </w:r>
    </w:p>
    <w:p>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4.3校准品的量值溯源和质控品的赋值</w:t>
      </w:r>
      <w:r>
        <w:rPr>
          <w:rFonts w:hint="eastAsia" w:ascii="Times New Roman" w:hAnsi="Times New Roman" w:eastAsia="仿宋_GB2312"/>
          <w:sz w:val="32"/>
          <w:szCs w:val="32"/>
        </w:rPr>
        <w:t>（如适用）</w:t>
      </w:r>
    </w:p>
    <w:p>
      <w:pPr>
        <w:snapToGrid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目前</w:t>
      </w:r>
      <w:r>
        <w:rPr>
          <w:rFonts w:hint="eastAsia" w:ascii="Times New Roman" w:hAnsi="Times New Roman" w:eastAsia="仿宋_GB2312"/>
          <w:sz w:val="32"/>
          <w:szCs w:val="32"/>
          <w:lang w:eastAsia="zh-CN"/>
        </w:rPr>
        <w:t>髓过氧化物酶</w:t>
      </w:r>
      <w:r>
        <w:rPr>
          <w:rFonts w:hint="eastAsia" w:ascii="Times New Roman" w:hAnsi="Times New Roman" w:eastAsia="仿宋_GB2312"/>
          <w:sz w:val="32"/>
          <w:szCs w:val="32"/>
        </w:rPr>
        <w:t>暂无有证参考物质及参考方法，</w:t>
      </w:r>
      <w:r>
        <w:rPr>
          <w:rFonts w:hint="eastAsia" w:ascii="Times New Roman" w:hAnsi="Times New Roman" w:eastAsia="仿宋_GB2312"/>
          <w:sz w:val="32"/>
          <w:szCs w:val="32"/>
          <w:lang w:eastAsia="zh-CN"/>
        </w:rPr>
        <w:t>髓过氧化物酶</w:t>
      </w:r>
      <w:r>
        <w:rPr>
          <w:rFonts w:hint="eastAsia" w:ascii="Times New Roman" w:hAnsi="Times New Roman" w:eastAsia="仿宋_GB2312"/>
          <w:sz w:val="32"/>
          <w:szCs w:val="32"/>
        </w:rPr>
        <w:t>校准品一般溯源至制造商选定测量程序。制造商选定测量程序应选取已上市的成熟检测系统，溯源明确</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未发生过不良反应事件</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且与待评价试剂的检测结果具有相同的单位。</w:t>
      </w:r>
    </w:p>
    <w:p>
      <w:pPr>
        <w:autoSpaceDE w:val="0"/>
        <w:autoSpaceDN w:val="0"/>
        <w:snapToGrid w:val="0"/>
        <w:spacing w:line="520" w:lineRule="exact"/>
        <w:ind w:firstLine="640" w:firstLineChars="200"/>
        <w:rPr>
          <w:rFonts w:eastAsia="仿宋_GB2312"/>
          <w:sz w:val="32"/>
          <w:szCs w:val="32"/>
        </w:rPr>
      </w:pPr>
      <w:r>
        <w:rPr>
          <w:rFonts w:hint="eastAsia" w:eastAsia="仿宋_GB2312"/>
          <w:sz w:val="32"/>
          <w:szCs w:val="32"/>
        </w:rPr>
        <w:t>如申报产品包括校准品，应当提交溯源资料。如申报产品包括质控品，应当提交在所有适用机型上进行赋值和验证的资料。</w:t>
      </w:r>
    </w:p>
    <w:p>
      <w:pPr>
        <w:autoSpaceDE w:val="0"/>
        <w:autoSpaceDN w:val="0"/>
        <w:snapToGrid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可参照GB/T 21415《体外诊断医疗器械建立校准品、正确的控制物质和人体样品赋值的计量溯源性要求》、YY/T 1709《体外诊断试剂用校准物测量不确定度评定》的要求，提供校准品溯源以及校准品定值及不确定度计算的相关资料。可参照YY/T 1652《体外诊断试剂用质控物通用技术要求》《质控品注册审查指导原则——质控品赋值研究》的要求，提供质控品的赋值资料。校准品/质控品的成分尽可能接近临床样本，减少基质和制备过程带来的影响。如有必要可参照WS/T 356《基质效应与互通性评估指南》进行研究。</w:t>
      </w:r>
    </w:p>
    <w:p>
      <w:pPr>
        <w:snapToGrid w:val="0"/>
        <w:spacing w:line="520" w:lineRule="exact"/>
        <w:ind w:firstLine="640" w:firstLineChars="200"/>
        <w:rPr>
          <w:rFonts w:hint="eastAsia" w:ascii="Times New Roman" w:hAnsi="Times New Roman" w:eastAsia="仿宋_GB2312"/>
          <w:sz w:val="32"/>
          <w:szCs w:val="32"/>
          <w:lang w:val="en-US" w:eastAsia="zh-CN"/>
        </w:rPr>
      </w:pPr>
      <w:r>
        <w:rPr>
          <w:rFonts w:ascii="Times New Roman" w:hAnsi="Times New Roman" w:eastAsia="仿宋_GB2312"/>
          <w:sz w:val="32"/>
          <w:szCs w:val="32"/>
        </w:rPr>
        <w:t>4.4</w:t>
      </w:r>
      <w:r>
        <w:rPr>
          <w:rFonts w:hint="eastAsia" w:ascii="Times New Roman" w:hAnsi="Times New Roman" w:eastAsia="仿宋_GB2312"/>
          <w:sz w:val="32"/>
          <w:szCs w:val="32"/>
          <w:lang w:val="en-US" w:eastAsia="zh-CN"/>
        </w:rPr>
        <w:t>正确度</w:t>
      </w:r>
    </w:p>
    <w:p>
      <w:pPr>
        <w:autoSpaceDE w:val="0"/>
        <w:autoSpaceDN w:val="0"/>
        <w:snapToGrid w:val="0"/>
        <w:spacing w:line="520" w:lineRule="exact"/>
        <w:ind w:firstLine="640" w:firstLineChars="200"/>
        <w:rPr>
          <w:rFonts w:hint="eastAsia" w:eastAsia="仿宋_GB2312"/>
          <w:sz w:val="32"/>
          <w:szCs w:val="32"/>
        </w:rPr>
      </w:pPr>
      <w:r>
        <w:rPr>
          <w:rFonts w:hint="eastAsia" w:eastAsia="仿宋_GB2312"/>
          <w:sz w:val="32"/>
          <w:szCs w:val="32"/>
          <w:lang w:val="en-US" w:eastAsia="zh-CN"/>
        </w:rPr>
        <w:t>对测量正确度的评价，可采用</w:t>
      </w:r>
      <w:r>
        <w:rPr>
          <w:rFonts w:hint="eastAsia" w:eastAsia="仿宋_GB2312"/>
          <w:sz w:val="32"/>
          <w:szCs w:val="32"/>
        </w:rPr>
        <w:t>参考物质检测、</w:t>
      </w:r>
      <w:r>
        <w:rPr>
          <w:rFonts w:hint="eastAsia" w:eastAsia="仿宋_GB2312"/>
          <w:sz w:val="32"/>
          <w:szCs w:val="32"/>
          <w:lang w:val="en-US" w:eastAsia="zh-CN"/>
        </w:rPr>
        <w:t>方法学比对、</w:t>
      </w:r>
      <w:r>
        <w:rPr>
          <w:rFonts w:hint="eastAsia" w:eastAsia="仿宋_GB2312"/>
          <w:sz w:val="32"/>
          <w:szCs w:val="32"/>
        </w:rPr>
        <w:t>回收试验等方法，申请人可根据实际情况选择合理方法进行研究。目前</w:t>
      </w:r>
      <w:r>
        <w:rPr>
          <w:rFonts w:hint="eastAsia" w:eastAsia="仿宋_GB2312"/>
          <w:sz w:val="32"/>
          <w:szCs w:val="32"/>
          <w:lang w:eastAsia="zh-CN"/>
        </w:rPr>
        <w:t>髓过氧化物酶</w:t>
      </w:r>
      <w:r>
        <w:rPr>
          <w:rFonts w:hint="eastAsia" w:eastAsia="仿宋_GB2312"/>
          <w:sz w:val="32"/>
          <w:szCs w:val="32"/>
        </w:rPr>
        <w:t>暂无有证参考物质及参考方法，建议申请人采用方法学比对进行正确度研究。如有有证参考物质及参考方法发布，优先采用参考物质测定进行研究。</w:t>
      </w:r>
    </w:p>
    <w:p>
      <w:pPr>
        <w:autoSpaceDE w:val="0"/>
        <w:autoSpaceDN w:val="0"/>
        <w:snapToGrid w:val="0"/>
        <w:spacing w:line="520" w:lineRule="exact"/>
        <w:ind w:firstLine="640" w:firstLineChars="200"/>
        <w:rPr>
          <w:rFonts w:hint="eastAsia" w:eastAsia="仿宋_GB2312"/>
          <w:sz w:val="32"/>
          <w:szCs w:val="32"/>
        </w:rPr>
      </w:pPr>
      <w:r>
        <w:rPr>
          <w:rFonts w:hint="eastAsia" w:ascii="Times New Roman" w:hAnsi="Times New Roman" w:eastAsia="仿宋_GB2312"/>
          <w:sz w:val="32"/>
          <w:szCs w:val="32"/>
        </w:rPr>
        <w:t>4.4.</w:t>
      </w:r>
      <w:r>
        <w:rPr>
          <w:rFonts w:hint="eastAsia" w:ascii="Times New Roman" w:hAnsi="Times New Roman" w:eastAsia="仿宋_GB2312"/>
          <w:sz w:val="32"/>
          <w:szCs w:val="32"/>
          <w:lang w:val="en-US" w:eastAsia="zh-CN"/>
        </w:rPr>
        <w:t>1</w:t>
      </w:r>
      <w:r>
        <w:rPr>
          <w:rFonts w:hint="eastAsia" w:eastAsia="仿宋_GB2312"/>
          <w:sz w:val="32"/>
          <w:szCs w:val="32"/>
        </w:rPr>
        <w:t>参考物质检测</w:t>
      </w:r>
    </w:p>
    <w:p>
      <w:pPr>
        <w:snapToGrid w:val="0"/>
        <w:spacing w:line="52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参考物质包括具有互换性的有证参考物质，公认的参考品、标准品，参考测量程序赋值的临床样本。不可采用产品校准品、申报试剂检测系统定值的质控品进行正确度评价。</w:t>
      </w:r>
    </w:p>
    <w:p>
      <w:pPr>
        <w:snapToGrid w:val="0"/>
        <w:spacing w:line="520" w:lineRule="exact"/>
        <w:ind w:firstLine="640" w:firstLineChars="200"/>
        <w:rPr>
          <w:rFonts w:hint="eastAsia" w:eastAsia="仿宋_GB2312"/>
          <w:color w:val="0000FF"/>
          <w:sz w:val="32"/>
          <w:szCs w:val="28"/>
        </w:rPr>
      </w:pPr>
      <w:r>
        <w:rPr>
          <w:rFonts w:hint="eastAsia" w:ascii="Times New Roman" w:hAnsi="Times New Roman" w:eastAsia="仿宋_GB2312"/>
          <w:sz w:val="32"/>
          <w:szCs w:val="32"/>
        </w:rPr>
        <w:t>建议采用2～3个水平的参考物质，代表试剂测量区间内的不同浓度，其中应包括医学决定水平或参考区间上/下限附近的浓度。进行多次重复检测，采用检测结果平均值与参考量值计算偏倚。如参考物质只有1个水平，且无合理稀释方法，亦可在说明原因的基础上，仅采用1个水平的参考物质进行正确度评价。</w:t>
      </w:r>
    </w:p>
    <w:p>
      <w:pPr>
        <w:snapToGrid w:val="0"/>
        <w:spacing w:line="520" w:lineRule="exact"/>
        <w:ind w:firstLine="640" w:firstLineChars="200"/>
        <w:rPr>
          <w:rFonts w:ascii="Times New Roman" w:hAnsi="Times New Roman" w:eastAsia="仿宋_GB2312"/>
          <w:sz w:val="32"/>
          <w:szCs w:val="28"/>
        </w:rPr>
      </w:pPr>
      <w:r>
        <w:rPr>
          <w:rFonts w:ascii="Times New Roman" w:hAnsi="Times New Roman" w:eastAsia="仿宋_GB2312"/>
          <w:sz w:val="32"/>
          <w:szCs w:val="28"/>
        </w:rPr>
        <w:t>4.4.</w:t>
      </w:r>
      <w:r>
        <w:rPr>
          <w:rFonts w:hint="eastAsia" w:ascii="Times New Roman" w:hAnsi="Times New Roman" w:eastAsia="仿宋_GB2312"/>
          <w:sz w:val="32"/>
          <w:szCs w:val="28"/>
          <w:lang w:val="en-US" w:eastAsia="zh-CN"/>
        </w:rPr>
        <w:t>2</w:t>
      </w:r>
      <w:r>
        <w:rPr>
          <w:rFonts w:ascii="Times New Roman" w:hAnsi="Times New Roman" w:eastAsia="仿宋_GB2312"/>
          <w:sz w:val="32"/>
          <w:szCs w:val="28"/>
        </w:rPr>
        <w:t>方法学比对</w:t>
      </w:r>
    </w:p>
    <w:p>
      <w:pPr>
        <w:overflowPunct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28"/>
        </w:rPr>
        <w:t>采用参考测量程序或国内普遍认为质量较好的已上市同类试剂作为参比方法，与拟申报试剂同时测定</w:t>
      </w:r>
      <w:r>
        <w:rPr>
          <w:rFonts w:hint="eastAsia" w:ascii="Times New Roman" w:hAnsi="Times New Roman" w:eastAsia="仿宋_GB2312"/>
          <w:sz w:val="32"/>
          <w:szCs w:val="28"/>
          <w:lang w:val="en-US" w:eastAsia="zh-CN"/>
        </w:rPr>
        <w:t>临床样本</w:t>
      </w:r>
      <w:r>
        <w:rPr>
          <w:rFonts w:ascii="Times New Roman" w:hAnsi="Times New Roman" w:eastAsia="仿宋_GB2312"/>
          <w:sz w:val="32"/>
          <w:szCs w:val="28"/>
        </w:rPr>
        <w:t>，</w:t>
      </w:r>
      <w:r>
        <w:rPr>
          <w:rFonts w:hint="eastAsia" w:ascii="Times New Roman" w:hAnsi="Times New Roman" w:eastAsia="仿宋_GB2312"/>
          <w:sz w:val="32"/>
          <w:szCs w:val="28"/>
          <w:lang w:val="en-US" w:eastAsia="zh-CN"/>
        </w:rPr>
        <w:t>临床</w:t>
      </w:r>
      <w:r>
        <w:rPr>
          <w:rFonts w:ascii="Times New Roman" w:hAnsi="Times New Roman" w:eastAsia="仿宋_GB2312"/>
          <w:sz w:val="32"/>
          <w:szCs w:val="32"/>
        </w:rPr>
        <w:t>样本浓度应</w:t>
      </w:r>
      <w:r>
        <w:rPr>
          <w:rFonts w:hint="eastAsia" w:ascii="Times New Roman" w:hAnsi="Times New Roman" w:eastAsia="仿宋_GB2312"/>
          <w:sz w:val="32"/>
          <w:szCs w:val="32"/>
          <w:lang w:val="en-US" w:eastAsia="zh-CN"/>
        </w:rPr>
        <w:t>覆盖申报试剂的测量区间</w:t>
      </w:r>
      <w:r>
        <w:rPr>
          <w:rFonts w:ascii="Times New Roman" w:hAnsi="Times New Roman" w:eastAsia="仿宋_GB2312"/>
          <w:sz w:val="32"/>
          <w:szCs w:val="32"/>
        </w:rPr>
        <w:t>。</w:t>
      </w:r>
      <w:r>
        <w:rPr>
          <w:rFonts w:ascii="Times New Roman" w:hAnsi="Times New Roman" w:eastAsia="仿宋_GB2312"/>
          <w:color w:val="000000"/>
          <w:sz w:val="32"/>
          <w:szCs w:val="32"/>
        </w:rPr>
        <w:t>比较两种方法之间的偏倚，如果偏倚在</w:t>
      </w:r>
      <w:r>
        <w:rPr>
          <w:rFonts w:ascii="Times New Roman" w:hAnsi="Times New Roman" w:eastAsia="仿宋_GB2312"/>
          <w:sz w:val="32"/>
          <w:szCs w:val="28"/>
        </w:rPr>
        <w:t>申请人给定</w:t>
      </w:r>
      <w:r>
        <w:rPr>
          <w:rFonts w:ascii="Times New Roman" w:hAnsi="Times New Roman" w:eastAsia="仿宋_GB2312"/>
          <w:color w:val="000000"/>
          <w:sz w:val="32"/>
          <w:szCs w:val="32"/>
        </w:rPr>
        <w:t>的允许误差范围内，说明两测定系统对样本的测定结果基本相符。</w:t>
      </w:r>
      <w:r>
        <w:rPr>
          <w:rFonts w:ascii="Times New Roman" w:hAnsi="Times New Roman" w:eastAsia="仿宋_GB2312"/>
          <w:bCs/>
          <w:sz w:val="32"/>
          <w:szCs w:val="28"/>
        </w:rPr>
        <w:t>拟申报试剂与</w:t>
      </w:r>
      <w:r>
        <w:rPr>
          <w:rFonts w:ascii="Times New Roman" w:hAnsi="Times New Roman" w:eastAsia="仿宋_GB2312"/>
          <w:sz w:val="32"/>
          <w:szCs w:val="28"/>
        </w:rPr>
        <w:t>比对试剂</w:t>
      </w:r>
      <w:r>
        <w:rPr>
          <w:rFonts w:ascii="Times New Roman" w:hAnsi="Times New Roman" w:eastAsia="仿宋_GB2312"/>
          <w:bCs/>
          <w:sz w:val="32"/>
          <w:szCs w:val="28"/>
        </w:rPr>
        <w:t>相比，对同一份临床样本的医学解释不会产生差异结果。</w:t>
      </w:r>
    </w:p>
    <w:p>
      <w:pPr>
        <w:snapToGrid w:val="0"/>
        <w:spacing w:line="520" w:lineRule="exact"/>
        <w:ind w:firstLine="640" w:firstLineChars="200"/>
        <w:rPr>
          <w:rFonts w:eastAsia="仿宋_GB2312"/>
          <w:sz w:val="32"/>
          <w:szCs w:val="28"/>
        </w:rPr>
      </w:pPr>
      <w:r>
        <w:rPr>
          <w:rFonts w:ascii="Times New Roman" w:hAnsi="Times New Roman" w:eastAsia="仿宋_GB2312"/>
          <w:sz w:val="32"/>
          <w:szCs w:val="28"/>
        </w:rPr>
        <w:t>在实施方法学比对前，应分别对拟申报试剂和比对试剂进行初步评估，只有在确认两者都分别符合各自相关的质量标准后方可进行比对试验。方法学比对时应注意适用机型、质量控制、样本类型、浓度分布范围并对结果进行合理的统计学分析。</w:t>
      </w:r>
    </w:p>
    <w:p>
      <w:pPr>
        <w:snapToGrid w:val="0"/>
        <w:spacing w:line="520" w:lineRule="exact"/>
        <w:ind w:firstLine="640" w:firstLineChars="200"/>
        <w:rPr>
          <w:rFonts w:ascii="Times New Roman" w:hAnsi="Times New Roman" w:eastAsia="仿宋_GB2312"/>
          <w:color w:val="0000FF"/>
          <w:sz w:val="32"/>
          <w:szCs w:val="28"/>
          <w:highlight w:val="none"/>
        </w:rPr>
      </w:pPr>
      <w:r>
        <w:rPr>
          <w:rFonts w:ascii="Times New Roman" w:hAnsi="Times New Roman" w:eastAsia="仿宋_GB2312"/>
          <w:sz w:val="32"/>
          <w:szCs w:val="28"/>
          <w:highlight w:val="none"/>
        </w:rPr>
        <w:t>4.4.</w:t>
      </w:r>
      <w:r>
        <w:rPr>
          <w:rFonts w:hint="eastAsia" w:ascii="Times New Roman" w:hAnsi="Times New Roman" w:eastAsia="仿宋_GB2312"/>
          <w:sz w:val="32"/>
          <w:szCs w:val="28"/>
          <w:highlight w:val="none"/>
          <w:lang w:val="en-US" w:eastAsia="zh-CN"/>
        </w:rPr>
        <w:t>3</w:t>
      </w:r>
      <w:r>
        <w:rPr>
          <w:rFonts w:hint="eastAsia" w:ascii="Times New Roman" w:hAnsi="Times New Roman" w:eastAsia="仿宋_GB2312"/>
          <w:sz w:val="32"/>
          <w:szCs w:val="32"/>
          <w:highlight w:val="none"/>
          <w:lang w:val="en-US" w:eastAsia="zh-CN"/>
        </w:rPr>
        <w:t>回收试验</w:t>
      </w:r>
    </w:p>
    <w:p>
      <w:pPr>
        <w:snapToGrid w:val="0"/>
        <w:spacing w:line="520" w:lineRule="exact"/>
        <w:ind w:firstLine="640" w:firstLineChars="200"/>
        <w:rPr>
          <w:rFonts w:hint="eastAsia" w:ascii="Times New Roman" w:hAnsi="Times New Roman" w:eastAsia="仿宋_GB2312"/>
          <w:sz w:val="32"/>
          <w:szCs w:val="28"/>
        </w:rPr>
      </w:pPr>
      <w:r>
        <w:rPr>
          <w:rFonts w:hint="eastAsia" w:ascii="Times New Roman" w:hAnsi="Times New Roman" w:eastAsia="仿宋_GB2312"/>
          <w:sz w:val="32"/>
          <w:szCs w:val="28"/>
        </w:rPr>
        <w:t>对于可获得标准溶液、标准物质或分析物纯品的试剂（例如部分临床化学检测试剂），可采用回收试验进行正确度评价。将标准溶液、标准物质或分析物纯品加入临床样本中，配制成回收样品，进行检测。标准溶液、标准物质的体积与临床样本的体积比应不会产生基质的变化，一般加入体积不超过总体积的10%。</w:t>
      </w:r>
    </w:p>
    <w:p>
      <w:pPr>
        <w:snapToGrid w:val="0"/>
        <w:spacing w:line="520" w:lineRule="exact"/>
        <w:ind w:firstLine="640" w:firstLineChars="200"/>
        <w:rPr>
          <w:rFonts w:ascii="Times New Roman" w:hAnsi="Times New Roman" w:eastAsia="仿宋_GB2312"/>
          <w:sz w:val="32"/>
          <w:szCs w:val="28"/>
        </w:rPr>
      </w:pPr>
      <w:r>
        <w:rPr>
          <w:rFonts w:hint="eastAsia" w:ascii="Times New Roman" w:hAnsi="Times New Roman" w:eastAsia="仿宋_GB2312"/>
          <w:sz w:val="32"/>
          <w:szCs w:val="28"/>
        </w:rPr>
        <w:t>检测至少3个水平的回收样品，代表试剂测量区间内的高、中、低浓度，其中应包括医学决定水平或参考区间上/下限附近的浓度。每个浓度应进行多次重复检测，采用检测结果平均值计算回收率。</w:t>
      </w:r>
    </w:p>
    <w:p>
      <w:pPr>
        <w:autoSpaceDE w:val="0"/>
        <w:autoSpaceDN w:val="0"/>
        <w:adjustRightInd w:val="0"/>
        <w:snapToGrid w:val="0"/>
        <w:spacing w:line="520" w:lineRule="exact"/>
        <w:ind w:firstLine="640" w:firstLineChars="200"/>
        <w:jc w:val="left"/>
        <w:rPr>
          <w:rFonts w:ascii="Times New Roman" w:hAnsi="Times New Roman" w:eastAsia="仿宋_GB2312"/>
          <w:sz w:val="32"/>
          <w:szCs w:val="24"/>
        </w:rPr>
      </w:pPr>
      <w:r>
        <w:rPr>
          <w:rFonts w:ascii="Times New Roman" w:hAnsi="Times New Roman" w:eastAsia="仿宋_GB2312"/>
          <w:sz w:val="32"/>
          <w:szCs w:val="24"/>
        </w:rPr>
        <w:t>4.</w:t>
      </w:r>
      <w:r>
        <w:rPr>
          <w:rFonts w:hint="eastAsia" w:ascii="Times New Roman" w:hAnsi="Times New Roman" w:eastAsia="仿宋_GB2312"/>
          <w:sz w:val="32"/>
          <w:szCs w:val="24"/>
          <w:lang w:val="en-US" w:eastAsia="zh-CN"/>
        </w:rPr>
        <w:t>5</w:t>
      </w:r>
      <w:r>
        <w:rPr>
          <w:rFonts w:ascii="Times New Roman" w:hAnsi="Times New Roman" w:eastAsia="仿宋_GB2312"/>
          <w:sz w:val="32"/>
          <w:szCs w:val="24"/>
        </w:rPr>
        <w:t>精密度</w:t>
      </w:r>
    </w:p>
    <w:p>
      <w:pPr>
        <w:autoSpaceDE w:val="0"/>
        <w:autoSpaceDN w:val="0"/>
        <w:adjustRightInd w:val="0"/>
        <w:snapToGrid w:val="0"/>
        <w:spacing w:line="520" w:lineRule="exact"/>
        <w:ind w:firstLine="640" w:firstLineChars="200"/>
        <w:jc w:val="left"/>
        <w:rPr>
          <w:rFonts w:ascii="Times New Roman" w:hAnsi="Times New Roman" w:eastAsia="仿宋_GB2312"/>
          <w:sz w:val="32"/>
          <w:szCs w:val="24"/>
        </w:rPr>
      </w:pPr>
      <w:r>
        <w:rPr>
          <w:rFonts w:ascii="Times New Roman" w:hAnsi="Times New Roman" w:eastAsia="仿宋_GB2312"/>
          <w:sz w:val="32"/>
          <w:szCs w:val="32"/>
        </w:rPr>
        <w:t>精密度由随机测量误差决定，通常用标准差、方差或变异系数表示。影响精密度的条件包括：操作者、测量仪器、试剂批次(lot)、校准（校准品批次，校准周期）、时间、地点、环境条件（实验室温度、湿度、空气质量、管理等）等。</w:t>
      </w:r>
      <w:r>
        <w:rPr>
          <w:rFonts w:ascii="Times New Roman" w:hAnsi="Times New Roman" w:eastAsia="仿宋_GB2312"/>
          <w:sz w:val="32"/>
          <w:szCs w:val="24"/>
        </w:rPr>
        <w:t>精密度包括重复性、中间精密度和再现性。</w:t>
      </w:r>
    </w:p>
    <w:p>
      <w:pPr>
        <w:autoSpaceDE w:val="0"/>
        <w:autoSpaceDN w:val="0"/>
        <w:spacing w:line="520" w:lineRule="exact"/>
        <w:ind w:firstLine="640" w:firstLineChars="200"/>
        <w:rPr>
          <w:rFonts w:ascii="Times New Roman" w:hAnsi="Times New Roman" w:eastAsia="仿宋_GB2312"/>
          <w:sz w:val="32"/>
          <w:szCs w:val="32"/>
        </w:rPr>
      </w:pPr>
      <w:r>
        <w:rPr>
          <w:rFonts w:hint="default" w:ascii="Times New Roman" w:hAnsi="Times New Roman" w:eastAsia="仿宋_GB2312"/>
          <w:sz w:val="32"/>
          <w:szCs w:val="32"/>
        </w:rPr>
        <w:t>精密度研究用样本一般为临床实际检测样本或其混合物。样本浓度一般包括测量区间高、中、低在内的3～5个水平，应有医学决定水平或参考区间上/下限浓度附近的样本。精密度研究可能涉及多天、多地点检测，应确保样本的稳定性和一致性，可将样本等分保存。</w:t>
      </w:r>
    </w:p>
    <w:p>
      <w:pPr>
        <w:autoSpaceDE w:val="0"/>
        <w:autoSpaceDN w:val="0"/>
        <w:adjustRightInd w:val="0"/>
        <w:snapToGrid w:val="0"/>
        <w:spacing w:line="520" w:lineRule="exact"/>
        <w:ind w:firstLine="640" w:firstLineChars="200"/>
        <w:jc w:val="left"/>
        <w:rPr>
          <w:rFonts w:hint="eastAsia" w:ascii="Times New Roman" w:hAnsi="Times New Roman" w:eastAsia="仿宋_GB2312"/>
          <w:color w:val="auto"/>
          <w:sz w:val="32"/>
          <w:szCs w:val="24"/>
          <w:highlight w:val="none"/>
        </w:rPr>
      </w:pPr>
      <w:r>
        <w:rPr>
          <w:rFonts w:hint="eastAsia" w:ascii="Times New Roman" w:hAnsi="Times New Roman" w:eastAsia="仿宋_GB2312"/>
          <w:color w:val="auto"/>
          <w:sz w:val="32"/>
          <w:szCs w:val="24"/>
          <w:highlight w:val="none"/>
        </w:rPr>
        <w:t>4.6试剂空白吸光度</w:t>
      </w:r>
      <w:r>
        <w:rPr>
          <w:rFonts w:hint="eastAsia" w:ascii="Times New Roman" w:hAnsi="Times New Roman" w:eastAsia="仿宋_GB2312"/>
          <w:color w:val="auto"/>
          <w:sz w:val="32"/>
          <w:szCs w:val="24"/>
          <w:highlight w:val="none"/>
          <w:lang w:eastAsia="zh-CN"/>
        </w:rPr>
        <w:t>（</w:t>
      </w:r>
      <w:r>
        <w:rPr>
          <w:rFonts w:hint="eastAsia" w:ascii="Times New Roman" w:hAnsi="Times New Roman" w:eastAsia="仿宋_GB2312"/>
          <w:color w:val="auto"/>
          <w:sz w:val="32"/>
          <w:szCs w:val="24"/>
          <w:highlight w:val="none"/>
          <w:lang w:val="en-US" w:eastAsia="zh-CN"/>
        </w:rPr>
        <w:t>如适用）</w:t>
      </w:r>
    </w:p>
    <w:p>
      <w:pPr>
        <w:autoSpaceDE w:val="0"/>
        <w:autoSpaceDN w:val="0"/>
        <w:adjustRightInd w:val="0"/>
        <w:snapToGrid w:val="0"/>
        <w:spacing w:line="520" w:lineRule="exact"/>
        <w:ind w:firstLine="640" w:firstLineChars="200"/>
        <w:jc w:val="left"/>
        <w:rPr>
          <w:rFonts w:hint="eastAsia" w:ascii="Times New Roman" w:hAnsi="Times New Roman" w:eastAsia="仿宋_GB2312"/>
          <w:color w:val="auto"/>
          <w:sz w:val="32"/>
          <w:szCs w:val="24"/>
          <w:highlight w:val="none"/>
        </w:rPr>
      </w:pPr>
      <w:r>
        <w:rPr>
          <w:rFonts w:hint="eastAsia" w:ascii="Times New Roman" w:hAnsi="Times New Roman" w:eastAsia="仿宋_GB2312"/>
          <w:color w:val="auto"/>
          <w:sz w:val="32"/>
          <w:szCs w:val="24"/>
          <w:highlight w:val="none"/>
        </w:rPr>
        <w:t>用生理盐水或纯化水作为样本重复测定至少2次，记录试剂参数规定读数点主波长下的吸光度值（A），结果均值应符合生产企业规定的要求。</w:t>
      </w:r>
    </w:p>
    <w:p>
      <w:pPr>
        <w:autoSpaceDE w:val="0"/>
        <w:autoSpaceDN w:val="0"/>
        <w:adjustRightInd w:val="0"/>
        <w:snapToGrid w:val="0"/>
        <w:spacing w:line="520" w:lineRule="exact"/>
        <w:ind w:firstLine="640" w:firstLineChars="200"/>
        <w:jc w:val="left"/>
        <w:rPr>
          <w:rFonts w:hint="eastAsia" w:ascii="Times New Roman" w:hAnsi="Times New Roman" w:eastAsia="仿宋_GB2312"/>
          <w:color w:val="auto"/>
          <w:sz w:val="32"/>
          <w:szCs w:val="24"/>
          <w:highlight w:val="none"/>
        </w:rPr>
      </w:pPr>
      <w:r>
        <w:rPr>
          <w:rFonts w:hint="eastAsia" w:ascii="Times New Roman" w:hAnsi="Times New Roman" w:eastAsia="仿宋_GB2312"/>
          <w:color w:val="auto"/>
          <w:sz w:val="32"/>
          <w:szCs w:val="24"/>
          <w:highlight w:val="none"/>
        </w:rPr>
        <w:t>4.7分析灵敏度</w:t>
      </w:r>
      <w:r>
        <w:rPr>
          <w:rFonts w:hint="eastAsia" w:ascii="Times New Roman" w:hAnsi="Times New Roman" w:eastAsia="仿宋_GB2312"/>
          <w:color w:val="auto"/>
          <w:sz w:val="32"/>
          <w:szCs w:val="24"/>
          <w:highlight w:val="none"/>
          <w:lang w:eastAsia="zh-CN"/>
        </w:rPr>
        <w:t>（</w:t>
      </w:r>
      <w:r>
        <w:rPr>
          <w:rFonts w:hint="eastAsia" w:ascii="Times New Roman" w:hAnsi="Times New Roman" w:eastAsia="仿宋_GB2312"/>
          <w:color w:val="auto"/>
          <w:sz w:val="32"/>
          <w:szCs w:val="24"/>
          <w:highlight w:val="none"/>
          <w:lang w:val="en-US" w:eastAsia="zh-CN"/>
        </w:rPr>
        <w:t>如适用）</w:t>
      </w:r>
    </w:p>
    <w:p>
      <w:pPr>
        <w:autoSpaceDE w:val="0"/>
        <w:autoSpaceDN w:val="0"/>
        <w:adjustRightInd w:val="0"/>
        <w:snapToGrid w:val="0"/>
        <w:spacing w:line="520" w:lineRule="exact"/>
        <w:ind w:firstLine="640" w:firstLineChars="200"/>
        <w:jc w:val="left"/>
        <w:rPr>
          <w:rFonts w:ascii="Times New Roman" w:hAnsi="Times New Roman" w:eastAsia="仿宋_GB2312"/>
          <w:color w:val="auto"/>
          <w:sz w:val="32"/>
          <w:szCs w:val="24"/>
          <w:highlight w:val="none"/>
        </w:rPr>
      </w:pPr>
      <w:r>
        <w:rPr>
          <w:rFonts w:hint="eastAsia" w:ascii="Times New Roman" w:hAnsi="Times New Roman" w:eastAsia="仿宋_GB2312"/>
          <w:color w:val="auto"/>
          <w:sz w:val="32"/>
          <w:szCs w:val="24"/>
          <w:highlight w:val="none"/>
        </w:rPr>
        <w:t>用已知浓度的样本测试试剂（盒），记录在试剂盒规定参数下产生的吸光度改变。换算为n单位的吸光度差值（△A），应符合企业规定要求。</w:t>
      </w:r>
    </w:p>
    <w:p>
      <w:pPr>
        <w:autoSpaceDE w:val="0"/>
        <w:autoSpaceDN w:val="0"/>
        <w:adjustRightInd w:val="0"/>
        <w:snapToGrid w:val="0"/>
        <w:spacing w:line="520" w:lineRule="exact"/>
        <w:ind w:firstLine="640" w:firstLineChars="200"/>
        <w:jc w:val="left"/>
        <w:rPr>
          <w:rFonts w:ascii="Times New Roman" w:hAnsi="Times New Roman" w:eastAsia="仿宋_GB2312"/>
          <w:sz w:val="32"/>
          <w:szCs w:val="24"/>
          <w:highlight w:val="none"/>
        </w:rPr>
      </w:pPr>
      <w:r>
        <w:rPr>
          <w:rFonts w:ascii="Times New Roman" w:hAnsi="Times New Roman" w:eastAsia="仿宋_GB2312"/>
          <w:sz w:val="32"/>
          <w:szCs w:val="24"/>
          <w:highlight w:val="none"/>
        </w:rPr>
        <w:t>4.</w:t>
      </w:r>
      <w:r>
        <w:rPr>
          <w:rFonts w:hint="eastAsia" w:ascii="Times New Roman" w:hAnsi="Times New Roman" w:eastAsia="仿宋_GB2312"/>
          <w:sz w:val="32"/>
          <w:szCs w:val="24"/>
          <w:highlight w:val="none"/>
          <w:lang w:val="en-US" w:eastAsia="zh-CN"/>
        </w:rPr>
        <w:t>8</w:t>
      </w:r>
      <w:r>
        <w:rPr>
          <w:rFonts w:ascii="Times New Roman" w:hAnsi="Times New Roman" w:eastAsia="仿宋_GB2312"/>
          <w:sz w:val="32"/>
          <w:szCs w:val="24"/>
          <w:highlight w:val="none"/>
        </w:rPr>
        <w:t>空白限、检出限、定量限</w:t>
      </w:r>
    </w:p>
    <w:p>
      <w:pPr>
        <w:autoSpaceDE w:val="0"/>
        <w:autoSpaceDN w:val="0"/>
        <w:adjustRightInd w:val="0"/>
        <w:snapToGrid w:val="0"/>
        <w:spacing w:line="520" w:lineRule="exact"/>
        <w:ind w:firstLine="640" w:firstLineChars="200"/>
        <w:jc w:val="left"/>
        <w:rPr>
          <w:rFonts w:ascii="Times New Roman" w:hAnsi="Times New Roman" w:eastAsia="仿宋_GB2312"/>
          <w:sz w:val="32"/>
          <w:szCs w:val="24"/>
          <w:highlight w:val="none"/>
        </w:rPr>
      </w:pPr>
      <w:r>
        <w:rPr>
          <w:rFonts w:ascii="Times New Roman" w:hAnsi="Times New Roman" w:eastAsia="仿宋_GB2312"/>
          <w:sz w:val="32"/>
          <w:szCs w:val="24"/>
          <w:highlight w:val="none"/>
        </w:rPr>
        <w:t>4.</w:t>
      </w:r>
      <w:r>
        <w:rPr>
          <w:rFonts w:hint="eastAsia" w:ascii="Times New Roman" w:hAnsi="Times New Roman" w:eastAsia="仿宋_GB2312"/>
          <w:sz w:val="32"/>
          <w:szCs w:val="24"/>
          <w:highlight w:val="none"/>
          <w:lang w:eastAsia="zh-CN"/>
        </w:rPr>
        <w:t>8</w:t>
      </w:r>
      <w:r>
        <w:rPr>
          <w:rFonts w:ascii="Times New Roman" w:hAnsi="Times New Roman" w:eastAsia="仿宋_GB2312"/>
          <w:sz w:val="32"/>
          <w:szCs w:val="24"/>
          <w:highlight w:val="none"/>
        </w:rPr>
        <w:t>.1</w:t>
      </w:r>
      <w:r>
        <w:rPr>
          <w:rFonts w:ascii="Times New Roman" w:hAnsi="Times New Roman" w:eastAsia="仿宋_GB2312"/>
          <w:sz w:val="32"/>
          <w:szCs w:val="32"/>
          <w:highlight w:val="none"/>
        </w:rPr>
        <w:t>空白限、检出限与定量限的建立</w:t>
      </w:r>
    </w:p>
    <w:p>
      <w:pPr>
        <w:overflowPunct w:val="0"/>
        <w:snapToGrid w:val="0"/>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空白限一般由多个空白样本（无分析物）的检测结果，经计算获得；检出限一般由多个低浓度（含有分析物）样本的检测结果结合空白限（或单独计算）获得。</w:t>
      </w:r>
    </w:p>
    <w:p>
      <w:pPr>
        <w:overflowPunct w:val="0"/>
        <w:snapToGrid w:val="0"/>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定量限应满足预设准确度指标，即考虑偏倚和精密度的要求。</w:t>
      </w:r>
    </w:p>
    <w:p>
      <w:pPr>
        <w:adjustRightInd w:val="0"/>
        <w:snapToGrid w:val="0"/>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24"/>
          <w:highlight w:val="none"/>
        </w:rPr>
        <w:t>空白限、检出限、定量限</w:t>
      </w:r>
      <w:r>
        <w:rPr>
          <w:rFonts w:ascii="Times New Roman" w:hAnsi="Times New Roman" w:eastAsia="仿宋_GB2312"/>
          <w:sz w:val="32"/>
          <w:szCs w:val="32"/>
          <w:highlight w:val="none"/>
        </w:rPr>
        <w:t>的评估需选择多个样本（空白样本、低浓度水平样本、已知浓度的低水平样本），在多天内进行研究。</w:t>
      </w:r>
    </w:p>
    <w:p>
      <w:pPr>
        <w:autoSpaceDE w:val="0"/>
        <w:autoSpaceDN w:val="0"/>
        <w:adjustRightInd w:val="0"/>
        <w:snapToGrid w:val="0"/>
        <w:spacing w:line="520" w:lineRule="exact"/>
        <w:ind w:firstLine="640" w:firstLineChars="200"/>
        <w:jc w:val="left"/>
        <w:rPr>
          <w:rFonts w:ascii="Times New Roman" w:hAnsi="Times New Roman" w:eastAsia="仿宋_GB2312"/>
          <w:sz w:val="32"/>
          <w:szCs w:val="24"/>
          <w:highlight w:val="none"/>
        </w:rPr>
      </w:pPr>
      <w:r>
        <w:rPr>
          <w:rFonts w:ascii="Times New Roman" w:hAnsi="Times New Roman" w:eastAsia="仿宋_GB2312"/>
          <w:sz w:val="32"/>
          <w:szCs w:val="24"/>
          <w:highlight w:val="none"/>
        </w:rPr>
        <w:t>4.</w:t>
      </w:r>
      <w:r>
        <w:rPr>
          <w:rFonts w:hint="eastAsia" w:ascii="Times New Roman" w:hAnsi="Times New Roman" w:eastAsia="仿宋_GB2312"/>
          <w:sz w:val="32"/>
          <w:szCs w:val="24"/>
          <w:highlight w:val="none"/>
          <w:lang w:eastAsia="zh-CN"/>
        </w:rPr>
        <w:t>8</w:t>
      </w:r>
      <w:r>
        <w:rPr>
          <w:rFonts w:ascii="Times New Roman" w:hAnsi="Times New Roman" w:eastAsia="仿宋_GB2312"/>
          <w:sz w:val="32"/>
          <w:szCs w:val="24"/>
          <w:highlight w:val="none"/>
        </w:rPr>
        <w:t>.2</w:t>
      </w:r>
      <w:r>
        <w:rPr>
          <w:rFonts w:ascii="Times New Roman" w:hAnsi="Times New Roman" w:eastAsia="仿宋_GB2312"/>
          <w:sz w:val="32"/>
          <w:szCs w:val="32"/>
          <w:highlight w:val="none"/>
        </w:rPr>
        <w:t>空白限、检出限与定量限的验证</w:t>
      </w:r>
    </w:p>
    <w:p>
      <w:pPr>
        <w:autoSpaceDE w:val="0"/>
        <w:autoSpaceDN w:val="0"/>
        <w:snapToGrid w:val="0"/>
        <w:spacing w:line="520" w:lineRule="exact"/>
        <w:ind w:firstLine="640" w:firstLineChars="200"/>
        <w:rPr>
          <w:rFonts w:ascii="Times New Roman" w:hAnsi="Times New Roman" w:eastAsia="仿宋_GB2312"/>
          <w:sz w:val="32"/>
          <w:szCs w:val="28"/>
          <w:highlight w:val="none"/>
        </w:rPr>
      </w:pPr>
      <w:r>
        <w:rPr>
          <w:rFonts w:ascii="Times New Roman" w:hAnsi="Times New Roman" w:eastAsia="仿宋_GB2312"/>
          <w:sz w:val="32"/>
          <w:szCs w:val="32"/>
          <w:highlight w:val="none"/>
        </w:rPr>
        <w:t>每个项目需选择至少2个样本（空白样本、检出限浓度样本、定量限浓度样本），在多天内进行试验。每个试剂批次至少需要获得20个检测结果。结果</w:t>
      </w:r>
      <w:r>
        <w:rPr>
          <w:rFonts w:ascii="Times New Roman" w:hAnsi="Times New Roman" w:eastAsia="仿宋_GB2312"/>
          <w:sz w:val="32"/>
          <w:szCs w:val="28"/>
          <w:highlight w:val="none"/>
        </w:rPr>
        <w:t>应</w:t>
      </w:r>
      <w:r>
        <w:rPr>
          <w:rFonts w:hint="eastAsia" w:ascii="Times New Roman" w:hAnsi="Times New Roman" w:eastAsia="仿宋_GB2312"/>
          <w:sz w:val="32"/>
          <w:szCs w:val="28"/>
          <w:highlight w:val="none"/>
        </w:rPr>
        <w:t>符合统计学要求/预设的临界值</w:t>
      </w:r>
      <w:r>
        <w:rPr>
          <w:rFonts w:ascii="Times New Roman" w:hAnsi="Times New Roman" w:eastAsia="仿宋_GB2312"/>
          <w:sz w:val="32"/>
          <w:szCs w:val="28"/>
          <w:highlight w:val="none"/>
        </w:rPr>
        <w:t>。</w:t>
      </w:r>
    </w:p>
    <w:p>
      <w:pPr>
        <w:autoSpaceDE w:val="0"/>
        <w:autoSpaceDN w:val="0"/>
        <w:snapToGrid w:val="0"/>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4.</w:t>
      </w:r>
      <w:r>
        <w:rPr>
          <w:rFonts w:hint="eastAsia" w:ascii="Times New Roman" w:hAnsi="Times New Roman" w:eastAsia="仿宋_GB2312"/>
          <w:sz w:val="32"/>
          <w:szCs w:val="32"/>
          <w:highlight w:val="none"/>
          <w:lang w:val="en-US" w:eastAsia="zh-CN"/>
        </w:rPr>
        <w:t>9</w:t>
      </w:r>
      <w:r>
        <w:rPr>
          <w:rFonts w:ascii="Times New Roman" w:hAnsi="Times New Roman" w:eastAsia="仿宋_GB2312"/>
          <w:sz w:val="32"/>
          <w:szCs w:val="32"/>
          <w:highlight w:val="none"/>
        </w:rPr>
        <w:t>分析特异性</w:t>
      </w:r>
    </w:p>
    <w:p>
      <w:pPr>
        <w:autoSpaceDE w:val="0"/>
        <w:autoSpaceDN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w:t>
      </w:r>
      <w:r>
        <w:rPr>
          <w:rFonts w:hint="eastAsia" w:ascii="Times New Roman" w:hAnsi="Times New Roman" w:eastAsia="仿宋_GB2312"/>
          <w:sz w:val="32"/>
          <w:szCs w:val="32"/>
          <w:lang w:val="en-US" w:eastAsia="zh-CN"/>
        </w:rPr>
        <w:t>9</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1</w:t>
      </w:r>
      <w:r>
        <w:rPr>
          <w:rFonts w:ascii="Times New Roman" w:hAnsi="Times New Roman" w:eastAsia="仿宋_GB2312"/>
          <w:sz w:val="32"/>
          <w:szCs w:val="32"/>
        </w:rPr>
        <w:t>干扰物质</w:t>
      </w:r>
    </w:p>
    <w:p>
      <w:pPr>
        <w:autoSpaceDE w:val="0"/>
        <w:autoSpaceDN w:val="0"/>
        <w:snapToGrid w:val="0"/>
        <w:spacing w:line="520" w:lineRule="exact"/>
        <w:ind w:firstLine="640" w:firstLineChars="200"/>
        <w:rPr>
          <w:rFonts w:hint="eastAsia" w:ascii="Times New Roman" w:hAnsi="Times New Roman" w:eastAsia="仿宋_GB2312"/>
          <w:bCs/>
          <w:color w:val="auto"/>
          <w:sz w:val="32"/>
          <w:szCs w:val="28"/>
          <w:lang w:eastAsia="zh-CN"/>
        </w:rPr>
      </w:pPr>
      <w:r>
        <w:rPr>
          <w:rFonts w:ascii="Times New Roman" w:hAnsi="Times New Roman" w:eastAsia="仿宋_GB2312"/>
          <w:color w:val="auto"/>
          <w:sz w:val="32"/>
          <w:szCs w:val="32"/>
        </w:rPr>
        <w:t>应评估干扰物质并提交研究资料。干扰物质研究应当考虑常见的内源性干扰、外源性干扰和已有报道的干扰物质等对产品测定结果的影响。</w:t>
      </w:r>
      <w:r>
        <w:rPr>
          <w:rFonts w:ascii="Times New Roman" w:hAnsi="Times New Roman" w:eastAsia="仿宋_GB2312"/>
          <w:bCs/>
          <w:color w:val="auto"/>
          <w:sz w:val="32"/>
          <w:szCs w:val="28"/>
        </w:rPr>
        <w:t>如对脂血（甘油三酯）、黄疸（胆红素）、溶血（血红蛋白）</w:t>
      </w:r>
      <w:r>
        <w:rPr>
          <w:rFonts w:hint="eastAsia" w:ascii="Times New Roman" w:hAnsi="Times New Roman" w:eastAsia="仿宋_GB2312"/>
          <w:bCs/>
          <w:color w:val="auto"/>
          <w:sz w:val="32"/>
          <w:szCs w:val="28"/>
          <w:lang w:eastAsia="zh-CN"/>
        </w:rPr>
        <w:t>、</w:t>
      </w:r>
      <w:r>
        <w:rPr>
          <w:rFonts w:hint="eastAsia" w:ascii="Times New Roman" w:hAnsi="Times New Roman" w:eastAsia="仿宋_GB2312"/>
          <w:bCs/>
          <w:color w:val="auto"/>
          <w:sz w:val="32"/>
          <w:szCs w:val="28"/>
          <w:lang w:val="en-US" w:eastAsia="zh-CN"/>
        </w:rPr>
        <w:t>维生素C、类风湿因子、异嗜性抗体 / HAMA</w:t>
      </w:r>
      <w:r>
        <w:rPr>
          <w:rFonts w:hint="eastAsia" w:ascii="Times New Roman" w:hAnsi="Times New Roman" w:eastAsia="仿宋_GB2312"/>
          <w:bCs/>
          <w:color w:val="auto"/>
          <w:sz w:val="32"/>
          <w:szCs w:val="28"/>
        </w:rPr>
        <w:t>以及添加剂</w:t>
      </w:r>
      <w:r>
        <w:rPr>
          <w:rFonts w:ascii="Times New Roman" w:hAnsi="Times New Roman" w:eastAsia="仿宋_GB2312"/>
          <w:bCs/>
          <w:color w:val="auto"/>
          <w:sz w:val="32"/>
          <w:szCs w:val="28"/>
        </w:rPr>
        <w:t>等干扰因素的研究</w:t>
      </w:r>
      <w:r>
        <w:rPr>
          <w:rFonts w:hint="eastAsia" w:ascii="Times New Roman" w:hAnsi="Times New Roman" w:eastAsia="仿宋_GB2312"/>
          <w:bCs/>
          <w:color w:val="auto"/>
          <w:sz w:val="32"/>
          <w:szCs w:val="28"/>
          <w:lang w:eastAsia="zh-CN"/>
        </w:rPr>
        <w:t>。</w:t>
      </w:r>
    </w:p>
    <w:p>
      <w:pPr>
        <w:pStyle w:val="17"/>
        <w:snapToGrid w:val="0"/>
        <w:spacing w:line="520" w:lineRule="exact"/>
        <w:ind w:firstLine="640"/>
        <w:rPr>
          <w:rFonts w:ascii="Times New Roman" w:eastAsia="仿宋_GB2312"/>
          <w:bCs/>
          <w:sz w:val="32"/>
          <w:szCs w:val="32"/>
        </w:rPr>
      </w:pPr>
      <w:r>
        <w:rPr>
          <w:rFonts w:ascii="Times New Roman" w:eastAsia="仿宋_GB2312"/>
          <w:bCs/>
          <w:sz w:val="32"/>
          <w:szCs w:val="28"/>
        </w:rPr>
        <w:t>研究的</w:t>
      </w:r>
      <w:r>
        <w:rPr>
          <w:rFonts w:ascii="Times New Roman" w:eastAsia="仿宋_GB2312"/>
          <w:bCs/>
          <w:sz w:val="32"/>
          <w:szCs w:val="32"/>
          <w:lang w:bidi="ar"/>
        </w:rPr>
        <w:t>干扰物浓度应覆盖临床样本中的最高浓度（最差情形），并对干扰的程度进行量化</w:t>
      </w:r>
      <w:r>
        <w:rPr>
          <w:rFonts w:ascii="Times New Roman" w:eastAsia="仿宋_GB2312"/>
          <w:bCs/>
          <w:sz w:val="32"/>
          <w:szCs w:val="28"/>
        </w:rPr>
        <w:t>。</w:t>
      </w:r>
      <w:r>
        <w:rPr>
          <w:rFonts w:ascii="Times New Roman" w:eastAsia="仿宋_GB2312"/>
          <w:sz w:val="32"/>
          <w:szCs w:val="32"/>
        </w:rPr>
        <w:t>将研究结果在说明书中进行描述</w:t>
      </w:r>
      <w:r>
        <w:rPr>
          <w:rFonts w:ascii="Times New Roman" w:eastAsia="仿宋_GB2312"/>
          <w:bCs/>
          <w:sz w:val="32"/>
          <w:szCs w:val="32"/>
        </w:rPr>
        <w:t>，明确干扰物质影响的最大浓度。待评价的样本浓度建议采用至少2个分析物水平的样本，其浓度应在医学决定水平或参考区间上/下限附近。</w:t>
      </w:r>
    </w:p>
    <w:p>
      <w:pPr>
        <w:autoSpaceDE w:val="0"/>
        <w:autoSpaceDN w:val="0"/>
        <w:snapToGrid w:val="0"/>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4.</w:t>
      </w:r>
      <w:r>
        <w:rPr>
          <w:rFonts w:hint="eastAsia" w:ascii="Times New Roman" w:hAnsi="Times New Roman" w:eastAsia="仿宋_GB2312"/>
          <w:sz w:val="32"/>
          <w:szCs w:val="32"/>
          <w:highlight w:val="none"/>
          <w:lang w:val="en-US" w:eastAsia="zh-CN"/>
        </w:rPr>
        <w:t>9</w:t>
      </w:r>
      <w:r>
        <w:rPr>
          <w:rFonts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2</w:t>
      </w:r>
      <w:r>
        <w:rPr>
          <w:rFonts w:ascii="Times New Roman" w:hAnsi="Times New Roman" w:eastAsia="仿宋_GB2312"/>
          <w:sz w:val="32"/>
          <w:szCs w:val="32"/>
          <w:highlight w:val="none"/>
        </w:rPr>
        <w:t>交叉反应</w:t>
      </w:r>
    </w:p>
    <w:p>
      <w:pPr>
        <w:autoSpaceDE w:val="0"/>
        <w:autoSpaceDN w:val="0"/>
        <w:snapToGrid w:val="0"/>
        <w:spacing w:line="520" w:lineRule="exact"/>
        <w:ind w:firstLine="640" w:firstLineChars="200"/>
        <w:rPr>
          <w:rFonts w:ascii="Times New Roman" w:hAnsi="Times New Roman" w:eastAsia="仿宋_GB2312"/>
          <w:color w:val="FF0000"/>
          <w:sz w:val="32"/>
          <w:szCs w:val="32"/>
        </w:rPr>
      </w:pPr>
      <w:r>
        <w:rPr>
          <w:rFonts w:hint="eastAsia" w:ascii="仿宋_GB2312" w:hAnsi="宋体" w:eastAsia="仿宋_GB2312"/>
          <w:sz w:val="32"/>
          <w:szCs w:val="32"/>
        </w:rPr>
        <w:t>交叉反应研究需</w:t>
      </w:r>
      <w:r>
        <w:rPr>
          <w:rFonts w:ascii="仿宋_GB2312" w:hAnsi="宋体" w:eastAsia="仿宋_GB2312"/>
          <w:sz w:val="32"/>
          <w:szCs w:val="32"/>
        </w:rPr>
        <w:t>对</w:t>
      </w:r>
      <w:r>
        <w:rPr>
          <w:rFonts w:hint="eastAsia" w:ascii="仿宋_GB2312" w:hAnsi="宋体" w:eastAsia="仿宋_GB2312"/>
          <w:sz w:val="32"/>
          <w:szCs w:val="32"/>
        </w:rPr>
        <w:t>可能的交叉反应物质进行检测，对检测结果设定合理的接受范围，明确不产生交叉反应的物质浓度上限。建议选择高浓度的交叉反应物质进行验证，应提供用于交叉反应验证物质的来源</w:t>
      </w:r>
      <w:r>
        <w:rPr>
          <w:rFonts w:ascii="仿宋_GB2312" w:hAnsi="宋体" w:eastAsia="仿宋_GB2312"/>
          <w:sz w:val="32"/>
          <w:szCs w:val="32"/>
        </w:rPr>
        <w:t>、制备、浓度等</w:t>
      </w:r>
      <w:r>
        <w:rPr>
          <w:rFonts w:hint="eastAsia" w:ascii="仿宋_GB2312" w:hAnsi="宋体" w:eastAsia="仿宋_GB2312"/>
          <w:sz w:val="32"/>
          <w:szCs w:val="32"/>
        </w:rPr>
        <w:t>基本信息。</w:t>
      </w:r>
    </w:p>
    <w:p>
      <w:pPr>
        <w:autoSpaceDE w:val="0"/>
        <w:autoSpaceDN w:val="0"/>
        <w:snapToGrid w:val="0"/>
        <w:spacing w:line="520" w:lineRule="exact"/>
        <w:ind w:firstLine="640" w:firstLineChars="200"/>
        <w:rPr>
          <w:rFonts w:ascii="Times New Roman" w:hAnsi="Times New Roman" w:eastAsia="仿宋_GB2312"/>
          <w:color w:val="auto"/>
          <w:sz w:val="32"/>
          <w:szCs w:val="32"/>
        </w:rPr>
      </w:pPr>
      <w:r>
        <w:rPr>
          <w:rFonts w:hint="eastAsia" w:ascii="仿宋_GB2312" w:hAnsi="宋体" w:eastAsia="仿宋_GB2312"/>
          <w:color w:val="auto"/>
          <w:sz w:val="32"/>
          <w:szCs w:val="32"/>
        </w:rPr>
        <w:t>常见的交叉反应物质包括分析物的结构类似物</w:t>
      </w:r>
      <w:r>
        <w:rPr>
          <w:rFonts w:hint="eastAsia" w:ascii="仿宋_GB2312" w:hAnsi="宋体" w:eastAsia="仿宋_GB2312"/>
          <w:color w:val="auto"/>
          <w:sz w:val="32"/>
          <w:szCs w:val="32"/>
          <w:lang w:eastAsia="zh-CN"/>
        </w:rPr>
        <w:t>、</w:t>
      </w:r>
      <w:r>
        <w:rPr>
          <w:rFonts w:hint="eastAsia" w:ascii="仿宋_GB2312" w:hAnsi="宋体" w:eastAsia="仿宋_GB2312"/>
          <w:color w:val="auto"/>
          <w:sz w:val="32"/>
          <w:szCs w:val="32"/>
        </w:rPr>
        <w:t>易</w:t>
      </w:r>
      <w:r>
        <w:rPr>
          <w:rFonts w:ascii="仿宋_GB2312" w:hAnsi="宋体" w:eastAsia="仿宋_GB2312"/>
          <w:color w:val="auto"/>
          <w:sz w:val="32"/>
          <w:szCs w:val="32"/>
        </w:rPr>
        <w:t>共存的其他类似物</w:t>
      </w:r>
      <w:r>
        <w:rPr>
          <w:rFonts w:hint="eastAsia" w:ascii="仿宋_GB2312" w:hAnsi="宋体" w:eastAsia="仿宋_GB2312"/>
          <w:color w:val="auto"/>
          <w:sz w:val="32"/>
          <w:szCs w:val="32"/>
          <w:lang w:eastAsia="zh-CN"/>
        </w:rPr>
        <w:t>、</w:t>
      </w:r>
      <w:r>
        <w:rPr>
          <w:rFonts w:hint="eastAsia" w:ascii="仿宋_GB2312" w:hAnsi="宋体" w:eastAsia="仿宋_GB2312"/>
          <w:color w:val="auto"/>
          <w:sz w:val="32"/>
          <w:szCs w:val="32"/>
        </w:rPr>
        <w:t>已报道对类似试剂或测量程序存在交叉反应的物质等。</w:t>
      </w:r>
      <w:r>
        <w:rPr>
          <w:rFonts w:hint="eastAsia" w:ascii="仿宋_GB2312" w:hAnsi="宋体" w:eastAsia="仿宋_GB2312"/>
          <w:color w:val="auto"/>
          <w:sz w:val="32"/>
          <w:szCs w:val="32"/>
          <w:lang w:eastAsia="zh-CN"/>
        </w:rPr>
        <w:t>如：</w:t>
      </w:r>
      <w:r>
        <w:rPr>
          <w:rFonts w:hint="eastAsia" w:ascii="仿宋_GB2312" w:hAnsi="宋体" w:eastAsia="仿宋_GB2312" w:cs="Times New Roman"/>
          <w:color w:val="auto"/>
          <w:sz w:val="32"/>
          <w:szCs w:val="32"/>
        </w:rPr>
        <w:t>甲状腺过氧化物酶</w:t>
      </w:r>
      <w:r>
        <w:rPr>
          <w:rFonts w:hint="eastAsia" w:ascii="仿宋_GB2312" w:hAnsi="宋体" w:eastAsia="仿宋_GB2312" w:cs="Times New Roman"/>
          <w:color w:val="auto"/>
          <w:sz w:val="32"/>
          <w:szCs w:val="32"/>
          <w:lang w:eastAsia="zh-CN"/>
        </w:rPr>
        <w:t>、</w:t>
      </w:r>
      <w:r>
        <w:rPr>
          <w:rFonts w:hint="eastAsia" w:ascii="仿宋_GB2312" w:hAnsi="宋体" w:eastAsia="仿宋_GB2312"/>
          <w:color w:val="auto"/>
          <w:sz w:val="32"/>
          <w:szCs w:val="32"/>
        </w:rPr>
        <w:t>嗜酸性粒细胞过氧化物酶</w:t>
      </w:r>
      <w:r>
        <w:rPr>
          <w:rFonts w:hint="eastAsia" w:ascii="仿宋_GB2312" w:hAnsi="宋体" w:eastAsia="仿宋_GB2312" w:cs="Times New Roman"/>
          <w:color w:val="auto"/>
          <w:sz w:val="32"/>
          <w:szCs w:val="32"/>
          <w:lang w:eastAsia="zh-CN"/>
        </w:rPr>
        <w:t>等，</w:t>
      </w:r>
      <w:r>
        <w:rPr>
          <w:rFonts w:hint="eastAsia" w:ascii="仿宋_GB2312" w:hAnsi="宋体" w:eastAsia="仿宋_GB2312"/>
          <w:color w:val="auto"/>
          <w:sz w:val="32"/>
          <w:szCs w:val="32"/>
        </w:rPr>
        <w:t>还应考虑到由于产品原材料设计可能引入的交叉反应。申请</w:t>
      </w:r>
      <w:r>
        <w:rPr>
          <w:rFonts w:ascii="仿宋_GB2312" w:hAnsi="宋体" w:eastAsia="仿宋_GB2312"/>
          <w:color w:val="auto"/>
          <w:sz w:val="32"/>
          <w:szCs w:val="32"/>
        </w:rPr>
        <w:t>人</w:t>
      </w:r>
      <w:r>
        <w:rPr>
          <w:rFonts w:hint="eastAsia" w:ascii="仿宋_GB2312" w:hAnsi="宋体" w:eastAsia="仿宋_GB2312"/>
          <w:color w:val="auto"/>
          <w:sz w:val="32"/>
          <w:szCs w:val="32"/>
        </w:rPr>
        <w:t>应根据产品特点选择潜在的交叉反应物质进行验证</w:t>
      </w:r>
      <w:r>
        <w:rPr>
          <w:rFonts w:ascii="Times New Roman" w:hAnsi="Times New Roman" w:eastAsia="仿宋_GB2312"/>
          <w:color w:val="auto"/>
          <w:sz w:val="32"/>
          <w:szCs w:val="32"/>
        </w:rPr>
        <w:t>。</w:t>
      </w:r>
    </w:p>
    <w:p>
      <w:pPr>
        <w:autoSpaceDE w:val="0"/>
        <w:autoSpaceDN w:val="0"/>
        <w:snapToGrid w:val="0"/>
        <w:spacing w:line="520" w:lineRule="exact"/>
        <w:ind w:firstLine="640" w:firstLineChars="200"/>
        <w:rPr>
          <w:rFonts w:hint="eastAsia" w:ascii="Times New Roman" w:hAnsi="Times New Roman" w:eastAsia="仿宋_GB2312"/>
          <w:sz w:val="32"/>
          <w:szCs w:val="32"/>
          <w:lang w:eastAsia="zh-CN"/>
        </w:rPr>
      </w:pPr>
      <w:r>
        <w:rPr>
          <w:rFonts w:ascii="Times New Roman" w:hAnsi="Times New Roman" w:eastAsia="仿宋_GB2312"/>
          <w:sz w:val="32"/>
          <w:szCs w:val="32"/>
        </w:rPr>
        <w:t>4.</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lang w:eastAsia="zh-CN"/>
        </w:rPr>
        <w:t>测量</w:t>
      </w:r>
      <w:r>
        <w:rPr>
          <w:rFonts w:ascii="Times New Roman" w:hAnsi="Times New Roman" w:eastAsia="仿宋_GB2312"/>
          <w:sz w:val="32"/>
          <w:szCs w:val="32"/>
        </w:rPr>
        <w:t>区间</w:t>
      </w:r>
      <w:r>
        <w:rPr>
          <w:rFonts w:hint="eastAsia" w:ascii="Times New Roman" w:hAnsi="Times New Roman" w:eastAsia="仿宋_GB2312"/>
          <w:sz w:val="32"/>
          <w:szCs w:val="32"/>
          <w:lang w:eastAsia="zh-CN"/>
        </w:rPr>
        <w:t>及可报告区间</w:t>
      </w:r>
    </w:p>
    <w:p>
      <w:pPr>
        <w:autoSpaceDE w:val="0"/>
        <w:autoSpaceDN w:val="0"/>
        <w:spacing w:line="520" w:lineRule="exact"/>
        <w:ind w:firstLine="640" w:firstLineChars="200"/>
        <w:rPr>
          <w:rFonts w:ascii="Times New Roman" w:hAnsi="Times New Roman" w:eastAsia="仿宋_GB2312"/>
          <w:sz w:val="32"/>
          <w:szCs w:val="32"/>
        </w:rPr>
      </w:pPr>
      <w:r>
        <w:rPr>
          <w:rFonts w:hint="default" w:ascii="Times New Roman" w:hAnsi="Times New Roman" w:eastAsia="仿宋_GB2312"/>
          <w:sz w:val="32"/>
          <w:szCs w:val="32"/>
        </w:rPr>
        <w:t>4.</w:t>
      </w:r>
      <w:r>
        <w:rPr>
          <w:rFonts w:hint="eastAsia" w:ascii="Times New Roman" w:hAnsi="Times New Roman" w:eastAsia="仿宋_GB2312"/>
          <w:sz w:val="32"/>
          <w:szCs w:val="32"/>
          <w:lang w:val="en-US" w:eastAsia="zh-CN"/>
        </w:rPr>
        <w:t>10</w:t>
      </w:r>
      <w:r>
        <w:rPr>
          <w:rFonts w:hint="default" w:ascii="Times New Roman" w:hAnsi="Times New Roman" w:eastAsia="仿宋_GB2312"/>
          <w:sz w:val="32"/>
          <w:szCs w:val="32"/>
        </w:rPr>
        <w:t>.1线性区间及测量区间</w:t>
      </w:r>
    </w:p>
    <w:p>
      <w:pPr>
        <w:snapToGrid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线性区间的研究所用的样本基质应尽可能与临床实际检测的样本相似，</w:t>
      </w:r>
      <w:r>
        <w:rPr>
          <w:rFonts w:ascii="Times New Roman" w:hAnsi="Times New Roman" w:eastAsia="仿宋_GB2312"/>
          <w:sz w:val="32"/>
          <w:szCs w:val="32"/>
        </w:rPr>
        <w:t>需采用高值和低值样本配制一系列不同浓度的样本。当建立试剂的线性区间时，需配制出较预期线性区间更宽的至少9个左右不同浓度的样本，每个样本进行多次重复检测，根据可接受线性偏差和各浓度的重复性，确定检测次数。</w:t>
      </w:r>
      <w:r>
        <w:rPr>
          <w:rFonts w:hint="eastAsia" w:ascii="Times New Roman" w:hAnsi="Times New Roman" w:eastAsia="仿宋_GB2312"/>
          <w:sz w:val="32"/>
          <w:szCs w:val="32"/>
        </w:rPr>
        <w:t>采用重复检测均值和预期值进行直线回归分析，建议采用加权最小二乘回归等分析方法，提供散点图、线性回归方程、线性相关系数（r）及线性偏差，判断结果是否满足可接受标准。</w:t>
      </w:r>
    </w:p>
    <w:p>
      <w:pPr>
        <w:overflowPunct w:val="0"/>
        <w:snapToGrid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当验证试剂的线性区间时，需配制覆盖整个线性区间的至少5个不同浓度的样本，每个样本至少重复检测2次。</w:t>
      </w:r>
    </w:p>
    <w:p>
      <w:pPr>
        <w:spacing w:line="52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测量区间，也称分析测量区间，在该区间内，临床样本在未经稀释、浓缩，或非常规测量程序步骤中的其他前处理情况下，检测结果的线性偏差、不精密度和偏倚均在可接受范围内。测量区间下限为定量限，线性区间包含测量区间。</w:t>
      </w:r>
    </w:p>
    <w:p>
      <w:pPr>
        <w:overflowPunct w:val="0"/>
        <w:snapToGrid w:val="0"/>
        <w:spacing w:line="520" w:lineRule="exact"/>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4.</w:t>
      </w:r>
      <w:r>
        <w:rPr>
          <w:rFonts w:hint="eastAsia" w:ascii="Times New Roman" w:hAnsi="Times New Roman" w:eastAsia="仿宋_GB2312"/>
          <w:bCs/>
          <w:sz w:val="32"/>
          <w:szCs w:val="32"/>
          <w:lang w:eastAsia="zh-CN"/>
        </w:rPr>
        <w:t>1</w:t>
      </w:r>
      <w:r>
        <w:rPr>
          <w:rFonts w:hint="eastAsia" w:ascii="Times New Roman" w:hAnsi="Times New Roman" w:eastAsia="仿宋_GB2312"/>
          <w:bCs/>
          <w:sz w:val="32"/>
          <w:szCs w:val="32"/>
          <w:lang w:val="en-US" w:eastAsia="zh-CN"/>
        </w:rPr>
        <w:t>0</w:t>
      </w:r>
      <w:r>
        <w:rPr>
          <w:rFonts w:hint="eastAsia" w:ascii="Times New Roman" w:hAnsi="Times New Roman" w:eastAsia="仿宋_GB2312"/>
          <w:bCs/>
          <w:sz w:val="32"/>
          <w:szCs w:val="32"/>
        </w:rPr>
        <w:t>.</w:t>
      </w:r>
      <w:r>
        <w:rPr>
          <w:rFonts w:hint="eastAsia" w:ascii="Times New Roman" w:hAnsi="Times New Roman" w:eastAsia="仿宋_GB2312"/>
          <w:bCs/>
          <w:sz w:val="32"/>
          <w:szCs w:val="32"/>
          <w:lang w:eastAsia="zh-CN"/>
        </w:rPr>
        <w:t>2</w:t>
      </w:r>
      <w:r>
        <w:rPr>
          <w:rFonts w:hint="eastAsia" w:ascii="Times New Roman" w:hAnsi="Times New Roman" w:eastAsia="仿宋_GB2312"/>
          <w:bCs/>
          <w:sz w:val="32"/>
          <w:szCs w:val="32"/>
        </w:rPr>
        <w:t>扩展测量区间和可报告区间</w:t>
      </w:r>
    </w:p>
    <w:p>
      <w:pPr>
        <w:overflowPunct w:val="0"/>
        <w:snapToGrid w:val="0"/>
        <w:spacing w:line="520" w:lineRule="exact"/>
        <w:ind w:firstLine="640" w:firstLineChars="200"/>
        <w:rPr>
          <w:rFonts w:hint="eastAsia" w:ascii="Times New Roman" w:hAnsi="Times New Roman" w:eastAsia="仿宋_GB2312"/>
          <w:bCs/>
          <w:sz w:val="32"/>
          <w:szCs w:val="32"/>
        </w:rPr>
      </w:pPr>
      <w:r>
        <w:rPr>
          <w:rFonts w:hint="eastAsia" w:ascii="Times New Roman" w:hAnsi="Times New Roman" w:eastAsia="仿宋_GB2312"/>
          <w:bCs/>
          <w:sz w:val="32"/>
          <w:szCs w:val="32"/>
        </w:rPr>
        <w:t>如对超出测量区间浓度的样本可进行稀释后检测，应研究合适的稀释液和稀释倍数，从而确定试剂的扩展测量区间和可报告区间。两者上限均为测量区间上限×稀释倍数，扩展测量区间的下限为测量区间上限。</w:t>
      </w:r>
    </w:p>
    <w:p>
      <w:pPr>
        <w:pStyle w:val="17"/>
        <w:spacing w:line="520" w:lineRule="exact"/>
        <w:ind w:firstLine="640"/>
        <w:rPr>
          <w:rFonts w:hint="eastAsia" w:ascii="Times New Roman" w:eastAsia="仿宋_GB2312"/>
          <w:sz w:val="32"/>
          <w:szCs w:val="32"/>
          <w:lang w:eastAsia="zh-CN"/>
        </w:rPr>
      </w:pPr>
      <w:r>
        <w:rPr>
          <w:rFonts w:ascii="Times New Roman" w:eastAsia="仿宋_GB2312"/>
          <w:kern w:val="2"/>
          <w:sz w:val="32"/>
          <w:szCs w:val="32"/>
        </w:rPr>
        <w:t>4.</w:t>
      </w:r>
      <w:r>
        <w:rPr>
          <w:rFonts w:hint="eastAsia" w:ascii="Times New Roman" w:eastAsia="仿宋_GB2312"/>
          <w:kern w:val="2"/>
          <w:sz w:val="32"/>
          <w:szCs w:val="32"/>
          <w:lang w:val="en-US" w:eastAsia="zh-CN"/>
        </w:rPr>
        <w:t>11</w:t>
      </w:r>
      <w:r>
        <w:rPr>
          <w:rFonts w:ascii="Times New Roman" w:eastAsia="仿宋_GB2312"/>
          <w:sz w:val="32"/>
          <w:szCs w:val="32"/>
        </w:rPr>
        <w:t>高剂量钩状效应</w:t>
      </w:r>
      <w:r>
        <w:rPr>
          <w:rFonts w:hint="eastAsia" w:ascii="Times New Roman" w:eastAsia="仿宋_GB2312"/>
          <w:sz w:val="32"/>
          <w:szCs w:val="32"/>
          <w:lang w:eastAsia="zh-CN"/>
        </w:rPr>
        <w:t>（如适用）</w:t>
      </w:r>
    </w:p>
    <w:p>
      <w:pPr>
        <w:overflowPunct w:val="0"/>
        <w:snapToGrid w:val="0"/>
        <w:spacing w:line="520" w:lineRule="exact"/>
        <w:ind w:firstLine="640" w:firstLineChars="200"/>
        <w:rPr>
          <w:rFonts w:hint="eastAsia" w:ascii="Times New Roman" w:hAnsi="Times New Roman" w:eastAsia="仿宋_GB2312"/>
          <w:bCs/>
          <w:sz w:val="32"/>
          <w:szCs w:val="32"/>
        </w:rPr>
      </w:pPr>
      <w:r>
        <w:rPr>
          <w:rFonts w:ascii="Times New Roman" w:eastAsia="仿宋_GB2312"/>
          <w:sz w:val="32"/>
          <w:szCs w:val="32"/>
        </w:rPr>
        <w:t>在适用情况下，应将线性区间研究扩展到可报告区间之外，达到可能在临床条件下遭遇的最高浓度，以评估该试剂是否存在高剂量钩状效应并提交研究资料。</w:t>
      </w:r>
    </w:p>
    <w:p>
      <w:pPr>
        <w:autoSpaceDE w:val="0"/>
        <w:autoSpaceDN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5.稳定性研究</w:t>
      </w:r>
    </w:p>
    <w:p>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一般应包含研究方案、报告和数据三部分内容。</w:t>
      </w:r>
    </w:p>
    <w:p>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kern w:val="0"/>
          <w:sz w:val="32"/>
          <w:szCs w:val="32"/>
        </w:rPr>
        <w:t>5.1</w:t>
      </w:r>
      <w:r>
        <w:rPr>
          <w:rFonts w:ascii="Times New Roman" w:hAnsi="Times New Roman" w:eastAsia="仿宋_GB2312"/>
          <w:sz w:val="32"/>
          <w:szCs w:val="32"/>
        </w:rPr>
        <w:t>实时稳定性（货架有效期）</w:t>
      </w:r>
    </w:p>
    <w:p>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提交至少三批申报产品在实际储存条件下保存至成品有效期后的实时稳定性研究资料。明确储存的环境条件（如温度、湿度和光照）及有效期。</w:t>
      </w:r>
    </w:p>
    <w:p>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kern w:val="0"/>
          <w:sz w:val="32"/>
          <w:szCs w:val="32"/>
        </w:rPr>
        <w:t>5.2</w:t>
      </w:r>
      <w:r>
        <w:rPr>
          <w:rFonts w:ascii="Times New Roman" w:hAnsi="Times New Roman" w:eastAsia="仿宋_GB2312"/>
          <w:sz w:val="32"/>
          <w:szCs w:val="32"/>
        </w:rPr>
        <w:t>使用稳定性</w:t>
      </w:r>
    </w:p>
    <w:p>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提交申报产品实际使用期间稳定性的研究资料，应包括所有组成成分的开封稳定性。适用时提交复溶稳定性、机载稳定性及冻融次数研究资料等。如产品中包含校准品、质控品，还应提交校准、质控频率或校准、质控稳定性研究资料。明确产品使用的温度、湿度条件等。</w:t>
      </w:r>
    </w:p>
    <w:p>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kern w:val="0"/>
          <w:sz w:val="32"/>
          <w:szCs w:val="32"/>
        </w:rPr>
        <w:t>5.3</w:t>
      </w:r>
      <w:r>
        <w:rPr>
          <w:rFonts w:ascii="Times New Roman" w:hAnsi="Times New Roman" w:eastAsia="仿宋_GB2312"/>
          <w:sz w:val="32"/>
          <w:szCs w:val="32"/>
        </w:rPr>
        <w:t>运输稳定性</w:t>
      </w:r>
    </w:p>
    <w:p>
      <w:pPr>
        <w:snapToGrid w:val="0"/>
        <w:spacing w:line="520" w:lineRule="exact"/>
        <w:ind w:firstLine="0" w:firstLineChars="0"/>
        <w:rPr>
          <w:rFonts w:ascii="Times New Roman" w:hAnsi="Times New Roman" w:eastAsia="仿宋_GB2312"/>
          <w:sz w:val="32"/>
          <w:szCs w:val="32"/>
        </w:rPr>
      </w:pPr>
      <w:r>
        <w:rPr>
          <w:rFonts w:ascii="Times New Roman" w:hAnsi="Times New Roman" w:eastAsia="仿宋_GB2312"/>
          <w:sz w:val="32"/>
          <w:szCs w:val="32"/>
        </w:rPr>
        <w:t>提交申报产品可在特定或者预期的条件下运输的研究资料，应说明产品正确运输的环境条件（如温度、湿度、光照和机械保护等）。同时说明产品的包装方式以及暴</w:t>
      </w:r>
      <w:r>
        <w:rPr>
          <w:rFonts w:ascii="Times New Roman" w:hAnsi="Times New Roman" w:eastAsia="仿宋_GB2312"/>
          <w:sz w:val="32"/>
          <w:szCs w:val="28"/>
        </w:rPr>
        <w:t>露的最差运输条件。运输稳定性研究可结合于实时稳定性研究中</w:t>
      </w:r>
      <w:r>
        <w:rPr>
          <w:rFonts w:hint="default" w:ascii="Times New Roman" w:hAnsi="Times New Roman" w:eastAsia="仿宋_GB2312"/>
          <w:sz w:val="32"/>
          <w:szCs w:val="28"/>
          <w:lang w:eastAsia="zh-CN"/>
        </w:rPr>
        <w:t>，</w:t>
      </w:r>
      <w:r>
        <w:rPr>
          <w:rFonts w:hint="default" w:ascii="Times New Roman" w:hAnsi="Times New Roman" w:eastAsia="仿宋_GB2312"/>
          <w:sz w:val="32"/>
          <w:szCs w:val="28"/>
          <w:highlight w:val="none"/>
        </w:rPr>
        <w:t>应提交运输后产品至效期后的稳定性研究资料。</w:t>
      </w:r>
      <w:r>
        <w:rPr>
          <w:rFonts w:ascii="Times New Roman" w:hAnsi="Times New Roman" w:eastAsia="仿宋_GB2312"/>
          <w:sz w:val="32"/>
          <w:szCs w:val="28"/>
        </w:rPr>
        <w:t>试剂的稳定性研究应注意选取代表性包装规格进行研究。</w:t>
      </w:r>
    </w:p>
    <w:p>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试剂稳定性内容的研究结果应在说明书【储存条件及有效期】中进行详细描述。</w:t>
      </w:r>
    </w:p>
    <w:p>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6.参考区间</w:t>
      </w:r>
    </w:p>
    <w:p>
      <w:pPr>
        <w:snapToGrid w:val="0"/>
        <w:spacing w:line="52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申报产品可以通过建立或验证的方法确定产品的参考区间，可参照《体外诊断试剂参考区间确定注册审查指导原则》的要求进行研究。</w:t>
      </w:r>
    </w:p>
    <w:p>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应详细说明参考区间确定的方法或依据，提交确定参考区间所采用样本来源、详细的试验资料、统计方法等，</w:t>
      </w:r>
      <w:r>
        <w:rPr>
          <w:rFonts w:ascii="Times New Roman" w:hAnsi="Times New Roman" w:eastAsia="仿宋_GB2312"/>
          <w:kern w:val="0"/>
          <w:sz w:val="32"/>
          <w:szCs w:val="32"/>
        </w:rPr>
        <w:t>应明确</w:t>
      </w:r>
      <w:r>
        <w:rPr>
          <w:rFonts w:ascii="Times New Roman" w:hAnsi="Times New Roman" w:eastAsia="仿宋_GB2312"/>
          <w:sz w:val="32"/>
          <w:szCs w:val="32"/>
        </w:rPr>
        <w:t>参考人群的纳入、排除标准，考虑不同年龄、性别等因素，尽可能考虑样本来源的多样性、代表性，样本例数应符合统计学要求。</w:t>
      </w:r>
      <w:r>
        <w:rPr>
          <w:rFonts w:hint="eastAsia" w:ascii="Times New Roman" w:hAnsi="Times New Roman" w:eastAsia="仿宋_GB2312"/>
          <w:sz w:val="32"/>
          <w:szCs w:val="28"/>
        </w:rPr>
        <w:t>确保参考区间的可溯源性，记录确定参考区间的所有步骤，包括参考个体的选择、分析前因素、样本检测以及统计分析方法等。</w:t>
      </w:r>
    </w:p>
    <w:p>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7.其他资料</w:t>
      </w:r>
    </w:p>
    <w:p>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7.1主要原材料研究资料和生产工艺研究资料</w:t>
      </w:r>
    </w:p>
    <w:p>
      <w:pPr>
        <w:adjustRightInd w:val="0"/>
        <w:snapToGrid w:val="0"/>
        <w:spacing w:line="52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资料由申请人保存，技术审评如需要时提交。</w:t>
      </w:r>
    </w:p>
    <w:p>
      <w:pPr>
        <w:adjustRightInd w:val="0"/>
        <w:snapToGrid w:val="0"/>
        <w:spacing w:line="520" w:lineRule="exact"/>
        <w:ind w:firstLine="640" w:firstLineChars="200"/>
        <w:rPr>
          <w:rFonts w:ascii="Times New Roman" w:hAnsi="Times New Roman" w:eastAsia="仿宋_GB2312"/>
          <w:spacing w:val="-4"/>
          <w:sz w:val="32"/>
          <w:szCs w:val="32"/>
        </w:rPr>
      </w:pPr>
      <w:r>
        <w:rPr>
          <w:rFonts w:ascii="Times New Roman" w:hAnsi="Times New Roman" w:eastAsia="仿宋_GB2312"/>
          <w:sz w:val="32"/>
          <w:szCs w:val="32"/>
        </w:rPr>
        <w:t>主要</w:t>
      </w:r>
      <w:r>
        <w:rPr>
          <w:rFonts w:ascii="Times New Roman" w:hAnsi="Times New Roman" w:eastAsia="仿宋_GB2312"/>
          <w:spacing w:val="-4"/>
          <w:sz w:val="32"/>
          <w:szCs w:val="32"/>
        </w:rPr>
        <w:t>原材料的</w:t>
      </w:r>
      <w:r>
        <w:rPr>
          <w:rFonts w:ascii="Times New Roman" w:hAnsi="Times New Roman" w:eastAsia="仿宋_GB2312"/>
          <w:sz w:val="32"/>
          <w:szCs w:val="32"/>
        </w:rPr>
        <w:t>研究资料包括主要原材料的</w:t>
      </w:r>
      <w:r>
        <w:rPr>
          <w:rFonts w:ascii="Times New Roman" w:hAnsi="Times New Roman" w:eastAsia="仿宋_GB2312"/>
          <w:spacing w:val="-4"/>
          <w:sz w:val="32"/>
          <w:szCs w:val="32"/>
        </w:rPr>
        <w:t>来源、选择、制备方法的研究资料，质量分析证书，主要原材料质量标准的制定和检验</w:t>
      </w:r>
      <w:r>
        <w:rPr>
          <w:rFonts w:ascii="Times New Roman" w:hAnsi="Times New Roman" w:eastAsia="仿宋_GB2312"/>
          <w:sz w:val="32"/>
          <w:szCs w:val="32"/>
        </w:rPr>
        <w:t>资料。如涉及企业参考品，还应提交企业参考品</w:t>
      </w:r>
      <w:r>
        <w:rPr>
          <w:rFonts w:ascii="Times New Roman" w:hAnsi="Times New Roman" w:eastAsia="仿宋_GB2312"/>
          <w:spacing w:val="-4"/>
          <w:sz w:val="32"/>
          <w:szCs w:val="32"/>
        </w:rPr>
        <w:t>的研究资料，包括来源、组成、量值确认等。</w:t>
      </w:r>
    </w:p>
    <w:p>
      <w:pPr>
        <w:spacing w:line="560" w:lineRule="exact"/>
        <w:ind w:firstLine="640" w:firstLineChars="200"/>
        <w:rPr>
          <w:rFonts w:eastAsia="仿宋_GB2312"/>
          <w:color w:val="000000"/>
          <w:sz w:val="32"/>
          <w:szCs w:val="32"/>
        </w:rPr>
      </w:pPr>
      <w:r>
        <w:rPr>
          <w:rFonts w:hint="eastAsia" w:ascii="Times New Roman" w:hAnsi="Times New Roman" w:eastAsia="仿宋_GB2312"/>
          <w:sz w:val="32"/>
          <w:szCs w:val="32"/>
          <w:lang w:eastAsia="zh-CN"/>
        </w:rPr>
        <w:t>不同方法学生产工艺不同，</w:t>
      </w:r>
      <w:r>
        <w:rPr>
          <w:rFonts w:eastAsia="仿宋_GB2312"/>
          <w:color w:val="000000"/>
          <w:sz w:val="32"/>
          <w:szCs w:val="32"/>
        </w:rPr>
        <w:t>生产工艺的研究资料</w:t>
      </w:r>
      <w:r>
        <w:rPr>
          <w:rFonts w:hint="eastAsia" w:eastAsia="仿宋_GB2312"/>
          <w:color w:val="000000"/>
          <w:sz w:val="32"/>
          <w:szCs w:val="32"/>
          <w:lang w:eastAsia="zh-CN"/>
        </w:rPr>
        <w:t>主要</w:t>
      </w:r>
      <w:r>
        <w:rPr>
          <w:rFonts w:eastAsia="仿宋_GB2312"/>
          <w:color w:val="000000"/>
          <w:sz w:val="32"/>
          <w:szCs w:val="32"/>
        </w:rPr>
        <w:t>包括工作液的配制、分装和冻干,固相载体的包被，结合物的制备，显色</w:t>
      </w:r>
      <w:r>
        <w:rPr>
          <w:rFonts w:hint="eastAsia" w:ascii="Times New Roman" w:hAnsi="Times New Roman" w:eastAsia="仿宋_GB2312"/>
          <w:color w:val="auto"/>
          <w:sz w:val="32"/>
          <w:szCs w:val="32"/>
        </w:rPr>
        <w:t>/</w:t>
      </w:r>
      <w:r>
        <w:rPr>
          <w:rFonts w:eastAsia="仿宋_GB2312"/>
          <w:color w:val="000000"/>
          <w:sz w:val="32"/>
          <w:szCs w:val="32"/>
        </w:rPr>
        <w:t>发光等结果放大系统的确定等。</w:t>
      </w:r>
    </w:p>
    <w:p>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7.2三批产品的生产及自检记录。</w:t>
      </w:r>
    </w:p>
    <w:p>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提供三批产品生产及自检记录的复印件。如产品包含校准品和（或）质控品，还应提供校准品的赋值记录和质控品的定值记录。</w:t>
      </w:r>
    </w:p>
    <w:p>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7.3证明产品安全性、有效性的其他非临床研究资料。</w:t>
      </w:r>
    </w:p>
    <w:p>
      <w:pPr>
        <w:snapToGrid w:val="0"/>
        <w:spacing w:line="520" w:lineRule="exact"/>
        <w:ind w:firstLine="640" w:firstLineChars="200"/>
        <w:outlineLvl w:val="1"/>
        <w:rPr>
          <w:rFonts w:ascii="Times New Roman" w:hAnsi="Times New Roman" w:eastAsia="楷体_GB2312"/>
          <w:sz w:val="32"/>
          <w:szCs w:val="28"/>
        </w:rPr>
      </w:pPr>
      <w:r>
        <w:rPr>
          <w:rFonts w:ascii="Times New Roman" w:hAnsi="Times New Roman" w:eastAsia="楷体_GB2312"/>
          <w:color w:val="000000"/>
          <w:sz w:val="32"/>
          <w:szCs w:val="32"/>
        </w:rPr>
        <w:t>（四）</w:t>
      </w:r>
      <w:r>
        <w:rPr>
          <w:rFonts w:ascii="Times New Roman" w:hAnsi="Times New Roman" w:eastAsia="楷体_GB2312"/>
          <w:sz w:val="32"/>
          <w:szCs w:val="28"/>
        </w:rPr>
        <w:t>临床评价资料</w:t>
      </w:r>
    </w:p>
    <w:p>
      <w:pPr>
        <w:overflowPunct w:val="0"/>
        <w:snapToGrid w:val="0"/>
        <w:spacing w:line="520" w:lineRule="exact"/>
        <w:ind w:firstLine="640" w:firstLineChars="200"/>
        <w:rPr>
          <w:rFonts w:hint="default" w:ascii="Times New Roman" w:hAnsi="Times New Roman" w:eastAsia="仿宋_GB2312"/>
          <w:sz w:val="32"/>
          <w:szCs w:val="32"/>
          <w:lang w:eastAsia="zh-CN"/>
        </w:rPr>
      </w:pPr>
      <w:r>
        <w:rPr>
          <w:rFonts w:hint="default" w:ascii="Times New Roman" w:hAnsi="Times New Roman" w:eastAsia="仿宋_GB2312"/>
          <w:sz w:val="32"/>
          <w:szCs w:val="32"/>
        </w:rPr>
        <w:t>髓过氧化物酶（MPO）检测试剂用于心血管系统炎症的辅助诊断</w:t>
      </w:r>
      <w:r>
        <w:rPr>
          <w:rFonts w:hint="default" w:ascii="Times New Roman" w:hAnsi="Times New Roman" w:eastAsia="仿宋_GB2312"/>
          <w:sz w:val="32"/>
          <w:szCs w:val="32"/>
          <w:lang w:eastAsia="zh-CN"/>
        </w:rPr>
        <w:t>，</w:t>
      </w:r>
      <w:r>
        <w:rPr>
          <w:rFonts w:ascii="Times New Roman" w:hAnsi="Times New Roman" w:eastAsia="仿宋_GB2312"/>
          <w:sz w:val="32"/>
          <w:szCs w:val="32"/>
        </w:rPr>
        <w:t>已经列入《免于</w:t>
      </w:r>
      <w:r>
        <w:rPr>
          <w:rFonts w:hint="eastAsia" w:ascii="Times New Roman" w:hAnsi="Times New Roman" w:eastAsia="仿宋_GB2312"/>
          <w:sz w:val="32"/>
          <w:szCs w:val="32"/>
          <w:lang w:eastAsia="zh-CN"/>
        </w:rPr>
        <w:t>进行</w:t>
      </w:r>
      <w:r>
        <w:rPr>
          <w:rFonts w:ascii="Times New Roman" w:hAnsi="Times New Roman" w:eastAsia="仿宋_GB2312"/>
          <w:sz w:val="32"/>
          <w:szCs w:val="32"/>
        </w:rPr>
        <w:t>临床试验体外诊断试剂目录》。根据体外诊断试剂临床评价的相关要求，申请人可按照《免于临床试验的体外诊断试剂临床评价技术指导原则》要求进行临床评价。</w:t>
      </w:r>
    </w:p>
    <w:p>
      <w:pPr>
        <w:overflowPunct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如</w:t>
      </w:r>
      <w:r>
        <w:rPr>
          <w:rFonts w:ascii="Times New Roman" w:hAnsi="Times New Roman" w:eastAsia="仿宋_GB2312"/>
          <w:sz w:val="32"/>
          <w:szCs w:val="32"/>
          <w:lang w:bidi="ar"/>
        </w:rPr>
        <w:t>申请人无法按要求进行临床评价或预期用途超出豁免目录中的描述</w:t>
      </w:r>
      <w:r>
        <w:rPr>
          <w:rFonts w:hint="eastAsia" w:ascii="Times New Roman" w:hAnsi="Times New Roman" w:eastAsia="仿宋_GB2312"/>
          <w:sz w:val="32"/>
          <w:szCs w:val="32"/>
          <w:lang w:eastAsia="zh-CN" w:bidi="ar"/>
        </w:rPr>
        <w:t>，如</w:t>
      </w:r>
      <w:r>
        <w:rPr>
          <w:rFonts w:hint="eastAsia" w:ascii="Times New Roman" w:hAnsi="Times New Roman" w:eastAsia="仿宋_GB2312"/>
          <w:sz w:val="32"/>
          <w:szCs w:val="32"/>
          <w:lang w:val="en-US" w:eastAsia="zh-CN" w:bidi="ar"/>
        </w:rPr>
        <w:t>预期用途为患者自测或新生儿检测</w:t>
      </w:r>
      <w:r>
        <w:rPr>
          <w:rFonts w:ascii="Times New Roman" w:hAnsi="Times New Roman" w:eastAsia="仿宋_GB2312"/>
          <w:sz w:val="32"/>
          <w:szCs w:val="32"/>
          <w:lang w:bidi="ar"/>
        </w:rPr>
        <w:t>，应进行临床试验；</w:t>
      </w:r>
      <w:r>
        <w:rPr>
          <w:rFonts w:ascii="Times New Roman" w:hAnsi="Times New Roman" w:eastAsia="仿宋_GB2312"/>
          <w:sz w:val="32"/>
          <w:szCs w:val="32"/>
        </w:rPr>
        <w:t>临床试验的伦理、方案的制定以及报告的撰写等临床试验资料均应符合《体外诊断试剂临床试验技术指导原则》对临床试验资料的规定，相关资料签章应符合《医疗器械临床试验质量管理规范》的要求。</w:t>
      </w:r>
    </w:p>
    <w:p>
      <w:pPr>
        <w:snapToGrid w:val="0"/>
        <w:spacing w:line="520" w:lineRule="exact"/>
        <w:ind w:firstLine="640" w:firstLineChars="200"/>
        <w:outlineLvl w:val="1"/>
        <w:rPr>
          <w:rFonts w:ascii="Times New Roman" w:hAnsi="Times New Roman" w:eastAsia="楷体_GB2312"/>
          <w:color w:val="0C0C0C"/>
          <w:sz w:val="32"/>
          <w:szCs w:val="28"/>
        </w:rPr>
      </w:pPr>
      <w:r>
        <w:rPr>
          <w:rFonts w:ascii="Times New Roman" w:hAnsi="Times New Roman" w:eastAsia="楷体_GB2312"/>
          <w:color w:val="000000"/>
          <w:sz w:val="32"/>
          <w:szCs w:val="32"/>
        </w:rPr>
        <w:t>（五）</w:t>
      </w:r>
      <w:r>
        <w:rPr>
          <w:rFonts w:ascii="Times New Roman" w:hAnsi="Times New Roman" w:eastAsia="楷体_GB2312"/>
          <w:sz w:val="32"/>
          <w:szCs w:val="28"/>
        </w:rPr>
        <w:t>产品说明书</w:t>
      </w:r>
      <w:r>
        <w:rPr>
          <w:rFonts w:ascii="Times New Roman" w:hAnsi="Times New Roman" w:eastAsia="楷体_GB2312"/>
          <w:color w:val="0C0C0C"/>
          <w:sz w:val="32"/>
          <w:szCs w:val="28"/>
        </w:rPr>
        <w:t>和标签样稿</w:t>
      </w:r>
    </w:p>
    <w:p>
      <w:pPr>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产品说明书</w:t>
      </w:r>
      <w:r>
        <w:rPr>
          <w:rFonts w:eastAsia="仿宋_GB2312"/>
          <w:sz w:val="32"/>
          <w:szCs w:val="32"/>
        </w:rPr>
        <w:t>和标签的格式</w:t>
      </w:r>
      <w:r>
        <w:rPr>
          <w:rFonts w:ascii="Times New Roman" w:hAnsi="Times New Roman" w:eastAsia="仿宋_GB2312"/>
          <w:kern w:val="0"/>
          <w:sz w:val="32"/>
          <w:szCs w:val="32"/>
        </w:rPr>
        <w:t>应符合《医疗器械说明书和标签管理规定》和《体外诊断试剂说明书编写指导原则》的要求。境外试剂的中文说明书除格式要求外，其内容应尽量保持与原文说明书的一致性，翻译力求准确且符合中文表达习惯。产品说明书的所有内容均应与申请人提交的注册申报资料中的相关研究结果保持一致，如某些内容引用自参考文献，则应以规范格式对此内容进行标注，并单独列明文献的相关信息。</w:t>
      </w:r>
    </w:p>
    <w:p>
      <w:pPr>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以下内容仅对</w:t>
      </w:r>
      <w:r>
        <w:rPr>
          <w:rFonts w:hint="eastAsia" w:ascii="Times New Roman" w:hAnsi="Times New Roman" w:eastAsia="仿宋_GB2312"/>
          <w:kern w:val="0"/>
          <w:sz w:val="32"/>
          <w:szCs w:val="32"/>
          <w:lang w:val="en-US" w:eastAsia="zh-CN"/>
        </w:rPr>
        <w:t>髓过氧化物酶</w:t>
      </w:r>
      <w:r>
        <w:rPr>
          <w:rFonts w:ascii="Times New Roman" w:hAnsi="Times New Roman" w:eastAsia="仿宋_GB2312"/>
          <w:kern w:val="0"/>
          <w:sz w:val="32"/>
          <w:szCs w:val="32"/>
        </w:rPr>
        <w:t>检测试剂说明书的重点内容进行详细说明，说明书其他内容应根据《体外诊断试剂说明书编写指导原则》要求进行编写。</w:t>
      </w:r>
    </w:p>
    <w:p>
      <w:pPr>
        <w:snapToGrid w:val="0"/>
        <w:spacing w:line="520" w:lineRule="exact"/>
        <w:ind w:firstLine="640" w:firstLineChars="200"/>
        <w:rPr>
          <w:rFonts w:ascii="Times New Roman" w:hAnsi="Times New Roman" w:eastAsia="仿宋_GB2312"/>
          <w:color w:val="0C0C0C"/>
          <w:sz w:val="32"/>
          <w:szCs w:val="32"/>
        </w:rPr>
      </w:pPr>
      <w:r>
        <w:rPr>
          <w:rFonts w:ascii="Times New Roman" w:hAnsi="Times New Roman" w:eastAsia="仿宋_GB2312"/>
          <w:color w:val="0C0C0C"/>
          <w:sz w:val="32"/>
          <w:szCs w:val="32"/>
        </w:rPr>
        <w:t>1.【产品名称】</w:t>
      </w:r>
    </w:p>
    <w:p>
      <w:pPr>
        <w:snapToGrid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产品名称由三部分组成：被测物名称、用途、方法或原理。例如：</w:t>
      </w:r>
      <w:r>
        <w:rPr>
          <w:rFonts w:hint="eastAsia" w:ascii="Times New Roman" w:hAnsi="Times New Roman" w:eastAsia="仿宋_GB2312"/>
          <w:kern w:val="0"/>
          <w:sz w:val="32"/>
          <w:szCs w:val="32"/>
          <w:lang w:eastAsia="zh-CN"/>
        </w:rPr>
        <w:t>髓过氧化物酶</w:t>
      </w:r>
      <w:r>
        <w:rPr>
          <w:rFonts w:ascii="Times New Roman" w:hAnsi="Times New Roman" w:eastAsia="仿宋_GB2312"/>
          <w:kern w:val="0"/>
          <w:sz w:val="32"/>
          <w:szCs w:val="32"/>
        </w:rPr>
        <w:t>检测试剂（</w:t>
      </w:r>
      <w:r>
        <w:rPr>
          <w:rFonts w:hint="eastAsia" w:ascii="Times New Roman" w:hAnsi="Times New Roman" w:eastAsia="仿宋_GB2312"/>
          <w:kern w:val="0"/>
          <w:sz w:val="32"/>
          <w:szCs w:val="32"/>
          <w:lang w:val="en-US" w:eastAsia="zh-CN"/>
        </w:rPr>
        <w:t>免疫比浊法</w:t>
      </w:r>
      <w:r>
        <w:rPr>
          <w:rFonts w:ascii="Times New Roman" w:hAnsi="Times New Roman" w:eastAsia="仿宋_GB2312"/>
          <w:kern w:val="0"/>
          <w:sz w:val="32"/>
          <w:szCs w:val="32"/>
        </w:rPr>
        <w:t>）</w:t>
      </w:r>
      <w:r>
        <w:rPr>
          <w:rFonts w:hint="eastAsia" w:ascii="Times New Roman" w:hAnsi="Times New Roman" w:eastAsia="仿宋_GB2312"/>
          <w:kern w:val="0"/>
          <w:sz w:val="32"/>
          <w:szCs w:val="32"/>
          <w:lang w:eastAsia="zh-CN"/>
        </w:rPr>
        <w:t>、髓过氧化物酶</w:t>
      </w:r>
      <w:r>
        <w:rPr>
          <w:rFonts w:ascii="Times New Roman" w:hAnsi="Times New Roman" w:eastAsia="仿宋_GB2312"/>
          <w:kern w:val="0"/>
          <w:sz w:val="32"/>
          <w:szCs w:val="32"/>
        </w:rPr>
        <w:t>检测试剂（</w:t>
      </w:r>
      <w:r>
        <w:rPr>
          <w:rFonts w:hint="eastAsia" w:ascii="Times New Roman" w:hAnsi="Times New Roman" w:eastAsia="仿宋_GB2312"/>
          <w:kern w:val="0"/>
          <w:sz w:val="32"/>
          <w:szCs w:val="32"/>
          <w:lang w:val="en-US" w:eastAsia="zh-CN"/>
        </w:rPr>
        <w:t>化学发光法</w:t>
      </w:r>
      <w:r>
        <w:rPr>
          <w:rFonts w:ascii="Times New Roman" w:hAnsi="Times New Roman" w:eastAsia="仿宋_GB2312"/>
          <w:kern w:val="0"/>
          <w:sz w:val="32"/>
          <w:szCs w:val="32"/>
        </w:rPr>
        <w:t>）。</w:t>
      </w:r>
    </w:p>
    <w:p>
      <w:pPr>
        <w:snapToGrid w:val="0"/>
        <w:spacing w:line="520" w:lineRule="exact"/>
        <w:ind w:firstLine="640" w:firstLineChars="200"/>
        <w:rPr>
          <w:rFonts w:hint="eastAsia" w:ascii="Times New Roman" w:hAnsi="Times New Roman" w:eastAsia="仿宋_GB2312"/>
          <w:kern w:val="0"/>
          <w:sz w:val="32"/>
          <w:szCs w:val="32"/>
          <w:lang w:eastAsia="zh-CN"/>
        </w:rPr>
      </w:pPr>
      <w:r>
        <w:rPr>
          <w:rFonts w:ascii="Times New Roman" w:hAnsi="Times New Roman" w:eastAsia="仿宋_GB2312"/>
          <w:kern w:val="0"/>
          <w:sz w:val="32"/>
          <w:szCs w:val="32"/>
        </w:rPr>
        <w:t>注：产品名称中不体现定量、样本类型等内容</w:t>
      </w:r>
      <w:r>
        <w:rPr>
          <w:rFonts w:hint="eastAsia" w:ascii="Times New Roman" w:hAnsi="Times New Roman" w:eastAsia="仿宋_GB2312"/>
          <w:kern w:val="0"/>
          <w:sz w:val="32"/>
          <w:szCs w:val="32"/>
          <w:lang w:eastAsia="zh-CN"/>
        </w:rPr>
        <w:t>。</w:t>
      </w:r>
    </w:p>
    <w:p>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w:t>
      </w:r>
      <w:r>
        <w:rPr>
          <w:rFonts w:hint="default" w:ascii="Times New Roman" w:hAnsi="Times New Roman" w:eastAsia="仿宋_GB2312"/>
          <w:sz w:val="32"/>
          <w:szCs w:val="32"/>
        </w:rPr>
        <w:t>【包装规格】</w:t>
      </w:r>
    </w:p>
    <w:p>
      <w:pPr>
        <w:snapToGrid w:val="0"/>
        <w:spacing w:line="520" w:lineRule="exact"/>
        <w:ind w:firstLine="640" w:firstLineChars="200"/>
        <w:rPr>
          <w:rFonts w:ascii="Times New Roman" w:hAnsi="Times New Roman" w:eastAsia="仿宋_GB2312"/>
          <w:spacing w:val="0"/>
          <w:sz w:val="32"/>
          <w:szCs w:val="32"/>
        </w:rPr>
      </w:pPr>
      <w:r>
        <w:rPr>
          <w:rFonts w:ascii="Times New Roman" w:hAnsi="Times New Roman" w:eastAsia="仿宋_GB2312"/>
          <w:sz w:val="32"/>
          <w:szCs w:val="32"/>
        </w:rPr>
        <w:t>注</w:t>
      </w:r>
      <w:r>
        <w:rPr>
          <w:rFonts w:ascii="Times New Roman" w:hAnsi="Times New Roman" w:eastAsia="仿宋_GB2312"/>
          <w:spacing w:val="0"/>
          <w:sz w:val="32"/>
          <w:szCs w:val="32"/>
        </w:rPr>
        <w:t>明可测试的样本数或装量，如××测试/盒、××人份/盒、××mL，除国际通用计量单位外，其余内容均应采用中文进行表述。如有货号，可增加货号信息。</w:t>
      </w:r>
    </w:p>
    <w:p>
      <w:pPr>
        <w:spacing w:line="520" w:lineRule="exact"/>
        <w:ind w:firstLine="640" w:firstLineChars="200"/>
        <w:rPr>
          <w:rFonts w:ascii="Times New Roman" w:hAnsi="Times New Roman" w:eastAsia="仿宋_GB2312"/>
          <w:bCs w:val="0"/>
          <w:sz w:val="32"/>
          <w:szCs w:val="32"/>
        </w:rPr>
      </w:pPr>
      <w:r>
        <w:rPr>
          <w:rFonts w:ascii="Times New Roman" w:hAnsi="Times New Roman" w:eastAsia="仿宋_GB2312"/>
          <w:sz w:val="32"/>
          <w:szCs w:val="32"/>
        </w:rPr>
        <w:t>2.</w:t>
      </w:r>
      <w:r>
        <w:rPr>
          <w:rFonts w:hint="default" w:ascii="Times New Roman" w:hAnsi="Times New Roman" w:eastAsia="仿宋_GB2312"/>
          <w:sz w:val="32"/>
          <w:szCs w:val="32"/>
        </w:rPr>
        <w:t>1</w:t>
      </w:r>
      <w:r>
        <w:rPr>
          <w:rFonts w:ascii="Times New Roman" w:hAnsi="Times New Roman" w:eastAsia="仿宋_GB2312"/>
          <w:bCs w:val="0"/>
          <w:sz w:val="32"/>
          <w:szCs w:val="32"/>
        </w:rPr>
        <w:t>包装规格应明确装量（如××mL；××人份）；</w:t>
      </w:r>
    </w:p>
    <w:p>
      <w:pPr>
        <w:spacing w:line="520" w:lineRule="exact"/>
        <w:ind w:firstLine="640" w:firstLineChars="200"/>
        <w:rPr>
          <w:rFonts w:ascii="Times New Roman" w:hAnsi="Times New Roman" w:eastAsia="仿宋_GB2312"/>
          <w:bCs w:val="0"/>
          <w:sz w:val="32"/>
          <w:szCs w:val="32"/>
        </w:rPr>
      </w:pPr>
      <w:r>
        <w:rPr>
          <w:rFonts w:ascii="Times New Roman" w:hAnsi="Times New Roman" w:eastAsia="仿宋_GB2312"/>
          <w:sz w:val="32"/>
          <w:szCs w:val="32"/>
        </w:rPr>
        <w:t>2.</w:t>
      </w:r>
      <w:r>
        <w:rPr>
          <w:rFonts w:hint="default" w:ascii="Times New Roman" w:hAnsi="Times New Roman" w:eastAsia="仿宋_GB2312"/>
          <w:sz w:val="32"/>
          <w:szCs w:val="32"/>
        </w:rPr>
        <w:t>2</w:t>
      </w:r>
      <w:r>
        <w:rPr>
          <w:rFonts w:ascii="Times New Roman" w:hAnsi="Times New Roman" w:eastAsia="仿宋_GB2312"/>
          <w:bCs w:val="0"/>
          <w:sz w:val="32"/>
          <w:szCs w:val="32"/>
        </w:rPr>
        <w:t>带有校准品或质控品应明确标识；</w:t>
      </w:r>
    </w:p>
    <w:p>
      <w:pPr>
        <w:spacing w:line="520" w:lineRule="exact"/>
        <w:ind w:firstLine="640" w:firstLineChars="200"/>
        <w:rPr>
          <w:rFonts w:ascii="Times New Roman" w:hAnsi="Times New Roman" w:eastAsia="仿宋_GB2312"/>
          <w:bCs w:val="0"/>
          <w:sz w:val="32"/>
          <w:szCs w:val="32"/>
        </w:rPr>
      </w:pPr>
      <w:r>
        <w:rPr>
          <w:rFonts w:ascii="Times New Roman" w:hAnsi="Times New Roman" w:eastAsia="仿宋_GB2312"/>
          <w:sz w:val="32"/>
          <w:szCs w:val="32"/>
        </w:rPr>
        <w:t>2.</w:t>
      </w:r>
      <w:r>
        <w:rPr>
          <w:rFonts w:hint="default" w:ascii="Times New Roman" w:hAnsi="Times New Roman" w:eastAsia="仿宋_GB2312"/>
          <w:sz w:val="32"/>
          <w:szCs w:val="32"/>
        </w:rPr>
        <w:t>3</w:t>
      </w:r>
      <w:r>
        <w:rPr>
          <w:rFonts w:ascii="Times New Roman" w:hAnsi="Times New Roman" w:eastAsia="仿宋_GB2312"/>
          <w:bCs w:val="0"/>
          <w:sz w:val="32"/>
          <w:szCs w:val="32"/>
        </w:rPr>
        <w:t>与产品技术要求中所列的包装规格一致；</w:t>
      </w:r>
    </w:p>
    <w:p>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w:t>
      </w:r>
      <w:r>
        <w:rPr>
          <w:rFonts w:hint="default" w:ascii="Times New Roman" w:hAnsi="Times New Roman" w:eastAsia="仿宋_GB2312"/>
          <w:sz w:val="32"/>
          <w:szCs w:val="32"/>
        </w:rPr>
        <w:t>4</w:t>
      </w:r>
      <w:r>
        <w:rPr>
          <w:rFonts w:ascii="Times New Roman" w:hAnsi="Times New Roman" w:eastAsia="仿宋_GB2312"/>
          <w:bCs w:val="0"/>
          <w:sz w:val="32"/>
          <w:szCs w:val="32"/>
        </w:rPr>
        <w:t>如不同包装规格有与之特定对应的机型，应同时明确适用机型。</w:t>
      </w:r>
    </w:p>
    <w:p>
      <w:pPr>
        <w:snapToGrid w:val="0"/>
        <w:spacing w:line="520" w:lineRule="exact"/>
        <w:ind w:firstLine="640" w:firstLineChars="200"/>
        <w:rPr>
          <w:rFonts w:ascii="Times New Roman" w:hAnsi="Times New Roman" w:eastAsia="仿宋_GB2312"/>
          <w:sz w:val="32"/>
          <w:szCs w:val="32"/>
        </w:rPr>
      </w:pPr>
      <w:r>
        <w:rPr>
          <w:rFonts w:hint="default" w:ascii="Times New Roman" w:hAnsi="Times New Roman" w:eastAsia="仿宋_GB2312"/>
          <w:sz w:val="32"/>
          <w:szCs w:val="32"/>
          <w:lang w:val="en-US" w:eastAsia="zh-CN"/>
        </w:rPr>
        <w:t>3</w:t>
      </w:r>
      <w:r>
        <w:rPr>
          <w:rFonts w:ascii="Times New Roman" w:hAnsi="Times New Roman" w:eastAsia="仿宋_GB2312"/>
          <w:sz w:val="32"/>
          <w:szCs w:val="32"/>
        </w:rPr>
        <w:t>.【预期用途】</w:t>
      </w:r>
    </w:p>
    <w:p>
      <w:pPr>
        <w:spacing w:line="520" w:lineRule="exact"/>
        <w:ind w:firstLine="640" w:firstLineChars="200"/>
        <w:rPr>
          <w:rFonts w:hint="eastAsia" w:ascii="Times New Roman" w:hAnsi="Times New Roman" w:eastAsia="仿宋_GB2312"/>
          <w:kern w:val="0"/>
          <w:sz w:val="32"/>
          <w:szCs w:val="32"/>
          <w:highlight w:val="none"/>
        </w:rPr>
      </w:pPr>
      <w:r>
        <w:rPr>
          <w:rFonts w:hint="eastAsia" w:ascii="Times New Roman" w:hAnsi="Times New Roman" w:eastAsia="仿宋_GB2312"/>
          <w:kern w:val="0"/>
          <w:sz w:val="32"/>
          <w:szCs w:val="32"/>
        </w:rPr>
        <w:t>首段内容说明试剂用于体外定量测定人样本（血清、血浆</w:t>
      </w:r>
      <w:r>
        <w:rPr>
          <w:rFonts w:hint="eastAsia" w:ascii="Times New Roman" w:hAnsi="Times New Roman" w:eastAsia="仿宋_GB2312"/>
          <w:kern w:val="0"/>
          <w:sz w:val="32"/>
          <w:szCs w:val="32"/>
          <w:lang w:eastAsia="zh-CN"/>
        </w:rPr>
        <w:t>、</w:t>
      </w:r>
      <w:r>
        <w:rPr>
          <w:rFonts w:hint="eastAsia" w:ascii="Times New Roman" w:hAnsi="Times New Roman" w:eastAsia="仿宋_GB2312"/>
          <w:kern w:val="0"/>
          <w:sz w:val="32"/>
          <w:szCs w:val="32"/>
          <w:highlight w:val="none"/>
          <w:lang w:eastAsia="zh-CN"/>
        </w:rPr>
        <w:t>全血</w:t>
      </w:r>
      <w:r>
        <w:rPr>
          <w:rFonts w:hint="eastAsia" w:ascii="Times New Roman" w:hAnsi="Times New Roman" w:eastAsia="仿宋_GB2312"/>
          <w:kern w:val="0"/>
          <w:sz w:val="32"/>
          <w:szCs w:val="32"/>
          <w:highlight w:val="none"/>
        </w:rPr>
        <w:t>）中</w:t>
      </w:r>
      <w:r>
        <w:rPr>
          <w:rFonts w:hint="eastAsia" w:ascii="Times New Roman" w:hAnsi="Times New Roman" w:eastAsia="仿宋_GB2312"/>
          <w:kern w:val="0"/>
          <w:sz w:val="32"/>
          <w:szCs w:val="32"/>
          <w:highlight w:val="none"/>
          <w:lang w:eastAsia="zh-CN"/>
        </w:rPr>
        <w:t>髓过氧化物酶</w:t>
      </w:r>
      <w:r>
        <w:rPr>
          <w:rFonts w:hint="eastAsia" w:ascii="Times New Roman" w:hAnsi="Times New Roman" w:eastAsia="仿宋_GB2312"/>
          <w:kern w:val="0"/>
          <w:sz w:val="32"/>
          <w:szCs w:val="32"/>
          <w:highlight w:val="none"/>
        </w:rPr>
        <w:t>的</w:t>
      </w:r>
      <w:r>
        <w:rPr>
          <w:rFonts w:hint="eastAsia" w:ascii="Times New Roman" w:hAnsi="Times New Roman" w:eastAsia="仿宋_GB2312"/>
          <w:kern w:val="0"/>
          <w:sz w:val="32"/>
          <w:szCs w:val="32"/>
          <w:highlight w:val="none"/>
          <w:lang w:eastAsia="zh-CN"/>
        </w:rPr>
        <w:t>活性或</w:t>
      </w:r>
      <w:r>
        <w:rPr>
          <w:rFonts w:hint="eastAsia" w:ascii="Times New Roman" w:hAnsi="Times New Roman" w:eastAsia="仿宋_GB2312"/>
          <w:kern w:val="0"/>
          <w:sz w:val="32"/>
          <w:szCs w:val="32"/>
          <w:highlight w:val="none"/>
          <w:lang w:val="en-US" w:eastAsia="zh-CN"/>
        </w:rPr>
        <w:t>含量</w:t>
      </w:r>
      <w:r>
        <w:rPr>
          <w:rFonts w:hint="eastAsia" w:ascii="Times New Roman" w:hAnsi="Times New Roman" w:eastAsia="仿宋_GB2312"/>
          <w:kern w:val="0"/>
          <w:sz w:val="32"/>
          <w:szCs w:val="32"/>
          <w:highlight w:val="none"/>
        </w:rPr>
        <w:t>。</w:t>
      </w:r>
    </w:p>
    <w:p>
      <w:pPr>
        <w:spacing w:line="520" w:lineRule="exact"/>
        <w:ind w:firstLine="640" w:firstLineChars="200"/>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第二段应详细说明预期用途。包括适用人群，相关的临床适应证和检测目的等，如临床上用于心血管系统炎症的辅助诊断。</w:t>
      </w:r>
    </w:p>
    <w:p>
      <w:pPr>
        <w:spacing w:line="520" w:lineRule="exact"/>
        <w:ind w:firstLine="640" w:firstLineChars="200"/>
      </w:pPr>
      <w:r>
        <w:rPr>
          <w:rFonts w:hint="eastAsia" w:ascii="Times New Roman" w:hAnsi="Times New Roman" w:eastAsia="仿宋_GB2312"/>
          <w:kern w:val="0"/>
          <w:sz w:val="32"/>
          <w:szCs w:val="32"/>
        </w:rPr>
        <w:t>其余段落对被测分析物进行背景介绍、说明相关的临床或实验室诊断方法；说明与预期用途相关的临床背景情况；说明被测分析物与临床适应证的关系</w:t>
      </w:r>
      <w:r>
        <w:rPr>
          <w:rFonts w:ascii="Times New Roman" w:hAnsi="Times New Roman" w:eastAsia="仿宋_GB2312"/>
          <w:kern w:val="0"/>
          <w:sz w:val="32"/>
          <w:szCs w:val="32"/>
        </w:rPr>
        <w:t>。</w:t>
      </w:r>
    </w:p>
    <w:p>
      <w:pPr>
        <w:snapToGrid w:val="0"/>
        <w:spacing w:line="52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lang w:eastAsia="zh-CN"/>
        </w:rPr>
        <w:t>4</w:t>
      </w:r>
      <w:r>
        <w:rPr>
          <w:rFonts w:ascii="Times New Roman" w:hAnsi="Times New Roman" w:eastAsia="仿宋_GB2312"/>
          <w:color w:val="auto"/>
          <w:sz w:val="32"/>
          <w:szCs w:val="32"/>
        </w:rPr>
        <w:t>.【检验原理】</w:t>
      </w:r>
    </w:p>
    <w:p>
      <w:pPr>
        <w:snapToGrid w:val="0"/>
        <w:spacing w:line="520" w:lineRule="exact"/>
        <w:ind w:firstLine="640"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根据产品采用的方法学说明检验的原理，测定原理的描述应结合产品主要组成成分、被测物和产物的关系进行描述，必要时可结合图示方法描述。</w:t>
      </w:r>
    </w:p>
    <w:p>
      <w:pPr>
        <w:snapToGrid w:val="0"/>
        <w:spacing w:line="520" w:lineRule="exact"/>
        <w:ind w:firstLine="640" w:firstLineChars="200"/>
        <w:rPr>
          <w:rFonts w:ascii="Times New Roman" w:hAnsi="Times New Roman" w:eastAsia="仿宋_GB2312"/>
          <w:color w:val="auto"/>
          <w:sz w:val="32"/>
          <w:szCs w:val="32"/>
        </w:rPr>
      </w:pPr>
      <w:r>
        <w:rPr>
          <w:rFonts w:hint="default" w:ascii="Times New Roman" w:hAnsi="Times New Roman" w:eastAsia="仿宋_GB2312"/>
          <w:color w:val="auto"/>
          <w:sz w:val="32"/>
          <w:szCs w:val="32"/>
          <w:lang w:eastAsia="zh-CN"/>
        </w:rPr>
        <w:t>如：</w:t>
      </w:r>
      <w:r>
        <w:rPr>
          <w:rFonts w:hint="default" w:ascii="Times New Roman" w:hAnsi="Times New Roman" w:eastAsia="仿宋_GB2312"/>
          <w:color w:val="auto"/>
          <w:sz w:val="32"/>
          <w:szCs w:val="32"/>
        </w:rPr>
        <w:t>采用免疫层析及双抗夹心原理定量检测人全血</w:t>
      </w:r>
      <w:r>
        <w:rPr>
          <w:rFonts w:ascii="Times New Roman" w:hAnsi="Times New Roman" w:eastAsia="仿宋_GB2312"/>
          <w:color w:val="auto"/>
          <w:sz w:val="32"/>
          <w:szCs w:val="32"/>
        </w:rPr>
        <w:t>/</w:t>
      </w:r>
      <w:r>
        <w:rPr>
          <w:rFonts w:hint="default" w:ascii="Times New Roman" w:hAnsi="Times New Roman" w:eastAsia="仿宋_GB2312"/>
          <w:color w:val="auto"/>
          <w:sz w:val="32"/>
          <w:szCs w:val="32"/>
        </w:rPr>
        <w:t>血浆</w:t>
      </w:r>
      <w:r>
        <w:rPr>
          <w:rFonts w:ascii="Times New Roman" w:hAnsi="Times New Roman" w:eastAsia="仿宋_GB2312"/>
          <w:color w:val="auto"/>
          <w:sz w:val="32"/>
          <w:szCs w:val="32"/>
        </w:rPr>
        <w:t>/</w:t>
      </w:r>
      <w:r>
        <w:rPr>
          <w:rFonts w:hint="default" w:ascii="Times New Roman" w:hAnsi="Times New Roman" w:eastAsia="仿宋_GB2312"/>
          <w:color w:val="auto"/>
          <w:sz w:val="32"/>
          <w:szCs w:val="32"/>
        </w:rPr>
        <w:t>血清中的髓过氧化物酶（</w:t>
      </w:r>
      <w:r>
        <w:rPr>
          <w:rFonts w:ascii="Times New Roman" w:hAnsi="Times New Roman" w:eastAsia="仿宋_GB2312"/>
          <w:color w:val="auto"/>
          <w:sz w:val="32"/>
          <w:szCs w:val="32"/>
        </w:rPr>
        <w:t>MPO</w:t>
      </w:r>
      <w:r>
        <w:rPr>
          <w:rFonts w:hint="default" w:ascii="Times New Roman" w:hAnsi="Times New Roman" w:eastAsia="仿宋_GB2312"/>
          <w:color w:val="auto"/>
          <w:sz w:val="32"/>
          <w:szCs w:val="32"/>
        </w:rPr>
        <w:t>）含量。试剂卡检测线（</w:t>
      </w:r>
      <w:r>
        <w:rPr>
          <w:rFonts w:ascii="Times New Roman" w:hAnsi="Times New Roman" w:eastAsia="仿宋_GB2312"/>
          <w:color w:val="auto"/>
          <w:sz w:val="32"/>
          <w:szCs w:val="32"/>
        </w:rPr>
        <w:t>T</w:t>
      </w:r>
      <w:r>
        <w:rPr>
          <w:rFonts w:hint="default" w:ascii="Times New Roman" w:hAnsi="Times New Roman" w:eastAsia="仿宋_GB2312"/>
          <w:color w:val="auto"/>
          <w:sz w:val="32"/>
          <w:szCs w:val="32"/>
        </w:rPr>
        <w:t>）处包被有鼠抗人髓过氧化物酶单克隆包被抗体，质控线（</w:t>
      </w:r>
      <w:r>
        <w:rPr>
          <w:rFonts w:ascii="Times New Roman" w:hAnsi="Times New Roman" w:eastAsia="仿宋_GB2312"/>
          <w:color w:val="auto"/>
          <w:sz w:val="32"/>
          <w:szCs w:val="32"/>
        </w:rPr>
        <w:t>C</w:t>
      </w:r>
      <w:r>
        <w:rPr>
          <w:rFonts w:hint="default" w:ascii="Times New Roman" w:hAnsi="Times New Roman" w:eastAsia="仿宋_GB2312"/>
          <w:color w:val="auto"/>
          <w:sz w:val="32"/>
          <w:szCs w:val="32"/>
        </w:rPr>
        <w:t>）处包被有羊抗鼠</w:t>
      </w:r>
      <w:r>
        <w:rPr>
          <w:rFonts w:ascii="Times New Roman" w:hAnsi="Times New Roman" w:eastAsia="仿宋_GB2312"/>
          <w:color w:val="auto"/>
          <w:sz w:val="32"/>
          <w:szCs w:val="32"/>
        </w:rPr>
        <w:t>IgG</w:t>
      </w:r>
      <w:r>
        <w:rPr>
          <w:rFonts w:hint="default" w:ascii="Times New Roman" w:hAnsi="Times New Roman" w:eastAsia="仿宋_GB2312"/>
          <w:color w:val="auto"/>
          <w:sz w:val="32"/>
          <w:szCs w:val="32"/>
        </w:rPr>
        <w:t>抗体。测试时样本中的</w:t>
      </w:r>
      <w:r>
        <w:rPr>
          <w:rFonts w:ascii="Times New Roman" w:hAnsi="Times New Roman" w:eastAsia="仿宋_GB2312"/>
          <w:color w:val="auto"/>
          <w:sz w:val="32"/>
          <w:szCs w:val="32"/>
        </w:rPr>
        <w:t>MPO</w:t>
      </w:r>
      <w:r>
        <w:rPr>
          <w:rFonts w:hint="default" w:ascii="Times New Roman" w:hAnsi="Times New Roman" w:eastAsia="仿宋_GB2312"/>
          <w:color w:val="auto"/>
          <w:sz w:val="32"/>
          <w:szCs w:val="32"/>
        </w:rPr>
        <w:t>与胶体金标记的鼠抗人髓过氧化物酶单克隆标记抗体形成抗原抗体复合物，借助毛细作用移行至检测线（</w:t>
      </w:r>
      <w:r>
        <w:rPr>
          <w:rFonts w:ascii="Times New Roman" w:hAnsi="Times New Roman" w:eastAsia="仿宋_GB2312"/>
          <w:color w:val="auto"/>
          <w:sz w:val="32"/>
          <w:szCs w:val="32"/>
        </w:rPr>
        <w:t>T</w:t>
      </w:r>
      <w:r>
        <w:rPr>
          <w:rFonts w:hint="default" w:ascii="Times New Roman" w:hAnsi="Times New Roman" w:eastAsia="仿宋_GB2312"/>
          <w:color w:val="auto"/>
          <w:sz w:val="32"/>
          <w:szCs w:val="32"/>
        </w:rPr>
        <w:t>）及质控线（</w:t>
      </w:r>
      <w:r>
        <w:rPr>
          <w:rFonts w:ascii="Times New Roman" w:hAnsi="Times New Roman" w:eastAsia="仿宋_GB2312"/>
          <w:color w:val="auto"/>
          <w:sz w:val="32"/>
          <w:szCs w:val="32"/>
        </w:rPr>
        <w:t>C</w:t>
      </w:r>
      <w:r>
        <w:rPr>
          <w:rFonts w:hint="default" w:ascii="Times New Roman" w:hAnsi="Times New Roman" w:eastAsia="仿宋_GB2312"/>
          <w:color w:val="auto"/>
          <w:sz w:val="32"/>
          <w:szCs w:val="32"/>
        </w:rPr>
        <w:t>）形成有色条带。配合免疫定量分析仪使用，通过采集检测线（</w:t>
      </w:r>
      <w:r>
        <w:rPr>
          <w:rFonts w:ascii="Times New Roman" w:hAnsi="Times New Roman" w:eastAsia="仿宋_GB2312"/>
          <w:color w:val="auto"/>
          <w:sz w:val="32"/>
          <w:szCs w:val="32"/>
        </w:rPr>
        <w:t>T</w:t>
      </w:r>
      <w:r>
        <w:rPr>
          <w:rFonts w:hint="default" w:ascii="Times New Roman" w:hAnsi="Times New Roman" w:eastAsia="仿宋_GB2312"/>
          <w:color w:val="auto"/>
          <w:sz w:val="32"/>
          <w:szCs w:val="32"/>
        </w:rPr>
        <w:t>）和质控线（</w:t>
      </w:r>
      <w:r>
        <w:rPr>
          <w:rFonts w:ascii="Times New Roman" w:hAnsi="Times New Roman" w:eastAsia="仿宋_GB2312"/>
          <w:color w:val="auto"/>
          <w:sz w:val="32"/>
          <w:szCs w:val="32"/>
        </w:rPr>
        <w:t>C</w:t>
      </w:r>
      <w:r>
        <w:rPr>
          <w:rFonts w:hint="default" w:ascii="Times New Roman" w:hAnsi="Times New Roman" w:eastAsia="仿宋_GB2312"/>
          <w:color w:val="auto"/>
          <w:sz w:val="32"/>
          <w:szCs w:val="32"/>
        </w:rPr>
        <w:t>）图像进行分析处理，计算出样本中</w:t>
      </w:r>
      <w:r>
        <w:rPr>
          <w:rFonts w:ascii="Times New Roman" w:hAnsi="Times New Roman" w:eastAsia="仿宋_GB2312"/>
          <w:color w:val="auto"/>
          <w:sz w:val="32"/>
          <w:szCs w:val="32"/>
        </w:rPr>
        <w:t>MPO</w:t>
      </w:r>
      <w:r>
        <w:rPr>
          <w:rFonts w:hint="default" w:ascii="Times New Roman" w:hAnsi="Times New Roman" w:eastAsia="仿宋_GB2312"/>
          <w:color w:val="auto"/>
          <w:sz w:val="32"/>
          <w:szCs w:val="32"/>
        </w:rPr>
        <w:t>含量。</w:t>
      </w:r>
    </w:p>
    <w:p>
      <w:pPr>
        <w:snapToGrid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ascii="Times New Roman" w:hAnsi="Times New Roman" w:eastAsia="仿宋_GB2312"/>
          <w:sz w:val="32"/>
          <w:szCs w:val="32"/>
        </w:rPr>
        <w:t>.【主要组成成分】</w:t>
      </w:r>
    </w:p>
    <w:p>
      <w:pPr>
        <w:overflowPunct/>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应明确以下内容：</w:t>
      </w:r>
    </w:p>
    <w:p>
      <w:pPr>
        <w:overflowPunct w:val="0"/>
        <w:snapToGrid w:val="0"/>
        <w:spacing w:line="520" w:lineRule="exact"/>
        <w:ind w:firstLine="640" w:firstLineChars="200"/>
        <w:rPr>
          <w:rFonts w:ascii="Times New Roman" w:hAnsi="Times New Roman" w:eastAsia="仿宋_GB2312"/>
          <w:spacing w:val="2"/>
          <w:sz w:val="32"/>
          <w:szCs w:val="32"/>
        </w:rPr>
      </w:pPr>
      <w:r>
        <w:rPr>
          <w:rFonts w:hint="eastAsia" w:ascii="Times New Roman" w:hAnsi="Times New Roman" w:eastAsia="仿宋_GB2312"/>
          <w:sz w:val="32"/>
          <w:szCs w:val="32"/>
          <w:lang w:val="en-US" w:eastAsia="zh-CN"/>
        </w:rPr>
        <w:t>5</w:t>
      </w:r>
      <w:r>
        <w:rPr>
          <w:rFonts w:ascii="Times New Roman" w:hAnsi="Times New Roman" w:eastAsia="仿宋_GB2312"/>
          <w:sz w:val="32"/>
          <w:szCs w:val="32"/>
        </w:rPr>
        <w:t>.1试</w:t>
      </w:r>
      <w:r>
        <w:rPr>
          <w:rFonts w:ascii="Times New Roman" w:hAnsi="Times New Roman" w:eastAsia="仿宋_GB2312"/>
          <w:spacing w:val="2"/>
          <w:sz w:val="32"/>
          <w:szCs w:val="32"/>
        </w:rPr>
        <w:t>剂盒提供的试剂组分的名称、比例或浓度，各组分是否可以互换；如含有校准品或质控品，除明确组成成分及生物学来源外，校准品还应明确其定值及溯源性，</w:t>
      </w:r>
      <w:r>
        <w:rPr>
          <w:rFonts w:hint="default" w:ascii="Times New Roman" w:hAnsi="Times New Roman" w:eastAsia="仿宋_GB2312"/>
          <w:spacing w:val="2"/>
          <w:sz w:val="32"/>
          <w:szCs w:val="32"/>
          <w:lang w:eastAsia="zh-CN"/>
        </w:rPr>
        <w:t>如校准品</w:t>
      </w:r>
      <w:r>
        <w:rPr>
          <w:rFonts w:ascii="Times New Roman" w:hAnsi="Times New Roman" w:eastAsia="仿宋_GB2312" w:cs="Times New Roman"/>
          <w:spacing w:val="2"/>
          <w:kern w:val="2"/>
          <w:sz w:val="32"/>
          <w:szCs w:val="32"/>
          <w:lang w:val="en-US" w:eastAsia="zh-CN" w:bidi="ar-SA"/>
        </w:rPr>
        <w:t>溯源至企业选定的测量程序</w:t>
      </w:r>
      <w:r>
        <w:rPr>
          <w:rFonts w:ascii="Times New Roman" w:hAnsi="Times New Roman" w:eastAsia="仿宋_GB2312"/>
          <w:spacing w:val="2"/>
          <w:sz w:val="32"/>
          <w:szCs w:val="32"/>
        </w:rPr>
        <w:t>，质控品应明确靶值范围。</w:t>
      </w:r>
    </w:p>
    <w:p>
      <w:pPr>
        <w:overflowPunct w:val="0"/>
        <w:adjustRightInd/>
        <w:snapToGrid w:val="0"/>
        <w:spacing w:line="520" w:lineRule="exact"/>
        <w:ind w:firstLine="640" w:firstLineChars="200"/>
        <w:rPr>
          <w:rFonts w:hint="eastAsia" w:eastAsia="仿宋_GB2312"/>
          <w:sz w:val="32"/>
          <w:szCs w:val="32"/>
        </w:rPr>
      </w:pPr>
      <w:r>
        <w:rPr>
          <w:rFonts w:hint="eastAsia" w:ascii="Times New Roman" w:hAnsi="Times New Roman" w:eastAsia="仿宋_GB2312"/>
          <w:sz w:val="32"/>
          <w:szCs w:val="32"/>
          <w:lang w:val="en-US" w:eastAsia="zh-CN"/>
        </w:rPr>
        <w:t>5</w:t>
      </w:r>
      <w:r>
        <w:rPr>
          <w:rFonts w:ascii="Times New Roman" w:hAnsi="Times New Roman" w:eastAsia="仿宋_GB2312"/>
          <w:sz w:val="32"/>
          <w:szCs w:val="32"/>
        </w:rPr>
        <w:t>.2</w:t>
      </w:r>
      <w:r>
        <w:rPr>
          <w:rFonts w:hint="eastAsia" w:eastAsia="仿宋_GB2312"/>
          <w:sz w:val="32"/>
          <w:szCs w:val="32"/>
        </w:rPr>
        <w:t>试剂盒中不包含但对该项检测必需的组分，</w:t>
      </w:r>
      <w:r>
        <w:rPr>
          <w:rFonts w:hint="eastAsia" w:eastAsia="仿宋_GB2312"/>
          <w:sz w:val="32"/>
          <w:szCs w:val="32"/>
          <w:lang w:eastAsia="zh-CN"/>
        </w:rPr>
        <w:t>如底物液、稀释液等，</w:t>
      </w:r>
      <w:r>
        <w:rPr>
          <w:rFonts w:hint="eastAsia" w:eastAsia="仿宋_GB2312"/>
          <w:sz w:val="32"/>
          <w:szCs w:val="32"/>
        </w:rPr>
        <w:t>应列明试剂的名称、注册人（备案人）。如该试剂已取得注册证号</w:t>
      </w:r>
      <w:r>
        <w:rPr>
          <w:rFonts w:hint="default" w:ascii="Times New Roman" w:hAnsi="Times New Roman" w:eastAsia="仿宋_GB2312"/>
          <w:sz w:val="32"/>
          <w:szCs w:val="28"/>
        </w:rPr>
        <w:t>/</w:t>
      </w:r>
      <w:r>
        <w:rPr>
          <w:rFonts w:hint="eastAsia" w:eastAsia="仿宋_GB2312"/>
          <w:sz w:val="32"/>
          <w:szCs w:val="32"/>
        </w:rPr>
        <w:t>备案号，需注明“注册证编号（备案编号）及货号”；如该试剂正处于注册</w:t>
      </w:r>
      <w:r>
        <w:rPr>
          <w:rFonts w:hint="default" w:ascii="Times New Roman" w:hAnsi="Times New Roman" w:eastAsia="仿宋_GB2312"/>
          <w:sz w:val="32"/>
          <w:szCs w:val="28"/>
        </w:rPr>
        <w:t>/</w:t>
      </w:r>
      <w:r>
        <w:rPr>
          <w:rFonts w:hint="eastAsia" w:eastAsia="仿宋_GB2312"/>
          <w:sz w:val="32"/>
          <w:szCs w:val="32"/>
        </w:rPr>
        <w:t>备案阶段，需注明“货号及注册证编号:（留空）</w:t>
      </w:r>
      <w:r>
        <w:rPr>
          <w:rFonts w:hint="default" w:ascii="Times New Roman" w:hAnsi="Times New Roman" w:eastAsia="仿宋_GB2312"/>
          <w:sz w:val="32"/>
          <w:szCs w:val="28"/>
        </w:rPr>
        <w:t>/</w:t>
      </w:r>
      <w:r>
        <w:rPr>
          <w:rFonts w:hint="eastAsia" w:eastAsia="仿宋_GB2312"/>
          <w:sz w:val="32"/>
          <w:szCs w:val="32"/>
        </w:rPr>
        <w:t>备案编号:（留空）”。</w:t>
      </w:r>
    </w:p>
    <w:p>
      <w:pPr>
        <w:overflowPunct w:val="0"/>
        <w:adjustRightInd/>
        <w:snapToGrid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3</w:t>
      </w:r>
      <w:r>
        <w:rPr>
          <w:rFonts w:ascii="Times New Roman" w:hAnsi="Times New Roman" w:eastAsia="仿宋_GB2312"/>
          <w:sz w:val="32"/>
          <w:szCs w:val="32"/>
        </w:rPr>
        <w:t>对于非试剂组分，如</w:t>
      </w:r>
      <w:r>
        <w:rPr>
          <w:rFonts w:hint="eastAsia" w:ascii="Times New Roman" w:hAnsi="Times New Roman" w:eastAsia="仿宋_GB2312"/>
          <w:sz w:val="32"/>
          <w:szCs w:val="32"/>
        </w:rPr>
        <w:t>试验</w:t>
      </w:r>
      <w:r>
        <w:rPr>
          <w:rFonts w:ascii="Times New Roman" w:hAnsi="Times New Roman" w:eastAsia="仿宋_GB2312"/>
          <w:sz w:val="32"/>
          <w:szCs w:val="32"/>
        </w:rPr>
        <w:t>用耗材（如塑料滴管）、定值单（靶值单）、校准卡等，应注明相关信息。</w:t>
      </w:r>
    </w:p>
    <w:p>
      <w:pPr>
        <w:snapToGrid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val="en-US" w:eastAsia="zh-CN"/>
        </w:rPr>
        <w:t>6</w:t>
      </w:r>
      <w:r>
        <w:rPr>
          <w:rFonts w:ascii="Times New Roman" w:hAnsi="Times New Roman" w:eastAsia="仿宋_GB2312"/>
          <w:sz w:val="32"/>
          <w:szCs w:val="32"/>
        </w:rPr>
        <w:t>.【储存条件及有效期】</w:t>
      </w:r>
    </w:p>
    <w:p>
      <w:pPr>
        <w:snapToGrid w:val="0"/>
        <w:spacing w:line="520" w:lineRule="exact"/>
        <w:ind w:firstLine="640" w:firstLineChars="200"/>
        <w:rPr>
          <w:rFonts w:eastAsia="仿宋_GB2312"/>
          <w:kern w:val="0"/>
          <w:sz w:val="32"/>
          <w:szCs w:val="32"/>
        </w:rPr>
      </w:pPr>
      <w:r>
        <w:rPr>
          <w:rFonts w:hint="eastAsia" w:eastAsia="仿宋_GB2312"/>
          <w:kern w:val="0"/>
          <w:sz w:val="32"/>
          <w:szCs w:val="32"/>
        </w:rPr>
        <w:t>首段明确货架保存条件和有效期，如</w:t>
      </w:r>
      <w:r>
        <w:rPr>
          <w:rFonts w:hint="default" w:ascii="Times New Roman" w:hAnsi="Times New Roman" w:eastAsia="仿宋_GB2312"/>
          <w:kern w:val="2"/>
          <w:sz w:val="32"/>
          <w:szCs w:val="28"/>
        </w:rPr>
        <w:t>2~8℃</w:t>
      </w:r>
      <w:r>
        <w:rPr>
          <w:rFonts w:hint="eastAsia" w:eastAsia="仿宋_GB2312"/>
          <w:kern w:val="0"/>
          <w:sz w:val="32"/>
          <w:szCs w:val="32"/>
        </w:rPr>
        <w:t>保存，有效期</w:t>
      </w:r>
      <w:r>
        <w:rPr>
          <w:rFonts w:hint="default" w:ascii="Times New Roman" w:hAnsi="Times New Roman" w:eastAsia="仿宋_GB2312"/>
          <w:kern w:val="2"/>
          <w:sz w:val="32"/>
          <w:szCs w:val="28"/>
        </w:rPr>
        <w:t>12</w:t>
      </w:r>
      <w:r>
        <w:rPr>
          <w:rFonts w:hint="eastAsia" w:eastAsia="仿宋_GB2312"/>
          <w:kern w:val="0"/>
          <w:sz w:val="32"/>
          <w:szCs w:val="32"/>
        </w:rPr>
        <w:t>个月。同时明确特殊保存条件，如禁止冷冻、湿度要求等。</w:t>
      </w:r>
    </w:p>
    <w:p>
      <w:pPr>
        <w:snapToGrid w:val="0"/>
        <w:spacing w:line="520" w:lineRule="exact"/>
        <w:ind w:firstLine="640" w:firstLineChars="200"/>
        <w:rPr>
          <w:rFonts w:eastAsia="仿宋_GB2312"/>
          <w:kern w:val="0"/>
          <w:sz w:val="32"/>
          <w:szCs w:val="32"/>
        </w:rPr>
      </w:pPr>
      <w:r>
        <w:rPr>
          <w:rFonts w:hint="eastAsia" w:eastAsia="仿宋_GB2312"/>
          <w:kern w:val="0"/>
          <w:sz w:val="32"/>
          <w:szCs w:val="32"/>
        </w:rPr>
        <w:t>其他段落描述以下内容：</w:t>
      </w:r>
    </w:p>
    <w:p>
      <w:pPr>
        <w:snapToGrid w:val="0"/>
        <w:spacing w:line="520" w:lineRule="exact"/>
        <w:ind w:firstLine="640" w:firstLineChars="200"/>
        <w:rPr>
          <w:rFonts w:eastAsia="仿宋_GB2312"/>
          <w:kern w:val="0"/>
          <w:sz w:val="32"/>
          <w:szCs w:val="32"/>
        </w:rPr>
      </w:pPr>
      <w:r>
        <w:rPr>
          <w:rFonts w:hint="eastAsia" w:eastAsia="仿宋_GB2312"/>
          <w:kern w:val="0"/>
          <w:sz w:val="32"/>
          <w:szCs w:val="32"/>
        </w:rPr>
        <w:t>明确各组分的使用稳定性，包括开封保存条件和保存时长、冻融次数、机载稳定性等。</w:t>
      </w:r>
    </w:p>
    <w:p>
      <w:pPr>
        <w:snapToGrid w:val="0"/>
        <w:spacing w:line="520" w:lineRule="exact"/>
        <w:ind w:firstLine="640" w:firstLineChars="200"/>
        <w:rPr>
          <w:rFonts w:eastAsia="仿宋_GB2312"/>
          <w:kern w:val="0"/>
          <w:sz w:val="32"/>
          <w:szCs w:val="32"/>
        </w:rPr>
      </w:pPr>
      <w:r>
        <w:rPr>
          <w:rFonts w:hint="eastAsia" w:eastAsia="仿宋_GB2312"/>
          <w:kern w:val="0"/>
          <w:sz w:val="32"/>
          <w:szCs w:val="32"/>
        </w:rPr>
        <w:t>明确生产日期、使用期限</w:t>
      </w:r>
      <w:r>
        <w:rPr>
          <w:rFonts w:hint="default" w:ascii="Times New Roman" w:hAnsi="Times New Roman" w:eastAsia="仿宋_GB2312"/>
          <w:kern w:val="2"/>
          <w:sz w:val="32"/>
          <w:szCs w:val="32"/>
        </w:rPr>
        <w:t>/失效日期/</w:t>
      </w:r>
      <w:r>
        <w:rPr>
          <w:rFonts w:hint="eastAsia" w:eastAsia="仿宋_GB2312"/>
          <w:kern w:val="0"/>
          <w:sz w:val="32"/>
          <w:szCs w:val="32"/>
        </w:rPr>
        <w:t>有效期至见标签。</w:t>
      </w:r>
    </w:p>
    <w:p>
      <w:pPr>
        <w:overflowPunct/>
        <w:snapToGrid/>
        <w:spacing w:line="52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注：保存温度不应有模糊表述，如“常温”“室温”，应直接以℃为单位；对于可以冷冻的试剂应注明冻融次数限制。</w:t>
      </w:r>
    </w:p>
    <w:p>
      <w:pPr>
        <w:snapToGrid w:val="0"/>
        <w:spacing w:line="520" w:lineRule="exact"/>
        <w:ind w:firstLine="640" w:firstLineChars="200"/>
        <w:rPr>
          <w:rFonts w:eastAsia="仿宋_GB2312"/>
          <w:sz w:val="32"/>
          <w:szCs w:val="32"/>
        </w:rPr>
      </w:pPr>
      <w:r>
        <w:rPr>
          <w:rFonts w:hint="eastAsia" w:ascii="Times New Roman" w:hAnsi="Times New Roman" w:eastAsia="仿宋_GB2312"/>
          <w:sz w:val="32"/>
          <w:szCs w:val="32"/>
          <w:lang w:val="en-US" w:eastAsia="zh-CN"/>
        </w:rPr>
        <w:t>7</w:t>
      </w:r>
      <w:r>
        <w:rPr>
          <w:rFonts w:hint="default" w:ascii="Times New Roman" w:hAnsi="Times New Roman" w:eastAsia="仿宋_GB2312"/>
          <w:sz w:val="32"/>
          <w:szCs w:val="32"/>
          <w:lang w:val="en-US" w:eastAsia="zh-CN"/>
        </w:rPr>
        <w:t>.</w:t>
      </w:r>
      <w:r>
        <w:rPr>
          <w:rFonts w:hint="eastAsia" w:eastAsia="仿宋_GB2312"/>
          <w:sz w:val="32"/>
          <w:szCs w:val="32"/>
        </w:rPr>
        <w:t>【适用仪器】</w:t>
      </w:r>
    </w:p>
    <w:p>
      <w:pPr>
        <w:spacing w:line="520" w:lineRule="exact"/>
        <w:ind w:firstLine="640" w:firstLineChars="200"/>
      </w:pPr>
      <w:r>
        <w:rPr>
          <w:rFonts w:hint="eastAsia" w:eastAsia="仿宋_GB2312"/>
          <w:kern w:val="0"/>
          <w:sz w:val="32"/>
          <w:szCs w:val="32"/>
        </w:rPr>
        <w:t>明确所适用的仪器类型，应细化到具体厂家、型号。如适用仪器为非通用的仪器则需写明其具体型号，避免“系列”。</w:t>
      </w:r>
    </w:p>
    <w:p>
      <w:pPr>
        <w:snapToGrid w:val="0"/>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8</w:t>
      </w:r>
      <w:r>
        <w:rPr>
          <w:rFonts w:ascii="Times New Roman" w:hAnsi="Times New Roman" w:eastAsia="仿宋_GB2312"/>
          <w:sz w:val="32"/>
          <w:szCs w:val="32"/>
          <w:highlight w:val="none"/>
        </w:rPr>
        <w:t>.【样本要求】</w:t>
      </w:r>
    </w:p>
    <w:p>
      <w:pPr>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应至少在以下几方面进行说明：</w:t>
      </w:r>
    </w:p>
    <w:p>
      <w:pPr>
        <w:spacing w:line="520" w:lineRule="exact"/>
        <w:ind w:firstLine="640" w:firstLineChars="200"/>
        <w:rPr>
          <w:rFonts w:ascii="Times New Roman" w:hAnsi="Times New Roman" w:eastAsia="仿宋_GB2312"/>
          <w:kern w:val="0"/>
          <w:sz w:val="32"/>
          <w:szCs w:val="32"/>
        </w:rPr>
      </w:pPr>
      <w:r>
        <w:rPr>
          <w:rFonts w:hint="eastAsia" w:ascii="Times New Roman" w:hAnsi="Times New Roman" w:eastAsia="仿宋_GB2312"/>
          <w:sz w:val="32"/>
          <w:szCs w:val="32"/>
          <w:lang w:val="en-US" w:eastAsia="zh-CN"/>
        </w:rPr>
        <w:t>8.1</w:t>
      </w:r>
      <w:r>
        <w:rPr>
          <w:rFonts w:ascii="Times New Roman" w:hAnsi="Times New Roman" w:eastAsia="仿宋_GB2312"/>
          <w:kern w:val="0"/>
          <w:sz w:val="32"/>
          <w:szCs w:val="32"/>
        </w:rPr>
        <w:t>适用的样本类型。</w:t>
      </w:r>
    </w:p>
    <w:p>
      <w:pPr>
        <w:spacing w:line="520" w:lineRule="exact"/>
        <w:ind w:firstLine="640" w:firstLineChars="200"/>
        <w:rPr>
          <w:rFonts w:ascii="Times New Roman" w:hAnsi="Times New Roman" w:eastAsia="仿宋_GB2312"/>
          <w:kern w:val="0"/>
          <w:sz w:val="32"/>
          <w:szCs w:val="32"/>
        </w:rPr>
      </w:pPr>
      <w:r>
        <w:rPr>
          <w:rFonts w:hint="eastAsia" w:ascii="Times New Roman" w:hAnsi="Times New Roman" w:eastAsia="仿宋_GB2312"/>
          <w:sz w:val="32"/>
          <w:szCs w:val="32"/>
          <w:lang w:val="en-US" w:eastAsia="zh-CN"/>
        </w:rPr>
        <w:t>8.2</w:t>
      </w:r>
      <w:r>
        <w:rPr>
          <w:rFonts w:ascii="Times New Roman" w:hAnsi="Times New Roman" w:eastAsia="仿宋_GB2312"/>
          <w:kern w:val="0"/>
          <w:sz w:val="32"/>
          <w:szCs w:val="32"/>
        </w:rPr>
        <w:t>在样本收集过程中的特别注意事项。</w:t>
      </w:r>
    </w:p>
    <w:p>
      <w:pPr>
        <w:spacing w:line="520" w:lineRule="exact"/>
        <w:ind w:firstLine="640" w:firstLineChars="200"/>
        <w:rPr>
          <w:rFonts w:ascii="Times New Roman" w:hAnsi="Times New Roman" w:eastAsia="仿宋_GB2312"/>
          <w:kern w:val="0"/>
          <w:sz w:val="32"/>
          <w:szCs w:val="32"/>
        </w:rPr>
      </w:pPr>
      <w:r>
        <w:rPr>
          <w:rFonts w:hint="eastAsia" w:ascii="Times New Roman" w:hAnsi="Times New Roman" w:eastAsia="仿宋_GB2312"/>
          <w:sz w:val="32"/>
          <w:szCs w:val="32"/>
          <w:lang w:val="en-US" w:eastAsia="zh-CN"/>
        </w:rPr>
        <w:t>8.3</w:t>
      </w:r>
      <w:r>
        <w:rPr>
          <w:rFonts w:ascii="Times New Roman" w:hAnsi="Times New Roman" w:eastAsia="仿宋_GB2312"/>
          <w:kern w:val="0"/>
          <w:sz w:val="32"/>
          <w:szCs w:val="32"/>
        </w:rPr>
        <w:t>为保证样本各组分稳定所必需的抗凝剂或保护剂等。</w:t>
      </w:r>
    </w:p>
    <w:p>
      <w:pPr>
        <w:snapToGrid w:val="0"/>
        <w:spacing w:line="520" w:lineRule="exact"/>
        <w:ind w:firstLine="640" w:firstLineChars="200"/>
        <w:rPr>
          <w:rFonts w:ascii="Times New Roman" w:hAnsi="Times New Roman" w:eastAsia="仿宋_GB2312"/>
          <w:color w:val="FF0000"/>
          <w:sz w:val="32"/>
          <w:szCs w:val="32"/>
        </w:rPr>
      </w:pPr>
      <w:r>
        <w:rPr>
          <w:rFonts w:hint="eastAsia" w:ascii="Times New Roman" w:hAnsi="Times New Roman" w:eastAsia="仿宋_GB2312"/>
          <w:sz w:val="32"/>
          <w:szCs w:val="32"/>
          <w:lang w:val="en-US" w:eastAsia="zh-CN"/>
        </w:rPr>
        <w:t>8.4</w:t>
      </w:r>
      <w:r>
        <w:rPr>
          <w:rFonts w:ascii="Times New Roman" w:hAnsi="Times New Roman" w:eastAsia="仿宋_GB2312"/>
          <w:kern w:val="0"/>
          <w:sz w:val="32"/>
          <w:szCs w:val="32"/>
        </w:rPr>
        <w:t>能够保证样本稳定的储存、处理和运输方法。冷藏/冷冻样本检测前是否需恢复至室温，冻融次数的要求</w:t>
      </w:r>
      <w:r>
        <w:rPr>
          <w:rFonts w:ascii="Times New Roman" w:hAnsi="Times New Roman" w:eastAsia="仿宋_GB2312"/>
          <w:sz w:val="32"/>
          <w:szCs w:val="32"/>
        </w:rPr>
        <w:t>。</w:t>
      </w:r>
    </w:p>
    <w:p>
      <w:pPr>
        <w:snapToGrid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val="en-US" w:eastAsia="zh-CN"/>
        </w:rPr>
        <w:t>9</w:t>
      </w:r>
      <w:r>
        <w:rPr>
          <w:rFonts w:ascii="Times New Roman" w:hAnsi="Times New Roman" w:eastAsia="仿宋_GB2312"/>
          <w:sz w:val="32"/>
          <w:szCs w:val="32"/>
        </w:rPr>
        <w:t>.【检验方法】</w:t>
      </w:r>
    </w:p>
    <w:p>
      <w:pPr>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为保证试验的正确进行，详细说明试验操作的各个步骤：</w:t>
      </w:r>
    </w:p>
    <w:p>
      <w:pPr>
        <w:spacing w:line="520" w:lineRule="exact"/>
        <w:ind w:firstLine="640" w:firstLineChars="200"/>
        <w:rPr>
          <w:rFonts w:eastAsia="仿宋_GB2312"/>
          <w:sz w:val="32"/>
          <w:szCs w:val="32"/>
        </w:rPr>
      </w:pPr>
      <w:r>
        <w:rPr>
          <w:rFonts w:hint="eastAsia" w:ascii="Times New Roman" w:hAnsi="Times New Roman" w:eastAsia="仿宋_GB2312"/>
          <w:sz w:val="32"/>
          <w:szCs w:val="32"/>
          <w:lang w:val="en-US" w:eastAsia="zh-CN"/>
        </w:rPr>
        <w:t>9</w:t>
      </w:r>
      <w:r>
        <w:rPr>
          <w:rFonts w:ascii="Times New Roman" w:hAnsi="Times New Roman" w:eastAsia="仿宋_GB2312"/>
          <w:sz w:val="32"/>
          <w:szCs w:val="32"/>
        </w:rPr>
        <w:t>.1</w:t>
      </w:r>
      <w:r>
        <w:rPr>
          <w:rFonts w:hint="eastAsia" w:eastAsia="仿宋_GB2312"/>
          <w:sz w:val="32"/>
          <w:szCs w:val="32"/>
        </w:rPr>
        <w:t>样本的处理：详细描述样本的处理方式和步骤，需要稀释的样本应明确稀释液种类及稀释比例。</w:t>
      </w:r>
    </w:p>
    <w:p>
      <w:pPr>
        <w:spacing w:line="520" w:lineRule="exact"/>
        <w:ind w:firstLine="640" w:firstLineChars="200"/>
        <w:rPr>
          <w:rFonts w:eastAsia="仿宋_GB2312"/>
          <w:sz w:val="32"/>
          <w:szCs w:val="32"/>
        </w:rPr>
      </w:pPr>
      <w:r>
        <w:rPr>
          <w:rFonts w:hint="eastAsia" w:ascii="Times New Roman" w:hAnsi="Times New Roman" w:eastAsia="仿宋_GB2312"/>
          <w:kern w:val="2"/>
          <w:sz w:val="32"/>
          <w:szCs w:val="32"/>
          <w:lang w:val="en-US" w:eastAsia="zh-CN"/>
        </w:rPr>
        <w:t>9</w:t>
      </w:r>
      <w:r>
        <w:rPr>
          <w:rFonts w:hint="default" w:ascii="Times New Roman" w:hAnsi="Times New Roman" w:eastAsia="仿宋_GB2312"/>
          <w:kern w:val="2"/>
          <w:sz w:val="32"/>
          <w:szCs w:val="32"/>
        </w:rPr>
        <w:t>.2</w:t>
      </w:r>
      <w:r>
        <w:rPr>
          <w:rFonts w:hint="eastAsia" w:eastAsia="仿宋_GB2312"/>
          <w:kern w:val="0"/>
          <w:sz w:val="32"/>
          <w:szCs w:val="32"/>
        </w:rPr>
        <w:t>试剂配制：各试剂组分的稀释、混合及其他必要的程序</w:t>
      </w:r>
      <w:r>
        <w:rPr>
          <w:rFonts w:hint="eastAsia" w:eastAsia="仿宋_GB2312"/>
          <w:sz w:val="32"/>
          <w:szCs w:val="32"/>
        </w:rPr>
        <w:t>等。</w:t>
      </w:r>
    </w:p>
    <w:p>
      <w:pPr>
        <w:snapToGrid w:val="0"/>
        <w:spacing w:line="520" w:lineRule="exact"/>
        <w:ind w:firstLine="640" w:firstLineChars="200"/>
        <w:rPr>
          <w:rFonts w:eastAsia="仿宋_GB2312"/>
          <w:sz w:val="32"/>
          <w:szCs w:val="32"/>
        </w:rPr>
      </w:pPr>
      <w:r>
        <w:rPr>
          <w:rFonts w:hint="eastAsia" w:ascii="Times New Roman" w:hAnsi="Times New Roman" w:eastAsia="仿宋_GB2312"/>
          <w:sz w:val="32"/>
          <w:szCs w:val="32"/>
          <w:lang w:val="en-US" w:eastAsia="zh-CN"/>
        </w:rPr>
        <w:t>9</w:t>
      </w:r>
      <w:r>
        <w:rPr>
          <w:rFonts w:hint="default" w:ascii="Times New Roman" w:hAnsi="Times New Roman" w:eastAsia="仿宋_GB2312"/>
          <w:sz w:val="32"/>
          <w:szCs w:val="32"/>
        </w:rPr>
        <w:t>.3</w:t>
      </w:r>
      <w:r>
        <w:rPr>
          <w:rFonts w:hint="eastAsia" w:eastAsia="仿宋_GB2312"/>
          <w:sz w:val="32"/>
          <w:szCs w:val="32"/>
        </w:rPr>
        <w:t>反应步骤、反应体系和参数设置：详细描述反应步骤和各反应步骤所需试验条件，如</w:t>
      </w:r>
      <w:r>
        <w:rPr>
          <w:rFonts w:hint="eastAsia" w:ascii="Times New Roman" w:hAnsi="Times New Roman" w:eastAsia="仿宋_GB2312"/>
          <w:sz w:val="32"/>
          <w:szCs w:val="32"/>
        </w:rPr>
        <w:t>pH</w:t>
      </w:r>
      <w:r>
        <w:rPr>
          <w:rFonts w:hint="eastAsia" w:eastAsia="仿宋_GB2312"/>
          <w:sz w:val="32"/>
          <w:szCs w:val="32"/>
        </w:rPr>
        <w:t>值、时间、温度、波长等。明确样本和检测过程中各组分的用量体积。</w:t>
      </w:r>
    </w:p>
    <w:p>
      <w:pPr>
        <w:snapToGrid w:val="0"/>
        <w:spacing w:line="520" w:lineRule="exact"/>
        <w:ind w:firstLine="640" w:firstLineChars="200"/>
        <w:rPr>
          <w:rFonts w:eastAsia="仿宋_GB2312"/>
          <w:sz w:val="32"/>
          <w:szCs w:val="32"/>
        </w:rPr>
      </w:pPr>
      <w:r>
        <w:rPr>
          <w:rFonts w:hint="eastAsia" w:ascii="Times New Roman" w:hAnsi="Times New Roman" w:eastAsia="仿宋_GB2312"/>
          <w:sz w:val="32"/>
          <w:szCs w:val="32"/>
          <w:lang w:val="en-US" w:eastAsia="zh-CN"/>
        </w:rPr>
        <w:t>9</w:t>
      </w:r>
      <w:r>
        <w:rPr>
          <w:rFonts w:hint="default" w:ascii="Times New Roman" w:hAnsi="Times New Roman" w:eastAsia="仿宋_GB2312"/>
          <w:sz w:val="32"/>
          <w:szCs w:val="32"/>
        </w:rPr>
        <w:t>.4</w:t>
      </w:r>
      <w:r>
        <w:rPr>
          <w:rFonts w:hint="eastAsia" w:eastAsia="仿宋_GB2312"/>
          <w:sz w:val="32"/>
          <w:szCs w:val="32"/>
        </w:rPr>
        <w:t>校准程序：校准品的使用方法、注意事项、校准曲线的绘制。校准有效期及需要重新校准的情况。</w:t>
      </w:r>
      <w:r>
        <w:rPr>
          <w:rFonts w:hint="eastAsia" w:eastAsia="仿宋_GB2312"/>
          <w:bCs/>
          <w:sz w:val="32"/>
          <w:szCs w:val="32"/>
        </w:rPr>
        <w:t>推荐的校准周期。</w:t>
      </w:r>
    </w:p>
    <w:p>
      <w:pPr>
        <w:snapToGrid w:val="0"/>
        <w:spacing w:line="520" w:lineRule="exact"/>
        <w:ind w:firstLine="640" w:firstLineChars="200"/>
        <w:rPr>
          <w:rFonts w:eastAsia="仿宋_GB2312"/>
          <w:sz w:val="32"/>
          <w:szCs w:val="32"/>
        </w:rPr>
      </w:pPr>
      <w:r>
        <w:rPr>
          <w:rFonts w:hint="eastAsia" w:ascii="Times New Roman" w:hAnsi="Times New Roman" w:eastAsia="仿宋_GB2312"/>
          <w:sz w:val="32"/>
          <w:szCs w:val="32"/>
          <w:lang w:val="en-US" w:eastAsia="zh-CN"/>
        </w:rPr>
        <w:t>9</w:t>
      </w:r>
      <w:r>
        <w:rPr>
          <w:rFonts w:hint="default" w:ascii="Times New Roman" w:hAnsi="Times New Roman" w:eastAsia="仿宋_GB2312"/>
          <w:sz w:val="32"/>
          <w:szCs w:val="32"/>
        </w:rPr>
        <w:t>.5</w:t>
      </w:r>
      <w:r>
        <w:rPr>
          <w:rFonts w:hint="eastAsia" w:eastAsia="仿宋_GB2312"/>
          <w:sz w:val="32"/>
          <w:szCs w:val="32"/>
        </w:rPr>
        <w:t>质量控制程序：质控品的使用方法、</w:t>
      </w:r>
      <w:r>
        <w:rPr>
          <w:rFonts w:hint="eastAsia" w:eastAsia="仿宋_GB2312"/>
          <w:kern w:val="0"/>
          <w:sz w:val="32"/>
          <w:szCs w:val="21"/>
        </w:rPr>
        <w:t>对质控结果的必要解释以及推荐的质控周期等</w:t>
      </w:r>
      <w:r>
        <w:rPr>
          <w:rFonts w:hint="eastAsia" w:eastAsia="仿宋_GB2312"/>
          <w:sz w:val="32"/>
          <w:szCs w:val="32"/>
        </w:rPr>
        <w:t>。</w:t>
      </w:r>
    </w:p>
    <w:p>
      <w:pPr>
        <w:snapToGrid w:val="0"/>
        <w:spacing w:line="520" w:lineRule="exact"/>
        <w:ind w:firstLine="640" w:firstLineChars="200"/>
        <w:rPr>
          <w:rFonts w:eastAsia="仿宋_GB2312"/>
          <w:sz w:val="32"/>
          <w:szCs w:val="32"/>
        </w:rPr>
      </w:pPr>
      <w:r>
        <w:rPr>
          <w:rFonts w:hint="eastAsia" w:ascii="Times New Roman" w:hAnsi="Times New Roman" w:eastAsia="仿宋_GB2312"/>
          <w:sz w:val="32"/>
          <w:szCs w:val="32"/>
          <w:lang w:val="en-US" w:eastAsia="zh-CN"/>
        </w:rPr>
        <w:t>9</w:t>
      </w:r>
      <w:r>
        <w:rPr>
          <w:rFonts w:ascii="Times New Roman" w:hAnsi="Times New Roman" w:eastAsia="仿宋_GB2312"/>
          <w:sz w:val="32"/>
          <w:szCs w:val="32"/>
        </w:rPr>
        <w:t>.</w:t>
      </w:r>
      <w:r>
        <w:rPr>
          <w:rFonts w:hint="default" w:ascii="Times New Roman" w:hAnsi="Times New Roman" w:eastAsia="仿宋_GB2312"/>
          <w:sz w:val="32"/>
          <w:szCs w:val="32"/>
        </w:rPr>
        <w:t>6</w:t>
      </w:r>
      <w:r>
        <w:rPr>
          <w:rFonts w:hint="eastAsia" w:eastAsia="仿宋_GB2312"/>
          <w:kern w:val="0"/>
          <w:sz w:val="32"/>
          <w:szCs w:val="32"/>
        </w:rPr>
        <w:t>试验结果的计算或读取，包括对每个系数及对每个计算步骤的解释（如适用）。如果可能，应举例说明。</w:t>
      </w:r>
    </w:p>
    <w:p>
      <w:pPr>
        <w:snapToGrid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val="en-US" w:eastAsia="zh-CN"/>
        </w:rPr>
        <w:t>10</w:t>
      </w:r>
      <w:r>
        <w:rPr>
          <w:rFonts w:ascii="Times New Roman" w:hAnsi="Times New Roman" w:eastAsia="仿宋_GB2312"/>
          <w:sz w:val="32"/>
          <w:szCs w:val="32"/>
        </w:rPr>
        <w:t>.【参考区间】</w:t>
      </w:r>
    </w:p>
    <w:p>
      <w:pPr>
        <w:spacing w:line="520" w:lineRule="exact"/>
        <w:ind w:firstLine="640" w:firstLineChars="200"/>
        <w:rPr>
          <w:rFonts w:ascii="Times New Roman" w:hAnsi="Times New Roman" w:eastAsia="仿宋_GB2312"/>
          <w:color w:val="000000"/>
          <w:kern w:val="0"/>
          <w:sz w:val="32"/>
          <w:szCs w:val="32"/>
        </w:rPr>
      </w:pPr>
      <w:r>
        <w:rPr>
          <w:rFonts w:hint="eastAsia" w:ascii="Times New Roman" w:hAnsi="Times New Roman" w:eastAsia="仿宋_GB2312"/>
          <w:kern w:val="0"/>
          <w:sz w:val="32"/>
          <w:szCs w:val="32"/>
          <w:lang w:eastAsia="zh-CN"/>
        </w:rPr>
        <w:t>明确</w:t>
      </w:r>
      <w:r>
        <w:rPr>
          <w:rFonts w:ascii="Times New Roman" w:hAnsi="Times New Roman" w:eastAsia="仿宋_GB2312"/>
          <w:kern w:val="0"/>
          <w:sz w:val="32"/>
          <w:szCs w:val="32"/>
        </w:rPr>
        <w:t>参考区间，并简要说明参考区间的确定方法。</w:t>
      </w:r>
      <w:r>
        <w:rPr>
          <w:rFonts w:ascii="Times New Roman" w:hAnsi="Times New Roman" w:eastAsia="仿宋_GB2312"/>
          <w:color w:val="000000"/>
          <w:kern w:val="0"/>
          <w:sz w:val="32"/>
          <w:szCs w:val="32"/>
        </w:rPr>
        <w:t>应包含参考区间确定的基本信息，包括：样本量、参考人群特征（如性别、年龄、种族等）</w:t>
      </w:r>
      <w:r>
        <w:rPr>
          <w:rFonts w:hint="eastAsia" w:ascii="Times New Roman" w:hAnsi="Times New Roman" w:eastAsia="仿宋_GB2312"/>
          <w:color w:val="000000"/>
          <w:kern w:val="0"/>
          <w:sz w:val="32"/>
          <w:szCs w:val="32"/>
          <w:lang w:eastAsia="zh-CN"/>
        </w:rPr>
        <w:t>和</w:t>
      </w:r>
      <w:r>
        <w:rPr>
          <w:rFonts w:ascii="Times New Roman" w:hAnsi="Times New Roman" w:eastAsia="仿宋_GB2312"/>
          <w:color w:val="000000"/>
          <w:kern w:val="0"/>
          <w:sz w:val="32"/>
          <w:szCs w:val="32"/>
        </w:rPr>
        <w:t>采用的统计学方法。</w:t>
      </w:r>
    </w:p>
    <w:p>
      <w:pPr>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建议注明以下字样“由于地理、人种、性别等差异，建议各实验室建立自己的参考区间”。</w:t>
      </w:r>
    </w:p>
    <w:p>
      <w:pPr>
        <w:snapToGrid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val="en-US" w:eastAsia="zh-CN"/>
        </w:rPr>
        <w:t>11</w:t>
      </w:r>
      <w:r>
        <w:rPr>
          <w:rFonts w:ascii="Times New Roman" w:hAnsi="Times New Roman" w:eastAsia="仿宋_GB2312"/>
          <w:sz w:val="32"/>
          <w:szCs w:val="32"/>
        </w:rPr>
        <w:t>.【检验结果的解释】</w:t>
      </w:r>
    </w:p>
    <w:p>
      <w:pPr>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对可能出现的结果进行合理的解释。</w:t>
      </w:r>
    </w:p>
    <w:p>
      <w:pPr>
        <w:spacing w:line="520" w:lineRule="exact"/>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lang w:val="en-US" w:eastAsia="zh-CN"/>
        </w:rPr>
        <w:t>11</w:t>
      </w:r>
      <w:r>
        <w:rPr>
          <w:rFonts w:ascii="Times New Roman" w:hAnsi="Times New Roman" w:eastAsia="仿宋_GB2312"/>
          <w:kern w:val="0"/>
          <w:sz w:val="32"/>
          <w:szCs w:val="32"/>
        </w:rPr>
        <w:t>.1分析异常值出现的可能因素，明确说明何种情况下需要进行确认试验，详述在确认试验时对待测样本可能采取的优化条件等。</w:t>
      </w:r>
    </w:p>
    <w:p>
      <w:pPr>
        <w:spacing w:line="520" w:lineRule="exact"/>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lang w:val="en-US" w:eastAsia="zh-CN"/>
        </w:rPr>
        <w:t>11</w:t>
      </w:r>
      <w:r>
        <w:rPr>
          <w:rFonts w:ascii="Times New Roman" w:hAnsi="Times New Roman" w:eastAsia="仿宋_GB2312"/>
          <w:kern w:val="0"/>
          <w:sz w:val="32"/>
          <w:szCs w:val="32"/>
        </w:rPr>
        <w:t>.2超出线性范围的样本怎样报告结果，如要得到准确的结果需怎样处理，如需稀释，应注明稀释剂、稀释方法、最佳或最大稀释比例等。</w:t>
      </w:r>
    </w:p>
    <w:p>
      <w:pPr>
        <w:overflowPunct w:val="0"/>
        <w:snapToGrid w:val="0"/>
        <w:spacing w:line="520" w:lineRule="exact"/>
        <w:ind w:firstLine="641"/>
        <w:rPr>
          <w:rFonts w:ascii="Times New Roman" w:hAnsi="Times New Roman" w:eastAsia="仿宋_GB2312"/>
          <w:kern w:val="0"/>
          <w:sz w:val="32"/>
          <w:szCs w:val="32"/>
        </w:rPr>
      </w:pPr>
      <w:r>
        <w:rPr>
          <w:rFonts w:hint="eastAsia" w:ascii="Times New Roman" w:hAnsi="Times New Roman" w:eastAsia="仿宋_GB2312"/>
          <w:kern w:val="0"/>
          <w:sz w:val="32"/>
          <w:szCs w:val="32"/>
          <w:lang w:val="en-US" w:eastAsia="zh-CN"/>
        </w:rPr>
        <w:t>11</w:t>
      </w:r>
      <w:r>
        <w:rPr>
          <w:rFonts w:ascii="Times New Roman" w:hAnsi="Times New Roman" w:eastAsia="仿宋_GB2312"/>
          <w:kern w:val="0"/>
          <w:sz w:val="32"/>
          <w:szCs w:val="32"/>
        </w:rPr>
        <w:t>.3由于方法学或抗体特异性等原因，使用不同生产商的试剂对同一份样本进行检测可能会得到不同的检测结果，因而在监测过程中，用不同试剂检测所得结果不应直接相互比较，以免造成错误的医学解释。</w:t>
      </w:r>
    </w:p>
    <w:p>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lang w:val="en-US" w:eastAsia="zh-CN"/>
        </w:rPr>
        <w:t>2</w:t>
      </w:r>
      <w:r>
        <w:rPr>
          <w:rFonts w:ascii="Times New Roman" w:hAnsi="Times New Roman" w:eastAsia="仿宋_GB2312"/>
          <w:sz w:val="32"/>
          <w:szCs w:val="32"/>
        </w:rPr>
        <w:t>.【检验方法的局限性】</w:t>
      </w:r>
    </w:p>
    <w:p>
      <w:pPr>
        <w:overflowPunct w:val="0"/>
        <w:snapToGrid w:val="0"/>
        <w:spacing w:line="520" w:lineRule="exact"/>
        <w:ind w:firstLine="641"/>
        <w:rPr>
          <w:rFonts w:ascii="Times New Roman" w:hAnsi="Times New Roman" w:eastAsia="仿宋_GB2312"/>
          <w:sz w:val="32"/>
          <w:szCs w:val="32"/>
        </w:rPr>
      </w:pPr>
      <w:r>
        <w:rPr>
          <w:rFonts w:ascii="Times New Roman" w:hAnsi="Times New Roman" w:eastAsia="仿宋_GB2312"/>
          <w:kern w:val="0"/>
          <w:sz w:val="32"/>
          <w:szCs w:val="32"/>
        </w:rPr>
        <w:t>说明该检验方法的局限性，如试剂盒的检测结果仅供临床参考，不能单独作为确诊或排除病例的依据，为达到诊断目的，此检测结果要与临床检查、病史和其他的检查结果结合使用</w:t>
      </w:r>
      <w:r>
        <w:rPr>
          <w:rFonts w:ascii="Times New Roman" w:hAnsi="Times New Roman" w:eastAsia="仿宋_GB2312"/>
          <w:sz w:val="32"/>
          <w:szCs w:val="32"/>
        </w:rPr>
        <w:t>。</w:t>
      </w:r>
    </w:p>
    <w:p>
      <w:pPr>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w:t>
      </w:r>
      <w:r>
        <w:rPr>
          <w:rFonts w:ascii="Times New Roman" w:hAnsi="Times New Roman" w:eastAsia="仿宋_GB2312"/>
          <w:sz w:val="32"/>
          <w:szCs w:val="32"/>
        </w:rPr>
        <w:t>【产品性能指标】</w:t>
      </w:r>
    </w:p>
    <w:p>
      <w:pPr>
        <w:pStyle w:val="2"/>
        <w:widowControl/>
        <w:spacing w:beforeAutospacing="0" w:afterAutospacing="0" w:line="520" w:lineRule="exact"/>
        <w:ind w:firstLine="642"/>
        <w:rPr>
          <w:rFonts w:hint="default" w:ascii="Times New Roman" w:hAnsi="Times New Roman" w:eastAsia="仿宋_GB2312"/>
          <w:b w:val="0"/>
          <w:bCs w:val="0"/>
          <w:kern w:val="2"/>
          <w:sz w:val="32"/>
          <w:szCs w:val="32"/>
        </w:rPr>
      </w:pPr>
      <w:r>
        <w:rPr>
          <w:rFonts w:ascii="Times New Roman" w:hAnsi="Times New Roman" w:eastAsia="仿宋_GB2312"/>
          <w:b w:val="0"/>
          <w:bCs w:val="0"/>
          <w:kern w:val="2"/>
          <w:sz w:val="32"/>
          <w:szCs w:val="32"/>
        </w:rPr>
        <w:t>此项内容为分析性能研究资料和临床评价资料的总结，应</w:t>
      </w:r>
      <w:r>
        <w:rPr>
          <w:rFonts w:hint="default" w:ascii="Times New Roman" w:hAnsi="Times New Roman" w:eastAsia="仿宋_GB2312"/>
          <w:b w:val="0"/>
          <w:bCs w:val="0"/>
          <w:kern w:val="2"/>
          <w:sz w:val="32"/>
          <w:szCs w:val="32"/>
        </w:rPr>
        <w:t>:</w:t>
      </w:r>
    </w:p>
    <w:p>
      <w:pPr>
        <w:pStyle w:val="2"/>
        <w:widowControl/>
        <w:spacing w:beforeAutospacing="0" w:afterAutospacing="0" w:line="520" w:lineRule="exact"/>
        <w:rPr>
          <w:rFonts w:hint="default" w:ascii="Times New Roman" w:hAnsi="Times New Roman" w:eastAsia="仿宋_GB2312"/>
          <w:b w:val="0"/>
          <w:bCs w:val="0"/>
          <w:kern w:val="2"/>
          <w:sz w:val="32"/>
          <w:szCs w:val="32"/>
        </w:rPr>
      </w:pPr>
      <w:r>
        <w:rPr>
          <w:rFonts w:ascii="Times New Roman" w:hAnsi="Times New Roman" w:eastAsia="仿宋_GB2312"/>
          <w:b w:val="0"/>
          <w:bCs w:val="0"/>
          <w:kern w:val="2"/>
          <w:sz w:val="32"/>
          <w:szCs w:val="32"/>
        </w:rPr>
        <w:t xml:space="preserve">    1</w:t>
      </w:r>
      <w:r>
        <w:rPr>
          <w:rFonts w:hint="eastAsia" w:ascii="Times New Roman" w:hAnsi="Times New Roman" w:eastAsia="仿宋_GB2312"/>
          <w:b w:val="0"/>
          <w:bCs w:val="0"/>
          <w:kern w:val="2"/>
          <w:sz w:val="32"/>
          <w:szCs w:val="32"/>
          <w:lang w:val="en-US" w:eastAsia="zh-CN"/>
        </w:rPr>
        <w:t>3</w:t>
      </w:r>
      <w:r>
        <w:rPr>
          <w:rFonts w:ascii="Times New Roman" w:hAnsi="Times New Roman" w:eastAsia="仿宋_GB2312"/>
          <w:b w:val="0"/>
          <w:bCs w:val="0"/>
          <w:kern w:val="2"/>
          <w:sz w:val="32"/>
          <w:szCs w:val="32"/>
        </w:rPr>
        <w:t>.1概括描述每项分析性能研究如试剂空白吸光度、分析灵敏度、正确度、精密度、空白限、检出限、定量限、测量区间及可报告区间、分析特异性</w:t>
      </w:r>
      <w:r>
        <w:rPr>
          <w:rFonts w:hint="eastAsia" w:ascii="Times New Roman" w:hAnsi="Times New Roman" w:eastAsia="仿宋_GB2312"/>
          <w:b w:val="0"/>
          <w:bCs w:val="0"/>
          <w:kern w:val="2"/>
          <w:sz w:val="32"/>
          <w:szCs w:val="32"/>
          <w:lang w:eastAsia="zh-CN"/>
        </w:rPr>
        <w:t>、高剂量钩状效应</w:t>
      </w:r>
      <w:r>
        <w:rPr>
          <w:rFonts w:ascii="Times New Roman" w:hAnsi="Times New Roman" w:eastAsia="仿宋_GB2312"/>
          <w:b w:val="0"/>
          <w:bCs w:val="0"/>
          <w:kern w:val="2"/>
          <w:sz w:val="32"/>
          <w:szCs w:val="32"/>
        </w:rPr>
        <w:t>等适用项目的研究方法和结果。</w:t>
      </w:r>
    </w:p>
    <w:p>
      <w:pPr>
        <w:pStyle w:val="2"/>
        <w:widowControl/>
        <w:spacing w:beforeAutospacing="0" w:afterAutospacing="0" w:line="520" w:lineRule="exact"/>
        <w:ind w:firstLine="642"/>
        <w:rPr>
          <w:rFonts w:ascii="Times New Roman" w:hAnsi="Times New Roman" w:eastAsia="仿宋_GB2312"/>
          <w:b w:val="0"/>
          <w:bCs w:val="0"/>
          <w:kern w:val="2"/>
          <w:sz w:val="32"/>
          <w:szCs w:val="32"/>
        </w:rPr>
      </w:pPr>
      <w:r>
        <w:rPr>
          <w:rFonts w:ascii="Times New Roman" w:hAnsi="Times New Roman" w:eastAsia="仿宋_GB2312"/>
          <w:b w:val="0"/>
          <w:bCs w:val="0"/>
          <w:kern w:val="2"/>
          <w:sz w:val="32"/>
          <w:szCs w:val="32"/>
        </w:rPr>
        <w:t>1</w:t>
      </w:r>
      <w:r>
        <w:rPr>
          <w:rFonts w:hint="eastAsia" w:ascii="Times New Roman" w:hAnsi="Times New Roman" w:eastAsia="仿宋_GB2312"/>
          <w:b w:val="0"/>
          <w:bCs w:val="0"/>
          <w:kern w:val="2"/>
          <w:sz w:val="32"/>
          <w:szCs w:val="32"/>
          <w:lang w:val="en-US" w:eastAsia="zh-CN"/>
        </w:rPr>
        <w:t>3</w:t>
      </w:r>
      <w:r>
        <w:rPr>
          <w:rFonts w:ascii="Times New Roman" w:hAnsi="Times New Roman" w:eastAsia="仿宋_GB2312"/>
          <w:b w:val="0"/>
          <w:bCs w:val="0"/>
          <w:kern w:val="2"/>
          <w:sz w:val="32"/>
          <w:szCs w:val="32"/>
        </w:rPr>
        <w:t>.2概括描述临床评价包括</w:t>
      </w:r>
      <w:r>
        <w:rPr>
          <w:rFonts w:ascii="Times New Roman" w:hAnsi="Times New Roman" w:eastAsia="仿宋_GB2312"/>
          <w:b w:val="0"/>
          <w:bCs w:val="0"/>
          <w:color w:val="333333"/>
          <w:kern w:val="2"/>
          <w:sz w:val="32"/>
          <w:szCs w:val="32"/>
        </w:rPr>
        <w:t>免于临床试验的临床评价</w:t>
      </w:r>
      <w:r>
        <w:rPr>
          <w:rFonts w:ascii="Times New Roman" w:hAnsi="Times New Roman" w:eastAsia="仿宋_GB2312"/>
          <w:b w:val="0"/>
          <w:bCs w:val="0"/>
          <w:kern w:val="2"/>
          <w:sz w:val="32"/>
          <w:szCs w:val="32"/>
        </w:rPr>
        <w:t>和临床试验的方法和结果。</w:t>
      </w:r>
    </w:p>
    <w:p>
      <w:pPr>
        <w:spacing w:line="500" w:lineRule="exact"/>
        <w:ind w:firstLine="640" w:firstLineChars="200"/>
        <w:rPr>
          <w:rFonts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w:t>
      </w:r>
      <w:r>
        <w:rPr>
          <w:rFonts w:eastAsia="仿宋_GB2312"/>
          <w:sz w:val="32"/>
          <w:szCs w:val="32"/>
        </w:rPr>
        <w:t>【注意事项】</w:t>
      </w:r>
    </w:p>
    <w:p>
      <w:pPr>
        <w:spacing w:line="500" w:lineRule="exact"/>
        <w:ind w:firstLine="640" w:firstLineChars="200"/>
        <w:rPr>
          <w:rFonts w:eastAsia="仿宋_GB2312"/>
          <w:sz w:val="32"/>
          <w:szCs w:val="32"/>
        </w:rPr>
      </w:pPr>
      <w:r>
        <w:rPr>
          <w:rFonts w:eastAsia="仿宋_GB2312"/>
          <w:sz w:val="32"/>
          <w:szCs w:val="32"/>
        </w:rPr>
        <w:t>应至少包括以下内容：</w:t>
      </w:r>
    </w:p>
    <w:p>
      <w:pPr>
        <w:spacing w:line="500" w:lineRule="exact"/>
        <w:ind w:firstLine="640" w:firstLineChars="200"/>
        <w:rPr>
          <w:rFonts w:eastAsia="仿宋_GB2312"/>
          <w:sz w:val="32"/>
          <w:szCs w:val="32"/>
        </w:rPr>
      </w:pPr>
      <w:r>
        <w:rPr>
          <w:rFonts w:hint="eastAsia" w:ascii="Times New Roman" w:hAnsi="Times New Roman" w:eastAsia="仿宋_GB2312"/>
          <w:sz w:val="32"/>
          <w:szCs w:val="32"/>
        </w:rPr>
        <w:t>12.1</w:t>
      </w:r>
      <w:r>
        <w:rPr>
          <w:rFonts w:eastAsia="仿宋_GB2312"/>
          <w:sz w:val="32"/>
          <w:szCs w:val="32"/>
        </w:rPr>
        <w:t>本试剂盒的检测结果仅供临床参考，对患者的临床管理应结合其症状/体征、病史、其他实验室检查及治疗反应等情况综合考虑。</w:t>
      </w:r>
    </w:p>
    <w:p>
      <w:pPr>
        <w:spacing w:line="500" w:lineRule="exact"/>
        <w:ind w:firstLine="640" w:firstLineChars="200"/>
        <w:rPr>
          <w:rFonts w:eastAsia="仿宋_GB2312"/>
          <w:sz w:val="32"/>
          <w:szCs w:val="32"/>
        </w:rPr>
      </w:pPr>
      <w:r>
        <w:rPr>
          <w:rFonts w:hint="eastAsia" w:ascii="Times New Roman" w:hAnsi="Times New Roman" w:eastAsia="仿宋_GB2312"/>
          <w:sz w:val="32"/>
          <w:szCs w:val="32"/>
        </w:rPr>
        <w:t>12.2</w:t>
      </w:r>
      <w:r>
        <w:rPr>
          <w:rFonts w:eastAsia="仿宋_GB2312"/>
          <w:sz w:val="32"/>
          <w:szCs w:val="32"/>
        </w:rPr>
        <w:t>本试剂盒仅供体外诊断用，试剂中含有的化学成分接触人体后是否会产生不良的影响后果。</w:t>
      </w:r>
    </w:p>
    <w:p>
      <w:pPr>
        <w:spacing w:line="500" w:lineRule="exact"/>
        <w:ind w:firstLine="640" w:firstLineChars="200"/>
        <w:rPr>
          <w:rFonts w:eastAsia="仿宋_GB2312"/>
          <w:sz w:val="32"/>
          <w:szCs w:val="32"/>
        </w:rPr>
      </w:pPr>
      <w:r>
        <w:rPr>
          <w:rFonts w:hint="eastAsia" w:ascii="Times New Roman" w:hAnsi="Times New Roman" w:eastAsia="仿宋_GB2312"/>
          <w:sz w:val="32"/>
          <w:szCs w:val="32"/>
        </w:rPr>
        <w:t>12.3</w:t>
      </w:r>
      <w:r>
        <w:rPr>
          <w:rFonts w:eastAsia="仿宋_GB2312"/>
          <w:sz w:val="32"/>
          <w:szCs w:val="32"/>
        </w:rPr>
        <w:t>采用不同方法学的试剂检测所得结果不应直接相互比较，以免造成错误的医学解释。</w:t>
      </w:r>
    </w:p>
    <w:p>
      <w:pPr>
        <w:spacing w:line="500" w:lineRule="exact"/>
        <w:ind w:firstLine="640" w:firstLineChars="200"/>
        <w:rPr>
          <w:rFonts w:eastAsia="仿宋_GB2312"/>
          <w:sz w:val="32"/>
          <w:szCs w:val="32"/>
        </w:rPr>
      </w:pPr>
      <w:r>
        <w:rPr>
          <w:rFonts w:hint="eastAsia" w:ascii="Times New Roman" w:hAnsi="Times New Roman" w:eastAsia="仿宋_GB2312"/>
          <w:sz w:val="32"/>
          <w:szCs w:val="32"/>
        </w:rPr>
        <w:t>12.4</w:t>
      </w:r>
      <w:r>
        <w:rPr>
          <w:rFonts w:eastAsia="仿宋_GB2312"/>
          <w:sz w:val="32"/>
          <w:szCs w:val="32"/>
        </w:rPr>
        <w:t>有关人源组分的警告，如：试剂盒内的质控品、校准品或其他人源组分，虽已经通过了</w:t>
      </w:r>
      <w:r>
        <w:rPr>
          <w:rFonts w:hint="eastAsia" w:ascii="Times New Roman" w:hAnsi="Times New Roman" w:eastAsia="仿宋_GB2312"/>
          <w:sz w:val="32"/>
          <w:szCs w:val="32"/>
        </w:rPr>
        <w:t>HBs-Ag、HIV1/2-Ab、HCV-Ab</w:t>
      </w:r>
      <w:r>
        <w:rPr>
          <w:rFonts w:eastAsia="仿宋_GB2312"/>
          <w:sz w:val="32"/>
          <w:szCs w:val="32"/>
        </w:rPr>
        <w:t>等项目的检测，但截至目前，没有任何一项检测可以确保绝对安全，故仍应将这些组分作为潜在传染源对待。</w:t>
      </w:r>
    </w:p>
    <w:p>
      <w:pPr>
        <w:spacing w:line="500" w:lineRule="exact"/>
        <w:ind w:firstLine="640" w:firstLineChars="200"/>
      </w:pPr>
      <w:r>
        <w:rPr>
          <w:rFonts w:hint="eastAsia" w:ascii="Times New Roman" w:hAnsi="Times New Roman" w:eastAsia="仿宋_GB2312"/>
          <w:sz w:val="32"/>
          <w:szCs w:val="32"/>
        </w:rPr>
        <w:t>12.5</w:t>
      </w:r>
      <w:r>
        <w:rPr>
          <w:rFonts w:eastAsia="仿宋_GB2312"/>
          <w:sz w:val="32"/>
          <w:szCs w:val="32"/>
        </w:rPr>
        <w:t>对所有样本和反应废弃物都应视为传染源对待。</w:t>
      </w:r>
    </w:p>
    <w:p>
      <w:pPr>
        <w:snapToGrid w:val="0"/>
        <w:spacing w:line="520" w:lineRule="exact"/>
        <w:ind w:firstLine="640" w:firstLineChars="200"/>
        <w:rPr>
          <w:rFonts w:ascii="Times New Roman" w:hAnsi="Times New Roman" w:eastAsia="仿宋_GB2312"/>
          <w:snapToGrid w:val="0"/>
          <w:kern w:val="0"/>
          <w:sz w:val="32"/>
          <w:szCs w:val="32"/>
        </w:rPr>
      </w:pPr>
      <w:r>
        <w:rPr>
          <w:rFonts w:ascii="Times New Roman" w:hAnsi="Times New Roman" w:eastAsia="楷体_GB2312"/>
          <w:color w:val="000000"/>
          <w:sz w:val="32"/>
          <w:szCs w:val="32"/>
        </w:rPr>
        <w:t>（六）质量管理体系文件</w:t>
      </w:r>
    </w:p>
    <w:p>
      <w:pPr>
        <w:overflowPunct w:val="0"/>
        <w:autoSpaceDE w:val="0"/>
        <w:autoSpaceDN w:val="0"/>
        <w:snapToGrid w:val="0"/>
        <w:spacing w:line="520" w:lineRule="exact"/>
        <w:ind w:firstLine="640" w:firstLineChars="200"/>
        <w:outlineLvl w:val="1"/>
        <w:rPr>
          <w:rFonts w:ascii="Times New Roman" w:hAnsi="Times New Roman" w:eastAsia="仿宋_GB2312"/>
          <w:sz w:val="32"/>
          <w:szCs w:val="32"/>
        </w:rPr>
      </w:pPr>
      <w:r>
        <w:rPr>
          <w:rFonts w:ascii="Times New Roman" w:hAnsi="Times New Roman" w:eastAsia="仿宋_GB2312"/>
          <w:sz w:val="32"/>
          <w:szCs w:val="32"/>
        </w:rPr>
        <w:t>申请人应当在申请注册时提交与产品研制、生产有关的质量管理体系相关资料，</w:t>
      </w:r>
      <w:r>
        <w:rPr>
          <w:rFonts w:ascii="Times New Roman" w:hAnsi="Times New Roman" w:eastAsia="仿宋_GB2312"/>
          <w:bCs/>
          <w:sz w:val="32"/>
          <w:szCs w:val="32"/>
        </w:rPr>
        <w:t>主要包括综述、生产制造信息、质量管理体系程序、管理职责程序、资源管理程序、产品实现程序、质量管理体系的测量、分析和改进程序、其他质量体系程序信息、质量管理体系核查文件等内容</w:t>
      </w:r>
      <w:r>
        <w:rPr>
          <w:rFonts w:ascii="Times New Roman" w:hAnsi="Times New Roman" w:eastAsia="仿宋_GB2312"/>
          <w:sz w:val="32"/>
          <w:szCs w:val="32"/>
        </w:rPr>
        <w:t>。</w:t>
      </w:r>
    </w:p>
    <w:p>
      <w:pPr>
        <w:overflowPunct w:val="0"/>
        <w:autoSpaceDE w:val="0"/>
        <w:autoSpaceDN w:val="0"/>
        <w:spacing w:line="520" w:lineRule="exact"/>
        <w:ind w:firstLine="640" w:firstLineChars="200"/>
        <w:outlineLvl w:val="1"/>
        <w:rPr>
          <w:rFonts w:ascii="Times New Roman" w:hAnsi="Times New Roman" w:eastAsia="仿宋_GB2312"/>
          <w:sz w:val="32"/>
          <w:szCs w:val="32"/>
        </w:rPr>
      </w:pPr>
      <w:r>
        <w:rPr>
          <w:rFonts w:hint="default" w:ascii="Times New Roman" w:hAnsi="Times New Roman" w:eastAsia="仿宋_GB2312"/>
          <w:sz w:val="32"/>
          <w:szCs w:val="32"/>
        </w:rPr>
        <w:t>如适用，应当提供拟核查产品与既往已通过核查产品在生产条件、生产工艺等方面的对比说明。</w:t>
      </w:r>
    </w:p>
    <w:p>
      <w:pPr>
        <w:numPr>
          <w:ilvl w:val="0"/>
          <w:numId w:val="1"/>
        </w:numPr>
        <w:snapToGrid w:val="0"/>
        <w:spacing w:line="520" w:lineRule="exact"/>
        <w:ind w:firstLine="640"/>
        <w:outlineLvl w:val="0"/>
        <w:rPr>
          <w:rFonts w:ascii="Times New Roman" w:hAnsi="Times New Roman" w:eastAsia="黑体"/>
          <w:sz w:val="32"/>
          <w:szCs w:val="32"/>
        </w:rPr>
      </w:pPr>
      <w:r>
        <w:rPr>
          <w:rFonts w:ascii="Times New Roman" w:hAnsi="Times New Roman" w:eastAsia="黑体"/>
          <w:sz w:val="32"/>
          <w:szCs w:val="32"/>
        </w:rPr>
        <w:t>参考文献</w:t>
      </w:r>
    </w:p>
    <w:p>
      <w:pPr>
        <w:spacing w:line="520" w:lineRule="exact"/>
        <w:ind w:firstLine="640" w:firstLineChars="200"/>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[1]国家药品监督管理局.体外诊断试剂分类目录:国家药监局公告202</w:t>
      </w:r>
      <w:r>
        <w:rPr>
          <w:rFonts w:hint="eastAsia" w:ascii="Times New Roman" w:hAnsi="Times New Roman" w:eastAsia="仿宋_GB2312"/>
          <w:kern w:val="0"/>
          <w:sz w:val="32"/>
          <w:szCs w:val="32"/>
          <w:lang w:val="en-US" w:eastAsia="zh-CN"/>
        </w:rPr>
        <w:t>4</w:t>
      </w:r>
      <w:r>
        <w:rPr>
          <w:rFonts w:hint="eastAsia" w:ascii="Times New Roman" w:hAnsi="Times New Roman" w:eastAsia="仿宋_GB2312"/>
          <w:kern w:val="0"/>
          <w:sz w:val="32"/>
          <w:szCs w:val="32"/>
        </w:rPr>
        <w:t>年第</w:t>
      </w:r>
      <w:r>
        <w:rPr>
          <w:rFonts w:hint="eastAsia" w:ascii="Times New Roman" w:hAnsi="Times New Roman" w:eastAsia="仿宋_GB2312"/>
          <w:kern w:val="0"/>
          <w:sz w:val="32"/>
          <w:szCs w:val="32"/>
          <w:lang w:val="en-US" w:eastAsia="zh-CN"/>
        </w:rPr>
        <w:t>58</w:t>
      </w:r>
      <w:r>
        <w:rPr>
          <w:rFonts w:hint="eastAsia" w:ascii="Times New Roman" w:hAnsi="Times New Roman" w:eastAsia="仿宋_GB2312"/>
          <w:kern w:val="0"/>
          <w:sz w:val="32"/>
          <w:szCs w:val="32"/>
        </w:rPr>
        <w:t>号[Z].</w:t>
      </w:r>
    </w:p>
    <w:p>
      <w:pPr>
        <w:spacing w:line="520" w:lineRule="exact"/>
        <w:ind w:firstLine="640" w:firstLineChars="200"/>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[2]中华人民共和国国务院.医疗器械监督管理条例:中华人民共和国国务院令第739号[Z].</w:t>
      </w:r>
    </w:p>
    <w:p>
      <w:pPr>
        <w:spacing w:line="520" w:lineRule="exact"/>
        <w:ind w:firstLine="640" w:firstLineChars="200"/>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w:t>
      </w:r>
      <w:r>
        <w:rPr>
          <w:rFonts w:hint="eastAsia" w:ascii="Times New Roman" w:hAnsi="Times New Roman" w:eastAsia="仿宋_GB2312"/>
          <w:kern w:val="0"/>
          <w:sz w:val="32"/>
          <w:szCs w:val="32"/>
          <w:lang w:val="en-US" w:eastAsia="zh-CN"/>
        </w:rPr>
        <w:t>3</w:t>
      </w:r>
      <w:r>
        <w:rPr>
          <w:rFonts w:hint="eastAsia" w:ascii="Times New Roman" w:hAnsi="Times New Roman" w:eastAsia="仿宋_GB2312"/>
          <w:kern w:val="0"/>
          <w:sz w:val="32"/>
          <w:szCs w:val="32"/>
        </w:rPr>
        <w:t>]国家市场监督管理局.体外诊断试剂注册与备案管理办法:国家市场监督管理总局令第48号[Z].</w:t>
      </w:r>
    </w:p>
    <w:p>
      <w:pPr>
        <w:spacing w:line="520" w:lineRule="exact"/>
        <w:ind w:firstLine="640" w:firstLineChars="200"/>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w:t>
      </w:r>
      <w:r>
        <w:rPr>
          <w:rFonts w:hint="eastAsia" w:ascii="Times New Roman" w:hAnsi="Times New Roman" w:eastAsia="仿宋_GB2312"/>
          <w:kern w:val="0"/>
          <w:sz w:val="32"/>
          <w:szCs w:val="32"/>
          <w:lang w:val="en-US" w:eastAsia="zh-CN"/>
        </w:rPr>
        <w:t>4</w:t>
      </w:r>
      <w:r>
        <w:rPr>
          <w:rFonts w:hint="eastAsia" w:ascii="Times New Roman" w:hAnsi="Times New Roman" w:eastAsia="仿宋_GB2312"/>
          <w:kern w:val="0"/>
          <w:sz w:val="32"/>
          <w:szCs w:val="32"/>
        </w:rPr>
        <w:t>]国家药品监督管理局.体外诊断试剂安全和性能基本原则清单:国家药监局公告2021年第122号[Z].</w:t>
      </w:r>
    </w:p>
    <w:p>
      <w:pPr>
        <w:spacing w:line="520" w:lineRule="exact"/>
        <w:ind w:firstLine="640" w:firstLineChars="200"/>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w:t>
      </w:r>
      <w:r>
        <w:rPr>
          <w:rFonts w:hint="eastAsia" w:ascii="Times New Roman" w:hAnsi="Times New Roman" w:eastAsia="仿宋_GB2312"/>
          <w:kern w:val="0"/>
          <w:sz w:val="32"/>
          <w:szCs w:val="32"/>
          <w:lang w:val="en-US" w:eastAsia="zh-CN"/>
        </w:rPr>
        <w:t>5</w:t>
      </w:r>
      <w:r>
        <w:rPr>
          <w:rFonts w:hint="eastAsia" w:ascii="Times New Roman" w:hAnsi="Times New Roman" w:eastAsia="仿宋_GB2312"/>
          <w:kern w:val="0"/>
          <w:sz w:val="32"/>
          <w:szCs w:val="32"/>
        </w:rPr>
        <w:t>]国家药品监督管理局.医疗器械注册自检管理规定:国家药监局公告2021年第126号[Z].</w:t>
      </w:r>
    </w:p>
    <w:p>
      <w:pPr>
        <w:spacing w:line="520" w:lineRule="exact"/>
        <w:ind w:firstLine="640" w:firstLineChars="200"/>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w:t>
      </w:r>
      <w:r>
        <w:rPr>
          <w:rFonts w:hint="eastAsia" w:ascii="Times New Roman" w:hAnsi="Times New Roman" w:eastAsia="仿宋_GB2312"/>
          <w:kern w:val="0"/>
          <w:sz w:val="32"/>
          <w:szCs w:val="32"/>
          <w:lang w:val="en-US" w:eastAsia="zh-CN"/>
        </w:rPr>
        <w:t>6</w:t>
      </w:r>
      <w:r>
        <w:rPr>
          <w:rFonts w:hint="eastAsia" w:ascii="Times New Roman" w:hAnsi="Times New Roman" w:eastAsia="仿宋_GB2312"/>
          <w:kern w:val="0"/>
          <w:sz w:val="32"/>
          <w:szCs w:val="32"/>
        </w:rPr>
        <w:t>]国家药品监督管理局.体外诊断试剂临床试验技术指导原则:国家药监局通告2021年第72号[Z].</w:t>
      </w:r>
    </w:p>
    <w:p>
      <w:pPr>
        <w:spacing w:line="520" w:lineRule="exact"/>
        <w:ind w:firstLine="640" w:firstLineChars="200"/>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w:t>
      </w:r>
      <w:r>
        <w:rPr>
          <w:rFonts w:hint="eastAsia" w:ascii="Times New Roman" w:hAnsi="Times New Roman" w:eastAsia="仿宋_GB2312"/>
          <w:kern w:val="0"/>
          <w:sz w:val="32"/>
          <w:szCs w:val="32"/>
          <w:lang w:val="en-US" w:eastAsia="zh-CN"/>
        </w:rPr>
        <w:t>7</w:t>
      </w:r>
      <w:r>
        <w:rPr>
          <w:rFonts w:hint="eastAsia" w:ascii="Times New Roman" w:hAnsi="Times New Roman" w:eastAsia="仿宋_GB2312"/>
          <w:kern w:val="0"/>
          <w:sz w:val="32"/>
          <w:szCs w:val="32"/>
        </w:rPr>
        <w:t>]国家食品药品监督管理局.体外诊断试剂说明书编写指导原则:食品药品监管总局通告第17号[Z].</w:t>
      </w:r>
    </w:p>
    <w:p>
      <w:pPr>
        <w:spacing w:line="520" w:lineRule="exact"/>
        <w:ind w:firstLine="640" w:firstLineChars="200"/>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w:t>
      </w:r>
      <w:r>
        <w:rPr>
          <w:rFonts w:hint="eastAsia" w:ascii="Times New Roman" w:hAnsi="Times New Roman" w:eastAsia="仿宋_GB2312"/>
          <w:kern w:val="0"/>
          <w:sz w:val="32"/>
          <w:szCs w:val="32"/>
          <w:lang w:val="en-US" w:eastAsia="zh-CN"/>
        </w:rPr>
        <w:t>8</w:t>
      </w:r>
      <w:r>
        <w:rPr>
          <w:rFonts w:hint="eastAsia" w:ascii="Times New Roman" w:hAnsi="Times New Roman" w:eastAsia="仿宋_GB2312"/>
          <w:kern w:val="0"/>
          <w:sz w:val="32"/>
          <w:szCs w:val="32"/>
        </w:rPr>
        <w:t>]原国家食品药品监督管理总局.医疗器械说明书和标签管理规定:国家食品药品监督管理总局令第6号[Z].</w:t>
      </w:r>
    </w:p>
    <w:p>
      <w:pPr>
        <w:spacing w:line="520" w:lineRule="exact"/>
        <w:ind w:firstLine="640" w:firstLineChars="200"/>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w:t>
      </w:r>
      <w:r>
        <w:rPr>
          <w:rFonts w:hint="eastAsia" w:ascii="Times New Roman" w:hAnsi="Times New Roman" w:eastAsia="仿宋_GB2312"/>
          <w:kern w:val="0"/>
          <w:sz w:val="32"/>
          <w:szCs w:val="32"/>
          <w:lang w:val="en-US" w:eastAsia="zh-CN"/>
        </w:rPr>
        <w:t>9</w:t>
      </w:r>
      <w:r>
        <w:rPr>
          <w:rFonts w:hint="eastAsia" w:ascii="Times New Roman" w:hAnsi="Times New Roman" w:eastAsia="仿宋_GB2312"/>
          <w:kern w:val="0"/>
          <w:sz w:val="32"/>
          <w:szCs w:val="32"/>
        </w:rPr>
        <w:t>]国家药品监督管理局.体外诊断试剂分类规则:国家药监局公告2021年第129号[Z].</w:t>
      </w:r>
    </w:p>
    <w:p>
      <w:pPr>
        <w:spacing w:line="520" w:lineRule="exact"/>
        <w:ind w:firstLine="640" w:firstLineChars="200"/>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[11]国家药品监督管理局.免于临床试验体外诊断试剂目录: 国家药监局通告2021年第70号[Z].</w:t>
      </w:r>
    </w:p>
    <w:p>
      <w:pPr>
        <w:spacing w:line="520" w:lineRule="exact"/>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[12]国家药品监督管理局.免于临床试验的体外诊断试剂临床评价技术指导原则:国家药监局通告2021年第74号[Z].</w:t>
      </w:r>
    </w:p>
    <w:p>
      <w:pPr>
        <w:spacing w:line="520" w:lineRule="exact"/>
        <w:ind w:firstLine="640" w:firstLineChars="200"/>
        <w:jc w:val="left"/>
        <w:rPr>
          <w:rFonts w:ascii="Times New Roman" w:hAnsi="Times New Roman" w:eastAsia="仿宋_GB2312"/>
          <w:snapToGrid w:val="0"/>
          <w:kern w:val="0"/>
          <w:sz w:val="32"/>
          <w:szCs w:val="32"/>
        </w:rPr>
      </w:pPr>
      <w:r>
        <w:rPr>
          <w:rFonts w:hint="eastAsia" w:ascii="Times New Roman" w:hAnsi="Times New Roman" w:eastAsia="仿宋_GB2312"/>
          <w:kern w:val="0"/>
          <w:sz w:val="32"/>
          <w:szCs w:val="32"/>
        </w:rPr>
        <w:t>[1</w:t>
      </w:r>
      <w:r>
        <w:rPr>
          <w:rFonts w:hint="eastAsia" w:ascii="Times New Roman" w:hAnsi="Times New Roman" w:eastAsia="仿宋_GB2312"/>
          <w:kern w:val="0"/>
          <w:sz w:val="32"/>
          <w:szCs w:val="32"/>
          <w:lang w:val="en-US" w:eastAsia="zh-CN"/>
        </w:rPr>
        <w:t>3</w:t>
      </w:r>
      <w:r>
        <w:rPr>
          <w:rFonts w:hint="eastAsia" w:ascii="Times New Roman" w:hAnsi="Times New Roman" w:eastAsia="仿宋_GB2312"/>
          <w:kern w:val="0"/>
          <w:sz w:val="32"/>
          <w:szCs w:val="32"/>
        </w:rPr>
        <w:t>]GB/T 42062,医疗器械风险管理对医疗器械的应用[S].</w:t>
      </w:r>
    </w:p>
    <w:p>
      <w:pPr>
        <w:rPr>
          <w:rFonts w:ascii="Times New Roman" w:hAnsi="Times New Roman"/>
        </w:rPr>
      </w:pPr>
    </w:p>
    <w:sectPr>
      <w:footerReference r:id="rId4" w:type="first"/>
      <w:footerReference r:id="rId3" w:type="default"/>
      <w:pgSz w:w="11906" w:h="16838"/>
      <w:pgMar w:top="1701" w:right="1417" w:bottom="1701" w:left="1474" w:header="851" w:footer="992" w:gutter="0"/>
      <w:lnNumType w:countBy="1" w:restart="continuous"/>
      <w:pgNumType w:fmt="decimal" w:start="1"/>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BabelStone Han">
    <w:panose1 w:val="02020604010101010101"/>
    <w:charset w:val="86"/>
    <w:family w:val="auto"/>
    <w:pitch w:val="default"/>
    <w:sig w:usb0="A00002FF" w:usb1="3AEFFCFF" w:usb2="18060076" w:usb3="0400A008" w:csb0="6016011D" w:csb1="D3F70000"/>
  </w:font>
  <w:font w:name="Arial Unicode MS">
    <w:panose1 w:val="020B0604020202020204"/>
    <w:charset w:val="86"/>
    <w:family w:val="auto"/>
    <w:pitch w:val="default"/>
    <w:sig w:usb0="FFFFFFFF" w:usb1="E9FFFFFF" w:usb2="0000003F" w:usb3="00000000" w:csb0="603F01FF" w:csb1="F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ascii="Times New Roman" w:hAnsi="Times New Roman" w:eastAsia="宋体" w:cs="Times New Roman"/>
        <w:kern w:val="2"/>
        <w:sz w:val="28"/>
        <w:szCs w:val="28"/>
      </w:rPr>
    </w:pPr>
    <w:r>
      <w:rPr>
        <w:rFonts w:hint="eastAsia" w:ascii="Times New Roman" w:hAnsi="Times New Roman" w:eastAsia="宋体" w:cs="Times New Roman"/>
        <w:kern w:val="2"/>
        <w:sz w:val="28"/>
        <w:szCs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Times New Roman" w:hAnsi="Times New Roman"/>
                            </w:rPr>
                          </w:pP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- 1 -</w:t>
                          </w:r>
                          <w:r>
                            <w:rPr>
                              <w:rFonts w:ascii="Times New Roman" w:hAnsi="Times New Roman"/>
                            </w:rPr>
                            <w:fldChar w:fldCharType="end"/>
                          </w:r>
                          <w:r>
                            <w:rPr>
                              <w:rFonts w:ascii="Times New Roman" w:hAnsi="Times New Roma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rPr>
                        <w:rFonts w:ascii="Times New Roman" w:hAnsi="Times New Roman"/>
                      </w:rPr>
                    </w:pP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- 1 -</w:t>
                    </w:r>
                    <w:r>
                      <w:rPr>
                        <w:rFonts w:ascii="Times New Roman" w:hAnsi="Times New Roman"/>
                      </w:rPr>
                      <w:fldChar w:fldCharType="end"/>
                    </w:r>
                    <w:r>
                      <w:rPr>
                        <w:rFonts w:ascii="Times New Roman" w:hAnsi="Times New Roman"/>
                      </w:rPr>
                      <w:t xml:space="preserve"> —</w:t>
                    </w:r>
                  </w:p>
                </w:txbxContent>
              </v:textbox>
            </v:shape>
          </w:pict>
        </mc:Fallback>
      </mc:AlternateContent>
    </w:r>
  </w:p>
  <w:p>
    <w:pPr>
      <w:pStyle w:val="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04735071"/>
      <w:docPartObj>
        <w:docPartGallery w:val="autotext"/>
      </w:docPartObj>
    </w:sdtPr>
    <w:sdtEndPr>
      <w:rPr>
        <w:rFonts w:ascii="Times New Roman" w:hAnsi="Times New Roman"/>
      </w:rPr>
    </w:sdtEndPr>
    <w:sdtContent>
      <w:p>
        <w:pPr>
          <w:pStyle w:val="5"/>
          <w:jc w:val="center"/>
          <w:rPr>
            <w:rFonts w:ascii="Times New Roman" w:hAnsi="Times New Roman"/>
          </w:rPr>
        </w:pPr>
        <w:r>
          <w:rPr>
            <w:rFonts w:ascii="Times New Roman" w:hAnsi="Times New Roman"/>
          </w:rPr>
          <w:fldChar w:fldCharType="begin"/>
        </w:r>
        <w:r>
          <w:rPr>
            <w:rFonts w:ascii="Times New Roman" w:hAnsi="Times New Roman"/>
          </w:rPr>
          <w:instrText xml:space="preserve">PAGE   \* MERGEFORMAT</w:instrText>
        </w:r>
        <w:r>
          <w:rPr>
            <w:rFonts w:ascii="Times New Roman" w:hAnsi="Times New Roman"/>
          </w:rPr>
          <w:fldChar w:fldCharType="separate"/>
        </w:r>
        <w:r>
          <w:rPr>
            <w:rFonts w:ascii="Times New Roman" w:hAnsi="Times New Roman"/>
            <w:lang w:val="zh-CN"/>
          </w:rPr>
          <w:t>1</w:t>
        </w:r>
        <w:r>
          <w:rPr>
            <w:rFonts w:ascii="Times New Roman" w:hAnsi="Times New Roman"/>
          </w:rPr>
          <w:fldChar w:fldCharType="end"/>
        </w:r>
      </w:p>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A1D2F8"/>
    <w:multiLevelType w:val="singleLevel"/>
    <w:tmpl w:val="B7A1D2F8"/>
    <w:lvl w:ilvl="0" w:tentative="0">
      <w:start w:val="2"/>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3ZDQwMmNiOWFlYzZjYTcwOWJiZGQ0YTA5ODBmZGUifQ=="/>
  </w:docVars>
  <w:rsids>
    <w:rsidRoot w:val="01D012CF"/>
    <w:rsid w:val="000300B9"/>
    <w:rsid w:val="000A7423"/>
    <w:rsid w:val="001439FA"/>
    <w:rsid w:val="001D7D62"/>
    <w:rsid w:val="004352D7"/>
    <w:rsid w:val="004A4089"/>
    <w:rsid w:val="00527866"/>
    <w:rsid w:val="00794CCF"/>
    <w:rsid w:val="008F5CFC"/>
    <w:rsid w:val="00954478"/>
    <w:rsid w:val="009C337D"/>
    <w:rsid w:val="00A16B63"/>
    <w:rsid w:val="00C46EE0"/>
    <w:rsid w:val="00DD40F3"/>
    <w:rsid w:val="00E94C23"/>
    <w:rsid w:val="018D2338"/>
    <w:rsid w:val="01C32C4B"/>
    <w:rsid w:val="01D012CF"/>
    <w:rsid w:val="01E0685D"/>
    <w:rsid w:val="02E81B31"/>
    <w:rsid w:val="039803A2"/>
    <w:rsid w:val="039C5442"/>
    <w:rsid w:val="04247911"/>
    <w:rsid w:val="04F41F5F"/>
    <w:rsid w:val="05786A20"/>
    <w:rsid w:val="06465E4D"/>
    <w:rsid w:val="0680104B"/>
    <w:rsid w:val="06D55DF1"/>
    <w:rsid w:val="06DA7EF0"/>
    <w:rsid w:val="07C275AA"/>
    <w:rsid w:val="07D02C82"/>
    <w:rsid w:val="089B201D"/>
    <w:rsid w:val="0A067AB9"/>
    <w:rsid w:val="0AB85257"/>
    <w:rsid w:val="0B095AB3"/>
    <w:rsid w:val="0B380146"/>
    <w:rsid w:val="0BE271BD"/>
    <w:rsid w:val="0C981E29"/>
    <w:rsid w:val="0CB11F5E"/>
    <w:rsid w:val="0D6E759A"/>
    <w:rsid w:val="0DA90E87"/>
    <w:rsid w:val="0DB15833"/>
    <w:rsid w:val="10354C54"/>
    <w:rsid w:val="103A226A"/>
    <w:rsid w:val="103D0568"/>
    <w:rsid w:val="105470F2"/>
    <w:rsid w:val="113B44EC"/>
    <w:rsid w:val="117B0DAB"/>
    <w:rsid w:val="11B85769"/>
    <w:rsid w:val="126366AD"/>
    <w:rsid w:val="14B5242A"/>
    <w:rsid w:val="154060CF"/>
    <w:rsid w:val="15C87756"/>
    <w:rsid w:val="160C6457"/>
    <w:rsid w:val="161170A6"/>
    <w:rsid w:val="16FA5928"/>
    <w:rsid w:val="183F64D4"/>
    <w:rsid w:val="19135D94"/>
    <w:rsid w:val="19174E80"/>
    <w:rsid w:val="19A15642"/>
    <w:rsid w:val="19A5109C"/>
    <w:rsid w:val="19B551D0"/>
    <w:rsid w:val="1A352420"/>
    <w:rsid w:val="1ACF7DBE"/>
    <w:rsid w:val="1BEC3A3D"/>
    <w:rsid w:val="1C4C75BF"/>
    <w:rsid w:val="1D7919B8"/>
    <w:rsid w:val="1D8260B7"/>
    <w:rsid w:val="1EAA10E1"/>
    <w:rsid w:val="1ECB1AD5"/>
    <w:rsid w:val="1F2172F6"/>
    <w:rsid w:val="1F4849A4"/>
    <w:rsid w:val="20155915"/>
    <w:rsid w:val="20670E5A"/>
    <w:rsid w:val="20E8359B"/>
    <w:rsid w:val="20FB4DA9"/>
    <w:rsid w:val="22077ED1"/>
    <w:rsid w:val="224F46D5"/>
    <w:rsid w:val="232B5CC0"/>
    <w:rsid w:val="23FA073E"/>
    <w:rsid w:val="24454772"/>
    <w:rsid w:val="24EE541C"/>
    <w:rsid w:val="25A0096A"/>
    <w:rsid w:val="263A4AF1"/>
    <w:rsid w:val="26541E80"/>
    <w:rsid w:val="276F0A29"/>
    <w:rsid w:val="27B32BD6"/>
    <w:rsid w:val="28A55630"/>
    <w:rsid w:val="29345F99"/>
    <w:rsid w:val="29E22806"/>
    <w:rsid w:val="29FA706A"/>
    <w:rsid w:val="2B285689"/>
    <w:rsid w:val="2B3B716B"/>
    <w:rsid w:val="2B830B12"/>
    <w:rsid w:val="2BC929C8"/>
    <w:rsid w:val="2BFD474A"/>
    <w:rsid w:val="2CF31A01"/>
    <w:rsid w:val="2D6F134E"/>
    <w:rsid w:val="2D774553"/>
    <w:rsid w:val="2D811081"/>
    <w:rsid w:val="2E970DA7"/>
    <w:rsid w:val="2EA329E0"/>
    <w:rsid w:val="2F2C155F"/>
    <w:rsid w:val="2F860BD0"/>
    <w:rsid w:val="305E6EEF"/>
    <w:rsid w:val="31046C60"/>
    <w:rsid w:val="31A31F0E"/>
    <w:rsid w:val="3260395B"/>
    <w:rsid w:val="32847649"/>
    <w:rsid w:val="33AC4D1B"/>
    <w:rsid w:val="35132F06"/>
    <w:rsid w:val="35B25333"/>
    <w:rsid w:val="35EE524B"/>
    <w:rsid w:val="3628344F"/>
    <w:rsid w:val="36405F7D"/>
    <w:rsid w:val="36AE3121"/>
    <w:rsid w:val="377744E3"/>
    <w:rsid w:val="377A726D"/>
    <w:rsid w:val="38976530"/>
    <w:rsid w:val="38A50319"/>
    <w:rsid w:val="38B02927"/>
    <w:rsid w:val="39801E24"/>
    <w:rsid w:val="39E15381"/>
    <w:rsid w:val="3AA57389"/>
    <w:rsid w:val="3B070E17"/>
    <w:rsid w:val="3BB56AC5"/>
    <w:rsid w:val="3C991F43"/>
    <w:rsid w:val="3CE84C78"/>
    <w:rsid w:val="3DF24001"/>
    <w:rsid w:val="3E761E93"/>
    <w:rsid w:val="3F4C6079"/>
    <w:rsid w:val="3FAF0968"/>
    <w:rsid w:val="3FC96FE3"/>
    <w:rsid w:val="418D42FC"/>
    <w:rsid w:val="41972FC6"/>
    <w:rsid w:val="41994793"/>
    <w:rsid w:val="42027583"/>
    <w:rsid w:val="421B789E"/>
    <w:rsid w:val="42496862"/>
    <w:rsid w:val="426052B1"/>
    <w:rsid w:val="433E1A96"/>
    <w:rsid w:val="435C016E"/>
    <w:rsid w:val="437454B8"/>
    <w:rsid w:val="440305EA"/>
    <w:rsid w:val="455E3D2A"/>
    <w:rsid w:val="4594226A"/>
    <w:rsid w:val="45BF7797"/>
    <w:rsid w:val="465D66D7"/>
    <w:rsid w:val="46B04A59"/>
    <w:rsid w:val="46E22739"/>
    <w:rsid w:val="472B6770"/>
    <w:rsid w:val="47622919"/>
    <w:rsid w:val="480E5EDB"/>
    <w:rsid w:val="48CA152B"/>
    <w:rsid w:val="492E7EB7"/>
    <w:rsid w:val="495A0CAC"/>
    <w:rsid w:val="497B0DAE"/>
    <w:rsid w:val="49E841A3"/>
    <w:rsid w:val="49F71CA7"/>
    <w:rsid w:val="49FC5FD5"/>
    <w:rsid w:val="4A0D21C2"/>
    <w:rsid w:val="4AB12DBE"/>
    <w:rsid w:val="4BBF4BA0"/>
    <w:rsid w:val="4BC15012"/>
    <w:rsid w:val="4BF50C71"/>
    <w:rsid w:val="4D4B6C96"/>
    <w:rsid w:val="4DF973E7"/>
    <w:rsid w:val="4E1059FE"/>
    <w:rsid w:val="4E376953"/>
    <w:rsid w:val="4FA91F20"/>
    <w:rsid w:val="4FE85BEB"/>
    <w:rsid w:val="5032028D"/>
    <w:rsid w:val="50B05137"/>
    <w:rsid w:val="50C329FA"/>
    <w:rsid w:val="50FE3FD9"/>
    <w:rsid w:val="510F6820"/>
    <w:rsid w:val="514928A4"/>
    <w:rsid w:val="518A77F8"/>
    <w:rsid w:val="51E8779D"/>
    <w:rsid w:val="525E35BB"/>
    <w:rsid w:val="529139E8"/>
    <w:rsid w:val="52BF0AD8"/>
    <w:rsid w:val="532C772E"/>
    <w:rsid w:val="53500BE9"/>
    <w:rsid w:val="53A019B1"/>
    <w:rsid w:val="54972DB4"/>
    <w:rsid w:val="551B5793"/>
    <w:rsid w:val="55766E6E"/>
    <w:rsid w:val="56D83248"/>
    <w:rsid w:val="580F201C"/>
    <w:rsid w:val="58211E24"/>
    <w:rsid w:val="58EB7B73"/>
    <w:rsid w:val="594078DC"/>
    <w:rsid w:val="59464DA9"/>
    <w:rsid w:val="59827E8D"/>
    <w:rsid w:val="5A7A2F5C"/>
    <w:rsid w:val="5A7B0A82"/>
    <w:rsid w:val="5A993BC6"/>
    <w:rsid w:val="5AFB50A5"/>
    <w:rsid w:val="5B5F63F7"/>
    <w:rsid w:val="5BF525A3"/>
    <w:rsid w:val="5C071C23"/>
    <w:rsid w:val="5CB80AF3"/>
    <w:rsid w:val="5D314E64"/>
    <w:rsid w:val="5D447664"/>
    <w:rsid w:val="5D9E5391"/>
    <w:rsid w:val="5DF8710D"/>
    <w:rsid w:val="5E0B2940"/>
    <w:rsid w:val="5E2751A9"/>
    <w:rsid w:val="5E3B163D"/>
    <w:rsid w:val="5E784CD0"/>
    <w:rsid w:val="5EDA046D"/>
    <w:rsid w:val="5F8B5419"/>
    <w:rsid w:val="5FAA379C"/>
    <w:rsid w:val="5FC0333B"/>
    <w:rsid w:val="5FDF3B1B"/>
    <w:rsid w:val="5FEF96EF"/>
    <w:rsid w:val="60263B9A"/>
    <w:rsid w:val="61797FF9"/>
    <w:rsid w:val="639E415F"/>
    <w:rsid w:val="64813139"/>
    <w:rsid w:val="649F0B91"/>
    <w:rsid w:val="64BB41AC"/>
    <w:rsid w:val="64DE67DD"/>
    <w:rsid w:val="64E536C8"/>
    <w:rsid w:val="64F45731"/>
    <w:rsid w:val="664E3461"/>
    <w:rsid w:val="66AA4912"/>
    <w:rsid w:val="690758D3"/>
    <w:rsid w:val="69580EEB"/>
    <w:rsid w:val="69E9216B"/>
    <w:rsid w:val="6ADF78E5"/>
    <w:rsid w:val="6B286A04"/>
    <w:rsid w:val="6BCE4EB6"/>
    <w:rsid w:val="6C273A39"/>
    <w:rsid w:val="6C592D4D"/>
    <w:rsid w:val="6CF01F2D"/>
    <w:rsid w:val="6D9C6C97"/>
    <w:rsid w:val="6DE83FAD"/>
    <w:rsid w:val="6E744B99"/>
    <w:rsid w:val="701D3B3E"/>
    <w:rsid w:val="70D12C82"/>
    <w:rsid w:val="713629FE"/>
    <w:rsid w:val="715220E5"/>
    <w:rsid w:val="71AF12E6"/>
    <w:rsid w:val="72423799"/>
    <w:rsid w:val="72FC6ED2"/>
    <w:rsid w:val="73061F03"/>
    <w:rsid w:val="735F3722"/>
    <w:rsid w:val="73722F12"/>
    <w:rsid w:val="73F82115"/>
    <w:rsid w:val="746960C4"/>
    <w:rsid w:val="746D4089"/>
    <w:rsid w:val="74B86853"/>
    <w:rsid w:val="75546172"/>
    <w:rsid w:val="755C6ACA"/>
    <w:rsid w:val="757C1E26"/>
    <w:rsid w:val="75884C92"/>
    <w:rsid w:val="75D27C98"/>
    <w:rsid w:val="76AD3912"/>
    <w:rsid w:val="774668C1"/>
    <w:rsid w:val="77DF5C8E"/>
    <w:rsid w:val="781E7D5E"/>
    <w:rsid w:val="78810918"/>
    <w:rsid w:val="788B475A"/>
    <w:rsid w:val="78AE3767"/>
    <w:rsid w:val="79560165"/>
    <w:rsid w:val="798713C9"/>
    <w:rsid w:val="79CF6F5C"/>
    <w:rsid w:val="7A1940E8"/>
    <w:rsid w:val="7AAB61D6"/>
    <w:rsid w:val="7C05087F"/>
    <w:rsid w:val="7C122B9D"/>
    <w:rsid w:val="7C19615E"/>
    <w:rsid w:val="7CCC14D9"/>
    <w:rsid w:val="7D060228"/>
    <w:rsid w:val="7D300BB1"/>
    <w:rsid w:val="7E111258"/>
    <w:rsid w:val="7E4F0B42"/>
    <w:rsid w:val="7E7562FB"/>
    <w:rsid w:val="7FF79C5A"/>
    <w:rsid w:val="BDBAE542"/>
    <w:rsid w:val="BFFF36A7"/>
    <w:rsid w:val="FFFE0C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2"/>
    <w:basedOn w:val="1"/>
    <w:next w:val="1"/>
    <w:qFormat/>
    <w:uiPriority w:val="0"/>
    <w:pPr>
      <w:spacing w:before="100" w:beforeAutospacing="1" w:after="100" w:afterAutospacing="1"/>
      <w:jc w:val="left"/>
      <w:outlineLvl w:val="1"/>
    </w:pPr>
    <w:rPr>
      <w:rFonts w:hint="eastAsia" w:ascii="宋体" w:hAnsi="宋体" w:eastAsia="宋体"/>
      <w:b/>
      <w:kern w:val="0"/>
      <w:sz w:val="36"/>
      <w:szCs w:val="36"/>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alloon Text"/>
    <w:basedOn w:val="1"/>
    <w:link w:val="14"/>
    <w:qFormat/>
    <w:uiPriority w:val="0"/>
    <w:rPr>
      <w:sz w:val="18"/>
      <w:szCs w:val="18"/>
    </w:rPr>
  </w:style>
  <w:style w:type="paragraph" w:styleId="5">
    <w:name w:val="footer"/>
    <w:basedOn w:val="1"/>
    <w:link w:val="13"/>
    <w:unhideWhenUsed/>
    <w:qFormat/>
    <w:uiPriority w:val="99"/>
    <w:pPr>
      <w:tabs>
        <w:tab w:val="center" w:pos="4153"/>
        <w:tab w:val="right" w:pos="8306"/>
      </w:tabs>
      <w:snapToGrid w:val="0"/>
      <w:jc w:val="left"/>
    </w:pPr>
    <w:rPr>
      <w:rFonts w:ascii="Calibri" w:hAnsi="Calibri" w:eastAsia="宋体"/>
      <w:kern w:val="0"/>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1">
    <w:name w:val="No Spacing"/>
    <w:qFormat/>
    <w:uiPriority w:val="0"/>
    <w:pPr>
      <w:adjustRightInd w:val="0"/>
      <w:snapToGrid w:val="0"/>
    </w:pPr>
    <w:rPr>
      <w:rFonts w:ascii="Tahoma" w:hAnsi="Tahoma" w:eastAsia="微软雅黑" w:cs="Times New Roman"/>
      <w:sz w:val="22"/>
      <w:szCs w:val="22"/>
      <w:lang w:val="en-US" w:eastAsia="zh-CN" w:bidi="ar-SA"/>
    </w:rPr>
  </w:style>
  <w:style w:type="character" w:customStyle="1" w:styleId="12">
    <w:name w:val="页眉 字符"/>
    <w:basedOn w:val="10"/>
    <w:link w:val="6"/>
    <w:qFormat/>
    <w:uiPriority w:val="0"/>
    <w:rPr>
      <w:rFonts w:ascii="等线" w:hAnsi="等线" w:eastAsia="等线" w:cs="Times New Roman"/>
      <w:kern w:val="2"/>
      <w:sz w:val="18"/>
      <w:szCs w:val="18"/>
    </w:rPr>
  </w:style>
  <w:style w:type="character" w:customStyle="1" w:styleId="13">
    <w:name w:val="页脚 字符"/>
    <w:basedOn w:val="10"/>
    <w:link w:val="5"/>
    <w:qFormat/>
    <w:uiPriority w:val="99"/>
    <w:rPr>
      <w:rFonts w:ascii="Calibri" w:hAnsi="Calibri" w:eastAsia="宋体" w:cs="Times New Roman"/>
      <w:sz w:val="18"/>
      <w:szCs w:val="18"/>
    </w:rPr>
  </w:style>
  <w:style w:type="character" w:customStyle="1" w:styleId="14">
    <w:name w:val="批注框文本 字符"/>
    <w:basedOn w:val="10"/>
    <w:link w:val="4"/>
    <w:qFormat/>
    <w:uiPriority w:val="0"/>
    <w:rPr>
      <w:rFonts w:ascii="等线" w:hAnsi="等线" w:eastAsia="等线" w:cs="Times New Roman"/>
      <w:kern w:val="2"/>
      <w:sz w:val="18"/>
      <w:szCs w:val="18"/>
    </w:rPr>
  </w:style>
  <w:style w:type="paragraph" w:customStyle="1" w:styleId="15">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16">
    <w:name w:val="List Paragraph"/>
    <w:basedOn w:val="1"/>
    <w:qFormat/>
    <w:uiPriority w:val="0"/>
    <w:pPr>
      <w:ind w:firstLine="420"/>
    </w:pPr>
    <w:rPr>
      <w:rFonts w:ascii="Calibri" w:hAnsi="Calibri"/>
    </w:rPr>
  </w:style>
  <w:style w:type="paragraph" w:customStyle="1" w:styleId="1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8">
    <w:name w:val="font71"/>
    <w:basedOn w:val="10"/>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22</Pages>
  <Words>11833</Words>
  <Characters>12265</Characters>
  <Lines>4</Lines>
  <Paragraphs>1</Paragraphs>
  <TotalTime>3</TotalTime>
  <ScaleCrop>false</ScaleCrop>
  <LinksUpToDate>false</LinksUpToDate>
  <CharactersWithSpaces>12283</CharactersWithSpaces>
  <Application>WPS Office_11.8.2.10534_F1E327BC-269C-435d-A152-05C5408002CA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2021-10-02T23:42:00Z</dcterms:created>
  <dc:creator>Liuqianqian</dc:creator>
  <cp:lastModifiedBy>kylin</cp:lastModifiedBy>
  <cp:lastPrinted>2025-12-27T09:59:00Z</cp:lastPrinted>
  <dcterms:modified xsi:type="dcterms:W3CDTF">2026-08-11T15:06:23Z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2052-11.8.2.10534</vt:lpwstr>
  </property>
  <property fmtid="{D5CDD505-2E9C-101B-9397-08002B2CF9AE}" pid="3" name="ICV">
    <vt:lpwstr>89F14C2DB5274EA4B7CF10065CDE4F8D_13</vt:lpwstr>
  </property>
  <property fmtid="{D5CDD505-2E9C-101B-9397-08002B2CF9AE}" pid="4" name="KSOTemplateDocerSaveRecord">
    <vt:lpwstr>eyJoZGlkIjoiNDJiYzdiN2RkNWFjNDk3NTI2ZDQ2NzNjMGYwYzU4ZjYiLCJ1c2VySWQiOiIzNTQzMjEwMDMifQ==</vt:lpwstr>
  </property>
</Properties>
</file>