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E0EC1">
      <w:pPr>
        <w:pStyle w:val="18"/>
        <w:spacing w:line="520" w:lineRule="exact"/>
        <w:rPr>
          <w:rFonts w:ascii="Times New Roman" w:hAnsi="Times New Roman"/>
        </w:rPr>
      </w:pPr>
      <w:bookmarkStart w:id="0" w:name="_Toc342306957"/>
    </w:p>
    <w:p w14:paraId="35AF6FEC">
      <w:pPr>
        <w:spacing w:line="520" w:lineRule="exact"/>
        <w:ind w:right="-67" w:rightChars="-32"/>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脂肪酶</w:t>
      </w:r>
      <w:r>
        <w:rPr>
          <w:rFonts w:hint="eastAsia" w:ascii="Times New Roman" w:hAnsi="Times New Roman" w:eastAsia="方正小标宋简体"/>
          <w:sz w:val="44"/>
          <w:szCs w:val="44"/>
          <w:lang w:val="en-US" w:eastAsia="zh-CN"/>
        </w:rPr>
        <w:t>测定</w:t>
      </w:r>
      <w:r>
        <w:rPr>
          <w:rFonts w:hint="eastAsia" w:ascii="Times New Roman" w:hAnsi="Times New Roman" w:eastAsia="方正小标宋简体"/>
          <w:sz w:val="44"/>
          <w:szCs w:val="44"/>
        </w:rPr>
        <w:t>试剂注册审查指导原则</w:t>
      </w:r>
    </w:p>
    <w:p w14:paraId="0F1E1FA2">
      <w:pPr>
        <w:spacing w:line="520" w:lineRule="exact"/>
        <w:ind w:right="-67" w:rightChars="-32"/>
        <w:jc w:val="center"/>
        <w:rPr>
          <w:rFonts w:hint="eastAsia" w:ascii="Times New Roman" w:hAnsi="Times New Roman" w:eastAsia="方正小标宋简体"/>
          <w:sz w:val="44"/>
          <w:szCs w:val="44"/>
          <w:lang w:eastAsia="zh-CN"/>
        </w:rPr>
      </w:pPr>
      <w:r>
        <w:rPr>
          <w:rFonts w:hint="eastAsia" w:ascii="Times New Roman" w:hAnsi="Times New Roman" w:eastAsia="方正小标宋简体"/>
          <w:sz w:val="44"/>
          <w:szCs w:val="44"/>
          <w:lang w:eastAsia="zh-CN"/>
        </w:rPr>
        <w:t>（</w:t>
      </w:r>
      <w:r>
        <w:rPr>
          <w:rFonts w:hint="eastAsia" w:ascii="Times New Roman" w:hAnsi="Times New Roman" w:eastAsia="方正小标宋简体"/>
          <w:sz w:val="44"/>
          <w:szCs w:val="44"/>
          <w:lang w:val="en-US" w:eastAsia="zh-CN"/>
        </w:rPr>
        <w:t>征求意见稿</w:t>
      </w:r>
      <w:r>
        <w:rPr>
          <w:rFonts w:hint="eastAsia" w:ascii="Times New Roman" w:hAnsi="Times New Roman" w:eastAsia="方正小标宋简体"/>
          <w:sz w:val="44"/>
          <w:szCs w:val="44"/>
          <w:lang w:eastAsia="zh-CN"/>
        </w:rPr>
        <w:t>）</w:t>
      </w:r>
    </w:p>
    <w:p w14:paraId="78C20E0E">
      <w:pPr>
        <w:pStyle w:val="18"/>
        <w:spacing w:line="520" w:lineRule="exact"/>
        <w:rPr>
          <w:rFonts w:ascii="Times New Roman" w:hAnsi="Times New Roman"/>
        </w:rPr>
      </w:pPr>
    </w:p>
    <w:p w14:paraId="08FD6E29">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本指导原则旨在为医疗器械注册申请人进行</w:t>
      </w:r>
      <w:r>
        <w:rPr>
          <w:rFonts w:hint="eastAsia" w:ascii="Times New Roman" w:hAnsi="Times New Roman" w:eastAsia="仿宋_GB2312"/>
          <w:sz w:val="32"/>
          <w:lang w:val="en-US" w:eastAsia="zh-CN"/>
        </w:rPr>
        <w:t>脂肪酶测定</w:t>
      </w:r>
      <w:r>
        <w:rPr>
          <w:rFonts w:ascii="Times New Roman" w:hAnsi="Times New Roman" w:eastAsia="仿宋_GB2312"/>
          <w:sz w:val="32"/>
        </w:rPr>
        <w:t>试剂的注册申报提供技术指导，同时也为医疗器械监督管理部门对注册申报资料的审评提供技术参考。</w:t>
      </w:r>
    </w:p>
    <w:p w14:paraId="597EC64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14:paraId="718AD1F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w:t>
      </w:r>
      <w:r>
        <w:rPr>
          <w:rFonts w:ascii="Times New Roman" w:hAnsi="Times New Roman" w:eastAsia="仿宋_GB2312"/>
          <w:sz w:val="32"/>
          <w:szCs w:val="32"/>
        </w:rPr>
        <w:t>需在遵循相关法规和强制性标准的前提下使用本指导原则。</w:t>
      </w:r>
    </w:p>
    <w:p w14:paraId="0D91ABE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本指导原则是在现行法规、标准体系以及当前认知水平下制定的，随着法规、标准的不断完善和科学技术的不断发展，本指导原则相关内容也将适时进行调整。</w:t>
      </w:r>
    </w:p>
    <w:p w14:paraId="4981467E">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一、适用范围</w:t>
      </w:r>
    </w:p>
    <w:p w14:paraId="1F453384">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28"/>
        </w:rPr>
        <w:t>本指导原则适用于以</w:t>
      </w:r>
      <w:r>
        <w:rPr>
          <w:rFonts w:hint="eastAsia" w:ascii="Times New Roman" w:hAnsi="Times New Roman" w:eastAsia="仿宋_GB2312"/>
          <w:sz w:val="32"/>
          <w:szCs w:val="28"/>
          <w:lang w:val="en-US" w:eastAsia="zh-CN"/>
        </w:rPr>
        <w:t>分光光度法</w:t>
      </w:r>
      <w:r>
        <w:rPr>
          <w:rFonts w:hint="eastAsia" w:ascii="Times New Roman" w:hAnsi="Times New Roman" w:eastAsia="仿宋_GB2312"/>
          <w:sz w:val="32"/>
          <w:szCs w:val="28"/>
        </w:rPr>
        <w:t>（</w:t>
      </w:r>
      <w:r>
        <w:rPr>
          <w:rFonts w:ascii="Times New Roman" w:hAnsi="Times New Roman" w:eastAsia="仿宋_GB2312"/>
          <w:sz w:val="32"/>
          <w:szCs w:val="28"/>
        </w:rPr>
        <w:t>如</w:t>
      </w:r>
      <w:r>
        <w:rPr>
          <w:rFonts w:hint="eastAsia" w:ascii="Times New Roman" w:hAnsi="Times New Roman" w:eastAsia="仿宋_GB2312"/>
          <w:sz w:val="32"/>
          <w:szCs w:val="28"/>
        </w:rPr>
        <w:t>:甲基试卤灵底物法）</w:t>
      </w:r>
      <w:r>
        <w:rPr>
          <w:rFonts w:ascii="Times New Roman" w:hAnsi="Times New Roman" w:eastAsia="仿宋_GB2312"/>
          <w:sz w:val="32"/>
          <w:szCs w:val="28"/>
        </w:rPr>
        <w:t>为检测原理</w:t>
      </w:r>
      <w:r>
        <w:rPr>
          <w:rFonts w:ascii="Times New Roman" w:hAnsi="Times New Roman" w:eastAsia="仿宋_GB2312"/>
          <w:sz w:val="32"/>
        </w:rPr>
        <w:t>，</w:t>
      </w:r>
      <w:r>
        <w:rPr>
          <w:rFonts w:ascii="Times New Roman" w:hAnsi="Times New Roman" w:eastAsia="仿宋_GB2312"/>
          <w:sz w:val="32"/>
          <w:szCs w:val="32"/>
        </w:rPr>
        <w:t>对人血清、血浆</w:t>
      </w:r>
      <w:r>
        <w:rPr>
          <w:rFonts w:hint="eastAsia" w:ascii="Times New Roman" w:hAnsi="Times New Roman" w:eastAsia="仿宋_GB2312"/>
          <w:sz w:val="32"/>
          <w:szCs w:val="32"/>
          <w:lang w:val="en-US" w:eastAsia="zh-CN"/>
        </w:rPr>
        <w:t>样本</w:t>
      </w:r>
      <w:r>
        <w:rPr>
          <w:rFonts w:ascii="Times New Roman" w:hAnsi="Times New Roman" w:eastAsia="仿宋_GB2312"/>
          <w:sz w:val="32"/>
          <w:szCs w:val="32"/>
        </w:rPr>
        <w:t>中</w:t>
      </w:r>
      <w:r>
        <w:rPr>
          <w:rFonts w:hint="eastAsia" w:ascii="Times New Roman" w:hAnsi="Times New Roman" w:eastAsia="仿宋_GB2312"/>
          <w:sz w:val="32"/>
          <w:szCs w:val="32"/>
          <w:lang w:val="en-US" w:eastAsia="zh-CN"/>
        </w:rPr>
        <w:t>的</w:t>
      </w:r>
      <w:r>
        <w:rPr>
          <w:rFonts w:ascii="Times New Roman" w:hAnsi="Times New Roman" w:eastAsia="仿宋_GB2312"/>
          <w:sz w:val="32"/>
          <w:szCs w:val="32"/>
        </w:rPr>
        <w:t>脂肪酶进行定量</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活性</w:t>
      </w:r>
      <w:r>
        <w:rPr>
          <w:rFonts w:hint="eastAsia" w:ascii="Times New Roman" w:hAnsi="Times New Roman" w:eastAsia="仿宋_GB2312"/>
          <w:sz w:val="32"/>
          <w:szCs w:val="32"/>
          <w:lang w:eastAsia="zh-CN"/>
        </w:rPr>
        <w:t>）</w:t>
      </w:r>
      <w:r>
        <w:rPr>
          <w:rFonts w:ascii="Times New Roman" w:hAnsi="Times New Roman" w:eastAsia="仿宋_GB2312"/>
          <w:sz w:val="32"/>
          <w:szCs w:val="32"/>
        </w:rPr>
        <w:t>测定的体外诊断试剂</w:t>
      </w:r>
      <w:r>
        <w:rPr>
          <w:rFonts w:ascii="Times New Roman" w:hAnsi="Times New Roman" w:eastAsia="仿宋_GB2312"/>
          <w:kern w:val="0"/>
          <w:sz w:val="32"/>
          <w:szCs w:val="32"/>
        </w:rPr>
        <w:t>。</w:t>
      </w:r>
      <w:r>
        <w:rPr>
          <w:rFonts w:ascii="Times New Roman" w:hAnsi="Times New Roman" w:eastAsia="仿宋_GB2312"/>
          <w:sz w:val="32"/>
          <w:szCs w:val="32"/>
        </w:rPr>
        <w:t>不包括用于单独申报的校准品和质控品。</w:t>
      </w:r>
      <w:r>
        <w:rPr>
          <w:rFonts w:ascii="Times New Roman" w:hAnsi="Times New Roman" w:eastAsia="仿宋_GB2312"/>
          <w:sz w:val="32"/>
        </w:rPr>
        <w:t>其他方法学的</w:t>
      </w:r>
      <w:r>
        <w:rPr>
          <w:rFonts w:ascii="Times New Roman" w:hAnsi="Times New Roman" w:eastAsia="仿宋_GB2312"/>
          <w:sz w:val="32"/>
          <w:szCs w:val="32"/>
        </w:rPr>
        <w:t>脂肪酶</w:t>
      </w:r>
      <w:r>
        <w:rPr>
          <w:rFonts w:ascii="Times New Roman" w:hAnsi="Times New Roman" w:eastAsia="仿宋_GB2312"/>
          <w:kern w:val="0"/>
          <w:sz w:val="32"/>
          <w:szCs w:val="32"/>
        </w:rPr>
        <w:t>测定试剂</w:t>
      </w:r>
      <w:r>
        <w:rPr>
          <w:rFonts w:ascii="Times New Roman" w:hAnsi="Times New Roman" w:eastAsia="仿宋_GB2312"/>
          <w:sz w:val="32"/>
        </w:rPr>
        <w:t>注册可参考本指导原则，但应根据产品的具体特性确定其中内容是否适用，如不适用，应另行选择适用自身方法学特性的研究步骤及方法。</w:t>
      </w:r>
    </w:p>
    <w:p w14:paraId="498F4F23">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二、注册审查要点</w:t>
      </w:r>
    </w:p>
    <w:p w14:paraId="46C45FDB">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（一）</w:t>
      </w:r>
      <w:r>
        <w:rPr>
          <w:rFonts w:ascii="Times New Roman" w:hAnsi="Times New Roman" w:eastAsia="楷体"/>
          <w:kern w:val="0"/>
          <w:sz w:val="32"/>
          <w:szCs w:val="32"/>
        </w:rPr>
        <w:t>监管信息</w:t>
      </w:r>
    </w:p>
    <w:p w14:paraId="3CCB1DDE">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14:paraId="1A326039">
      <w:pPr>
        <w:spacing w:line="520" w:lineRule="exact"/>
        <w:ind w:firstLine="640" w:firstLineChars="200"/>
        <w:outlineLvl w:val="0"/>
        <w:rPr>
          <w:rFonts w:ascii="Times New Roman" w:hAnsi="Times New Roman" w:eastAsia="仿宋_GB2312"/>
          <w:sz w:val="32"/>
          <w:szCs w:val="32"/>
        </w:rPr>
      </w:pPr>
      <w:r>
        <w:rPr>
          <w:rFonts w:ascii="Times New Roman" w:hAnsi="Times New Roman" w:eastAsia="仿宋_GB2312"/>
          <w:sz w:val="32"/>
          <w:szCs w:val="32"/>
        </w:rPr>
        <w:t>产品名称一般由三部分组成。第一部分：被测物名称</w:t>
      </w:r>
      <w:r>
        <w:rPr>
          <w:rFonts w:hint="eastAsia" w:ascii="Times New Roman" w:hAnsi="Times New Roman" w:eastAsia="仿宋_GB2312"/>
          <w:sz w:val="32"/>
          <w:szCs w:val="32"/>
        </w:rPr>
        <w:t>，如</w:t>
      </w:r>
      <w:r>
        <w:rPr>
          <w:rFonts w:ascii="Times New Roman" w:hAnsi="Times New Roman" w:eastAsia="仿宋_GB2312"/>
          <w:sz w:val="32"/>
          <w:szCs w:val="32"/>
        </w:rPr>
        <w:t>脂肪酶；第二部分：用途，如测定试剂；第三部分：方法或者原理，如</w:t>
      </w:r>
      <w:r>
        <w:rPr>
          <w:rFonts w:hint="eastAsia" w:ascii="Times New Roman" w:hAnsi="Times New Roman" w:eastAsia="仿宋_GB2312"/>
          <w:sz w:val="32"/>
          <w:szCs w:val="28"/>
        </w:rPr>
        <w:t>甲基试卤灵底物法</w:t>
      </w:r>
      <w:r>
        <w:rPr>
          <w:rFonts w:ascii="Times New Roman" w:hAnsi="Times New Roman" w:eastAsia="仿宋_GB2312"/>
          <w:sz w:val="32"/>
          <w:szCs w:val="32"/>
        </w:rPr>
        <w:t>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本部分应当在括号中列出</w:t>
      </w:r>
      <w:r>
        <w:rPr>
          <w:rFonts w:ascii="Times New Roman" w:hAnsi="Times New Roman" w:eastAsia="仿宋_GB2312"/>
          <w:sz w:val="32"/>
          <w:szCs w:val="32"/>
        </w:rPr>
        <w:t>。</w:t>
      </w:r>
    </w:p>
    <w:p w14:paraId="1C35424F">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2.分类依据</w:t>
      </w:r>
    </w:p>
    <w:p w14:paraId="7B40AB33">
      <w:pPr>
        <w:adjustRightInd w:val="0"/>
        <w:snapToGrid w:val="0"/>
        <w:spacing w:line="520" w:lineRule="exact"/>
        <w:ind w:firstLine="640"/>
        <w:rPr>
          <w:rFonts w:ascii="Times New Roman" w:hAnsi="Times New Roman" w:eastAsia="仿宋_GB2312"/>
          <w:sz w:val="32"/>
          <w:szCs w:val="32"/>
        </w:rPr>
      </w:pPr>
      <w:r>
        <w:rPr>
          <w:rFonts w:hint="eastAsia" w:ascii="Times New Roman" w:hAnsi="Times New Roman" w:eastAsia="仿宋_GB2312"/>
          <w:sz w:val="32"/>
          <w:szCs w:val="32"/>
        </w:rPr>
        <w:t>根据《体外诊断试剂分类规则》《体外诊断试剂分类目录》，该产品按照第二类体外诊断试剂管理，</w:t>
      </w:r>
      <w:r>
        <w:rPr>
          <w:rFonts w:hint="eastAsia" w:ascii="Times New Roman" w:hAnsi="Times New Roman" w:eastAsia="仿宋_GB2312"/>
          <w:sz w:val="32"/>
          <w:szCs w:val="32"/>
          <w:highlight w:val="none"/>
        </w:rPr>
        <w:t>分类编码为6840</w:t>
      </w:r>
      <w:r>
        <w:rPr>
          <w:rFonts w:hint="eastAsia" w:ascii="Times New Roman" w:hAnsi="Times New Roman" w:eastAsia="仿宋_GB2312"/>
          <w:sz w:val="32"/>
          <w:szCs w:val="32"/>
          <w:highlight w:val="none"/>
          <w:lang w:val="en-US" w:eastAsia="zh-CN"/>
        </w:rPr>
        <w:t>-11-11019</w:t>
      </w:r>
      <w:r>
        <w:rPr>
          <w:rFonts w:hint="eastAsia" w:ascii="Times New Roman" w:hAnsi="Times New Roman" w:eastAsia="仿宋_GB2312"/>
          <w:sz w:val="32"/>
          <w:szCs w:val="32"/>
          <w:highlight w:val="none"/>
        </w:rPr>
        <w:t>。</w:t>
      </w:r>
    </w:p>
    <w:p w14:paraId="06972463">
      <w:pPr>
        <w:adjustRightInd w:val="0"/>
        <w:snapToGrid w:val="0"/>
        <w:spacing w:line="520" w:lineRule="exact"/>
        <w:ind w:firstLine="640"/>
        <w:rPr>
          <w:rFonts w:ascii="Times New Roman" w:hAnsi="Times New Roman" w:eastAsia="仿宋_GB2312"/>
          <w:sz w:val="32"/>
          <w:szCs w:val="32"/>
        </w:rPr>
      </w:pPr>
      <w:r>
        <w:rPr>
          <w:rFonts w:ascii="Times New Roman" w:hAnsi="Times New Roman" w:eastAsia="仿宋_GB2312"/>
          <w:sz w:val="32"/>
          <w:szCs w:val="32"/>
        </w:rPr>
        <w:t>3.其他信息还包括产品列表、关联文件、申报前与监管机构的联系情况和沟通记录以及符合性声明等文件。</w:t>
      </w:r>
    </w:p>
    <w:p w14:paraId="79CDA523">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（二）</w:t>
      </w:r>
      <w:r>
        <w:rPr>
          <w:rFonts w:ascii="Times New Roman" w:hAnsi="Times New Roman" w:eastAsia="楷体"/>
          <w:kern w:val="0"/>
          <w:sz w:val="32"/>
          <w:szCs w:val="32"/>
        </w:rPr>
        <w:t>综述资料</w:t>
      </w:r>
    </w:p>
    <w:p w14:paraId="26CF1C04">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32"/>
        </w:rPr>
        <w:t>应按《体外诊断试剂注册申报资料要求及说明》的要求提交概述、产品描述、预期用途、申报产品上市历史等资料。其中，需注意以下内容：</w:t>
      </w:r>
    </w:p>
    <w:p w14:paraId="330FB34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28"/>
        </w:rPr>
        <w:t>1.</w:t>
      </w:r>
      <w:r>
        <w:rPr>
          <w:rFonts w:ascii="Times New Roman" w:hAnsi="Times New Roman" w:eastAsia="仿宋_GB2312"/>
          <w:sz w:val="32"/>
        </w:rPr>
        <w:t>概述</w:t>
      </w:r>
    </w:p>
    <w:p w14:paraId="0C9576E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应描述</w:t>
      </w:r>
      <w:r>
        <w:rPr>
          <w:rFonts w:hint="eastAsia" w:ascii="Times New Roman" w:hAnsi="Times New Roman" w:eastAsia="仿宋_GB2312"/>
          <w:sz w:val="32"/>
          <w:szCs w:val="28"/>
        </w:rPr>
        <w:t>脂肪</w:t>
      </w:r>
      <w:r>
        <w:rPr>
          <w:rFonts w:hint="eastAsia" w:ascii="Times New Roman" w:hAnsi="Times New Roman" w:eastAsia="仿宋_GB2312"/>
          <w:sz w:val="32"/>
          <w:szCs w:val="32"/>
        </w:rPr>
        <w:t>酶</w:t>
      </w:r>
      <w:r>
        <w:rPr>
          <w:rFonts w:ascii="Times New Roman" w:hAnsi="Times New Roman" w:eastAsia="仿宋_GB2312"/>
          <w:kern w:val="0"/>
          <w:sz w:val="32"/>
          <w:szCs w:val="32"/>
        </w:rPr>
        <w:t>测定</w:t>
      </w:r>
      <w:r>
        <w:rPr>
          <w:rFonts w:ascii="Times New Roman" w:hAnsi="Times New Roman" w:eastAsia="仿宋_GB2312"/>
          <w:bCs/>
          <w:sz w:val="32"/>
          <w:szCs w:val="32"/>
        </w:rPr>
        <w:t>试剂</w:t>
      </w:r>
      <w:r>
        <w:rPr>
          <w:rFonts w:ascii="Times New Roman" w:hAnsi="Times New Roman" w:eastAsia="仿宋_GB2312"/>
          <w:sz w:val="32"/>
        </w:rPr>
        <w:t>名称及其确定依据；</w:t>
      </w:r>
      <w:r>
        <w:rPr>
          <w:rFonts w:hint="eastAsia" w:ascii="Times New Roman" w:hAnsi="Times New Roman" w:eastAsia="仿宋_GB2312"/>
          <w:sz w:val="32"/>
          <w:szCs w:val="32"/>
        </w:rPr>
        <w:t>描述申报产品管理类别及分类编码</w:t>
      </w:r>
      <w:r>
        <w:rPr>
          <w:rFonts w:ascii="Times New Roman" w:hAnsi="Times New Roman" w:eastAsia="仿宋_GB2312"/>
          <w:sz w:val="32"/>
        </w:rPr>
        <w:t>；描述申报产品预期用途；描述有关申报产品的背景信息概述或特别细节（如适用），如申报产品的历史概述、历次提交的信息，与其他经批准上市产品的关系等。</w:t>
      </w:r>
    </w:p>
    <w:p w14:paraId="2A6609CE">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2.产品描述</w:t>
      </w:r>
    </w:p>
    <w:p w14:paraId="6BDF055D">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2.1产品综述</w:t>
      </w:r>
    </w:p>
    <w:p w14:paraId="22672343">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描述产品所采用的技术原理，产品组成，原材料的来源及制备方法，主要生产工艺，检验方法，质控品的制备方法及赋值情况，如产品检测需要进行校准，应描述校准品的制备方法及溯源情况。</w:t>
      </w:r>
    </w:p>
    <w:p w14:paraId="5AE01DCC">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描述产品主要研究结果的总结和评价，包括分析性能评估、参考区间、稳定性以及临床评价等。</w:t>
      </w:r>
    </w:p>
    <w:p w14:paraId="72527C4A">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描述不同包装规格之间的差异。</w:t>
      </w:r>
    </w:p>
    <w:p w14:paraId="580A8842">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描述产品中使用的生物材料或衍生物（如适用），包括生物学来源（如人、动物、病原体、重组或发酵产物）和组织来源（如血液）的描述。人源性材料须对有关传染病（HIV、HBV、HCV等）病原体测定予以说明；其他动物源及微生物来源的材料，应当说明其在产品运输、使用过程中对使用者和环境是安全的，并提供相关的证明文件。</w:t>
      </w:r>
    </w:p>
    <w:p w14:paraId="21D08C07">
      <w:pPr>
        <w:spacing w:line="520" w:lineRule="exact"/>
        <w:ind w:firstLine="640" w:firstLineChars="200"/>
        <w:rPr>
          <w:rFonts w:ascii="Times New Roman" w:hAnsi="Times New Roman" w:eastAsia="仿宋_GB2312"/>
          <w:sz w:val="32"/>
        </w:rPr>
      </w:pPr>
      <w:r>
        <w:rPr>
          <w:rFonts w:ascii="Times New Roman" w:hAnsi="Times New Roman" w:eastAsia="仿宋_GB2312"/>
          <w:sz w:val="32"/>
          <w:szCs w:val="32"/>
        </w:rPr>
        <w:t>2.2</w:t>
      </w:r>
      <w:r>
        <w:rPr>
          <w:rFonts w:ascii="Times New Roman" w:hAnsi="Times New Roman" w:eastAsia="仿宋_GB2312"/>
          <w:sz w:val="32"/>
        </w:rPr>
        <w:t>包装描述</w:t>
      </w:r>
    </w:p>
    <w:p w14:paraId="1CF8C205">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提供有关产品包装信息，包括包装形状和材料等。</w:t>
      </w:r>
    </w:p>
    <w:p w14:paraId="07F45BA8">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rPr>
        <w:t>2.3</w:t>
      </w:r>
      <w:r>
        <w:rPr>
          <w:rFonts w:ascii="Times New Roman" w:hAnsi="Times New Roman" w:eastAsia="仿宋_GB2312"/>
          <w:kern w:val="0"/>
          <w:sz w:val="32"/>
          <w:szCs w:val="32"/>
        </w:rPr>
        <w:t>研发历程</w:t>
      </w:r>
    </w:p>
    <w:p w14:paraId="0423AC95">
      <w:pPr>
        <w:spacing w:line="520" w:lineRule="exact"/>
        <w:ind w:firstLine="640" w:firstLineChars="200"/>
        <w:rPr>
          <w:rFonts w:ascii="Times New Roman" w:hAnsi="Times New Roman" w:eastAsia="仿宋_GB2312"/>
          <w:sz w:val="32"/>
        </w:rPr>
      </w:pPr>
      <w:r>
        <w:rPr>
          <w:rFonts w:ascii="Times New Roman" w:hAnsi="Times New Roman" w:eastAsia="仿宋_GB2312"/>
          <w:sz w:val="32"/>
        </w:rPr>
        <w:t>阐述申请注册产品的研发背景和目的。如有参考的同类产品或前代产品，应当提供同类产品和/或前代产品的信息，并说明选择其作为研发参考的原因。</w:t>
      </w:r>
    </w:p>
    <w:p w14:paraId="3F17C6EF">
      <w:pPr>
        <w:spacing w:line="520" w:lineRule="exact"/>
        <w:ind w:firstLine="640" w:firstLineChars="200"/>
        <w:rPr>
          <w:rFonts w:ascii="Times New Roman" w:hAnsi="Times New Roman" w:eastAsia="仿宋_GB2312"/>
          <w:sz w:val="32"/>
        </w:rPr>
      </w:pPr>
      <w:r>
        <w:rPr>
          <w:rFonts w:ascii="Times New Roman" w:hAnsi="Times New Roman" w:eastAsia="仿宋_GB2312"/>
          <w:sz w:val="32"/>
        </w:rPr>
        <w:t>2.4</w:t>
      </w:r>
      <w:r>
        <w:rPr>
          <w:rFonts w:ascii="Times New Roman" w:hAnsi="Times New Roman" w:eastAsia="仿宋_GB2312"/>
          <w:sz w:val="32"/>
          <w:szCs w:val="32"/>
        </w:rPr>
        <w:t>与同类和/或前代产品的比较</w:t>
      </w:r>
    </w:p>
    <w:p w14:paraId="4ACE1A7E">
      <w:pPr>
        <w:spacing w:line="520" w:lineRule="exact"/>
        <w:ind w:firstLine="640" w:firstLineChars="200"/>
        <w:rPr>
          <w:rFonts w:ascii="Times New Roman" w:hAnsi="Times New Roman" w:eastAsia="仿宋_GB2312"/>
          <w:sz w:val="32"/>
        </w:rPr>
      </w:pPr>
      <w:r>
        <w:rPr>
          <w:rFonts w:ascii="Times New Roman" w:hAnsi="Times New Roman" w:eastAsia="仿宋_GB2312"/>
          <w:sz w:val="32"/>
        </w:rPr>
        <w:t>境内、外已有同类产品和/或前代产品上市，申请人应提供其产品名称、生产企业、注册情况，并列表比较申报产品与同类产品和/或前代产品在技术原理、预期用途、使用方法、性能指标、临床应用情况等方面的异同。</w:t>
      </w:r>
    </w:p>
    <w:p w14:paraId="708D2A3B">
      <w:pPr>
        <w:spacing w:line="520" w:lineRule="exact"/>
        <w:ind w:firstLine="640" w:firstLineChars="200"/>
        <w:rPr>
          <w:rFonts w:ascii="Times New Roman" w:hAnsi="Times New Roman" w:eastAsia="仿宋_GB2312"/>
          <w:sz w:val="32"/>
        </w:rPr>
      </w:pPr>
      <w:r>
        <w:rPr>
          <w:rFonts w:ascii="Times New Roman" w:hAnsi="Times New Roman" w:eastAsia="仿宋_GB2312"/>
          <w:sz w:val="32"/>
        </w:rPr>
        <w:t>3.预期用途</w:t>
      </w:r>
    </w:p>
    <w:p w14:paraId="5388E7F6">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3.1预期用途</w:t>
      </w:r>
    </w:p>
    <w:p w14:paraId="566BAB96">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rPr>
        <w:t>说明产品用于体外定量测定人体样本中脂肪酶的活性，</w:t>
      </w:r>
      <w:r>
        <w:rPr>
          <w:rFonts w:ascii="Times New Roman" w:hAnsi="Times New Roman" w:eastAsia="仿宋_GB2312"/>
          <w:bCs/>
          <w:sz w:val="32"/>
          <w:szCs w:val="32"/>
        </w:rPr>
        <w:t>应明确具体的样本类型如血清、血浆等，</w:t>
      </w:r>
      <w:r>
        <w:rPr>
          <w:rFonts w:ascii="Times New Roman" w:hAnsi="Times New Roman" w:eastAsia="仿宋_GB2312"/>
          <w:sz w:val="32"/>
        </w:rPr>
        <w:t>应提供该产品适用仪器、使用方法、样本采集及保存装置和/或添加剂（如抗凝剂</w:t>
      </w:r>
      <w:r>
        <w:rPr>
          <w:rFonts w:ascii="Times New Roman" w:hAnsi="Times New Roman" w:eastAsia="仿宋_GB2312"/>
          <w:spacing w:val="-1"/>
          <w:sz w:val="32"/>
          <w:szCs w:val="32"/>
          <w:lang w:bidi="ar"/>
        </w:rPr>
        <w:t>、保护剂</w:t>
      </w:r>
      <w:r>
        <w:rPr>
          <w:rFonts w:ascii="Times New Roman" w:hAnsi="Times New Roman" w:eastAsia="仿宋_GB2312"/>
          <w:sz w:val="32"/>
        </w:rPr>
        <w:t>）等信息。</w:t>
      </w:r>
      <w:r>
        <w:rPr>
          <w:rFonts w:ascii="Times New Roman" w:hAnsi="Times New Roman" w:eastAsia="仿宋_GB2312"/>
          <w:bCs/>
          <w:sz w:val="32"/>
          <w:szCs w:val="32"/>
        </w:rPr>
        <w:t>适用的样本类型应结合实际的分析性能研究及临床研究情况进行确认。</w:t>
      </w:r>
    </w:p>
    <w:p w14:paraId="497956BF">
      <w:pPr>
        <w:spacing w:line="520" w:lineRule="exact"/>
        <w:ind w:firstLine="640" w:firstLineChars="200"/>
        <w:rPr>
          <w:rFonts w:ascii="Times New Roman" w:hAnsi="Times New Roman" w:eastAsia="仿宋_GB2312"/>
          <w:sz w:val="32"/>
        </w:rPr>
      </w:pPr>
      <w:r>
        <w:rPr>
          <w:rFonts w:ascii="Times New Roman" w:hAnsi="Times New Roman" w:eastAsia="仿宋_GB2312"/>
          <w:sz w:val="32"/>
        </w:rPr>
        <w:t>3.2临床适应证</w:t>
      </w:r>
    </w:p>
    <w:p w14:paraId="0F61CE71">
      <w:pPr>
        <w:spacing w:line="520" w:lineRule="exact"/>
        <w:ind w:firstLine="640" w:firstLineChars="200"/>
        <w:rPr>
          <w:rFonts w:ascii="Times New Roman" w:hAnsi="Times New Roman" w:eastAsia="仿宋_GB2312"/>
          <w:sz w:val="32"/>
        </w:rPr>
      </w:pPr>
      <w:r>
        <w:rPr>
          <w:rFonts w:ascii="Times New Roman" w:hAnsi="Times New Roman" w:eastAsia="仿宋_GB2312"/>
          <w:sz w:val="32"/>
        </w:rPr>
        <w:t>临床适应证的发生率、易感人群、分析物的详细介绍及与临床适应证的关系，相关的临床或实验室诊断方法。</w:t>
      </w:r>
    </w:p>
    <w:p w14:paraId="74BBE301">
      <w:pPr>
        <w:spacing w:line="520" w:lineRule="exact"/>
        <w:ind w:firstLine="640" w:firstLineChars="200"/>
        <w:rPr>
          <w:rFonts w:ascii="Times New Roman" w:hAnsi="Times New Roman" w:eastAsia="仿宋_GB2312"/>
          <w:sz w:val="32"/>
        </w:rPr>
      </w:pPr>
      <w:bookmarkStart w:id="1" w:name="OLE_LINK1"/>
      <w:r>
        <w:rPr>
          <w:rFonts w:ascii="Times New Roman" w:hAnsi="Times New Roman" w:eastAsia="仿宋_GB2312"/>
          <w:sz w:val="32"/>
        </w:rPr>
        <w:t>如：</w:t>
      </w:r>
      <w:bookmarkEnd w:id="1"/>
      <w:r>
        <w:rPr>
          <w:rFonts w:ascii="Times New Roman" w:hAnsi="Times New Roman" w:eastAsia="仿宋_GB2312"/>
          <w:sz w:val="32"/>
        </w:rPr>
        <w:t>脂肪</w:t>
      </w:r>
      <w:r>
        <w:rPr>
          <w:rFonts w:hint="eastAsia" w:ascii="Times New Roman" w:hAnsi="Times New Roman" w:eastAsia="仿宋_GB2312"/>
          <w:sz w:val="32"/>
        </w:rPr>
        <w:t>酶（LPS）是一组催化长链脂肪酸甘油酯水解的酶。血清LPS</w:t>
      </w:r>
      <w:r>
        <w:rPr>
          <w:rFonts w:hint="eastAsia" w:ascii="Times New Roman" w:hAnsi="Times New Roman" w:eastAsia="仿宋_GB2312"/>
          <w:sz w:val="32"/>
          <w:lang w:val="en-US" w:eastAsia="zh-CN"/>
        </w:rPr>
        <w:t>主</w:t>
      </w:r>
      <w:r>
        <w:rPr>
          <w:rFonts w:hint="eastAsia" w:ascii="Times New Roman" w:hAnsi="Times New Roman" w:eastAsia="仿宋_GB2312"/>
          <w:sz w:val="32"/>
        </w:rPr>
        <w:t>要来源于胰腺，少量来自胃肠</w:t>
      </w:r>
      <w:r>
        <w:rPr>
          <w:rFonts w:hint="eastAsia" w:ascii="Times New Roman" w:hAnsi="Times New Roman" w:eastAsia="仿宋_GB2312"/>
          <w:sz w:val="32"/>
          <w:lang w:val="en-US" w:eastAsia="zh-CN"/>
        </w:rPr>
        <w:t>黏</w:t>
      </w:r>
      <w:r>
        <w:rPr>
          <w:rFonts w:hint="eastAsia" w:ascii="Times New Roman" w:hAnsi="Times New Roman" w:eastAsia="仿宋_GB2312"/>
          <w:sz w:val="32"/>
        </w:rPr>
        <w:t>膜。急性胰腺炎时血清LPS升高时间早、幅度大、持续时间长，诊断敏感性和特异性</w:t>
      </w:r>
      <w:r>
        <w:rPr>
          <w:rFonts w:hint="eastAsia" w:ascii="Times New Roman" w:hAnsi="Times New Roman" w:eastAsia="仿宋_GB2312"/>
          <w:sz w:val="32"/>
          <w:lang w:val="en-US" w:eastAsia="zh-CN"/>
        </w:rPr>
        <w:t>优</w:t>
      </w:r>
      <w:r>
        <w:rPr>
          <w:rFonts w:hint="eastAsia" w:ascii="Times New Roman" w:hAnsi="Times New Roman" w:eastAsia="仿宋_GB2312"/>
          <w:sz w:val="32"/>
        </w:rPr>
        <w:t>于血清淀粉酶，尤其在急性胰腺炎与其他急腹症（如胃肠穿孔、肠梗阻等）的鉴别诊断中有重要价值。酗酒、慢性胰腺炎、胰腺癌、肝脏疾患等血清LPS可有不同程度升高。临床上用于急性胰腺炎的辅助诊断。</w:t>
      </w:r>
    </w:p>
    <w:p w14:paraId="6435A058">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3.3适用人群</w:t>
      </w:r>
    </w:p>
    <w:p w14:paraId="3108E0EB">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目标患者/人群的信息，对于适用人群包含亚群、儿童或新生儿的情况，应进行明确。</w:t>
      </w:r>
    </w:p>
    <w:p w14:paraId="3A67128A">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3.4预期使用者</w:t>
      </w:r>
    </w:p>
    <w:p w14:paraId="421FFB30">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使用者为经过专业培训的医务人员或实验室专业技术人员。</w:t>
      </w:r>
    </w:p>
    <w:p w14:paraId="75C730C6">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3.5预期使用环境</w:t>
      </w:r>
    </w:p>
    <w:p w14:paraId="271E6FD9">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预期使用地点为医学检验实验室或医院、医疗/临床实验室，其检测过程中的环境条件应符合适用仪器正常工作环境条件，并且试剂储存需满足说明书规定的储存条件及有效期。</w:t>
      </w:r>
    </w:p>
    <w:p w14:paraId="3016868D">
      <w:pPr>
        <w:spacing w:line="520" w:lineRule="exact"/>
        <w:ind w:firstLine="640" w:firstLineChars="200"/>
        <w:rPr>
          <w:rFonts w:ascii="Times New Roman" w:hAnsi="Times New Roman" w:eastAsia="仿宋_GB2312"/>
          <w:sz w:val="32"/>
        </w:rPr>
      </w:pPr>
      <w:r>
        <w:rPr>
          <w:rFonts w:ascii="Times New Roman" w:hAnsi="Times New Roman" w:eastAsia="仿宋_GB2312"/>
          <w:sz w:val="32"/>
          <w:szCs w:val="28"/>
        </w:rPr>
        <w:t>4.提供</w:t>
      </w:r>
      <w:r>
        <w:rPr>
          <w:rFonts w:ascii="Times New Roman" w:hAnsi="Times New Roman" w:eastAsia="仿宋_GB2312"/>
          <w:sz w:val="32"/>
        </w:rPr>
        <w:t>申报产品上市历史情况（如适用）</w:t>
      </w:r>
    </w:p>
    <w:p w14:paraId="1D46D763">
      <w:pPr>
        <w:spacing w:line="520" w:lineRule="exact"/>
        <w:ind w:firstLine="640" w:firstLineChars="200"/>
        <w:rPr>
          <w:rFonts w:hint="default" w:ascii="Times New Roman" w:hAnsi="Times New Roman" w:eastAsia="仿宋_GB2312"/>
          <w:sz w:val="32"/>
          <w:szCs w:val="28"/>
          <w:lang w:val="en-US" w:eastAsia="zh-CN"/>
        </w:rPr>
      </w:pPr>
      <w:r>
        <w:rPr>
          <w:rFonts w:ascii="Times New Roman" w:hAnsi="Times New Roman" w:eastAsia="仿宋_GB2312"/>
          <w:sz w:val="32"/>
          <w:szCs w:val="28"/>
        </w:rPr>
        <w:t>5.其他</w:t>
      </w:r>
      <w:r>
        <w:rPr>
          <w:rFonts w:hint="eastAsia" w:ascii="Times New Roman" w:hAnsi="Times New Roman" w:eastAsia="仿宋_GB2312"/>
          <w:sz w:val="32"/>
          <w:szCs w:val="28"/>
          <w:lang w:val="en-US" w:eastAsia="zh-CN"/>
        </w:rPr>
        <w:t>需说明的内容</w:t>
      </w:r>
    </w:p>
    <w:p w14:paraId="3E112821">
      <w:pPr>
        <w:spacing w:line="52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除申报产品外，还需提供检测系统的其他组成部分，适用时包括但不限于：样本处理用试剂、适用仪器、质控品、校准品、独立软件等基本信息，及其在检测中发挥的作用，必要时应提交相应的说明书。</w:t>
      </w:r>
    </w:p>
    <w:p w14:paraId="3769AB2A">
      <w:pPr>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对于已获得批准的检测系统的其他组成部分，应当提供注册证编号和国家药监局官方网站公布的注册证信息。</w:t>
      </w:r>
    </w:p>
    <w:p w14:paraId="60E40034">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（三）</w:t>
      </w:r>
      <w:r>
        <w:rPr>
          <w:rFonts w:ascii="Times New Roman" w:hAnsi="Times New Roman" w:eastAsia="楷体"/>
          <w:kern w:val="0"/>
          <w:sz w:val="32"/>
          <w:szCs w:val="32"/>
        </w:rPr>
        <w:t>非临床资料</w:t>
      </w:r>
    </w:p>
    <w:p w14:paraId="15800D34">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rPr>
        <w:t>1.产品风险管理资料</w:t>
      </w:r>
    </w:p>
    <w:p w14:paraId="5439526A">
      <w:pPr>
        <w:snapToGrid w:val="0"/>
        <w:spacing w:line="520" w:lineRule="exact"/>
        <w:ind w:firstLine="640" w:firstLineChars="200"/>
        <w:rPr>
          <w:rFonts w:ascii="Times New Roman" w:hAnsi="Times New Roman" w:eastAsia="仿宋_GB2312"/>
          <w:sz w:val="32"/>
          <w:szCs w:val="28"/>
        </w:rPr>
      </w:pPr>
      <w:r>
        <w:rPr>
          <w:rFonts w:eastAsia="仿宋_GB2312"/>
          <w:sz w:val="32"/>
          <w:szCs w:val="32"/>
        </w:rPr>
        <w:t>风险管理资料应符合</w:t>
      </w:r>
      <w:r>
        <w:rPr>
          <w:rFonts w:hint="default" w:ascii="Times New Roman" w:hAnsi="Times New Roman" w:eastAsia="仿宋_GB2312" w:cs="Times New Roman"/>
          <w:sz w:val="32"/>
          <w:szCs w:val="32"/>
        </w:rPr>
        <w:t>GB/T 42062</w:t>
      </w:r>
      <w:r>
        <w:rPr>
          <w:rFonts w:eastAsia="仿宋_GB2312"/>
          <w:sz w:val="32"/>
          <w:szCs w:val="32"/>
        </w:rPr>
        <w:t>《医疗器械 风险管理对医疗器械的应用》的要求。</w:t>
      </w:r>
      <w:r>
        <w:rPr>
          <w:rFonts w:ascii="Times New Roman" w:hAnsi="Times New Roman" w:eastAsia="仿宋_GB2312"/>
          <w:sz w:val="32"/>
          <w:szCs w:val="32"/>
        </w:rPr>
        <w:t>申请人应考虑产品全生命周期中的各个环节，从预期用途、可能的使用错误、与安全性有关的特征、已知及可预见的危害等方面进行风险分析、风险评价和风险控制，</w:t>
      </w:r>
      <w:r>
        <w:rPr>
          <w:rFonts w:hint="eastAsia" w:ascii="Times New Roman" w:hAnsi="Times New Roman" w:eastAsia="仿宋_GB2312"/>
          <w:sz w:val="32"/>
          <w:szCs w:val="32"/>
        </w:rPr>
        <w:t>与产品受益相比，综合评价产品风险可接受程度</w:t>
      </w:r>
      <w:r>
        <w:rPr>
          <w:rFonts w:ascii="Times New Roman" w:hAnsi="Times New Roman" w:eastAsia="仿宋_GB2312"/>
          <w:sz w:val="32"/>
          <w:szCs w:val="32"/>
        </w:rPr>
        <w:t>，形成风险管理资料。</w:t>
      </w:r>
    </w:p>
    <w:p w14:paraId="1707A4F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2.体外诊断试剂安全和性能基本原则清单</w:t>
      </w:r>
    </w:p>
    <w:p w14:paraId="5A5321D5">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产品应符合《体外诊断试剂安全和性能基本原则清单》各项适用要求所采用的方法，以及证明其符合性的文件。对于其中不适用的各项要求，应当说明理由。</w:t>
      </w:r>
    </w:p>
    <w:p w14:paraId="0CA8CC2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14:paraId="7792D51B">
      <w:pPr>
        <w:widowControl/>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3.产品技术要求及检验报告</w:t>
      </w:r>
    </w:p>
    <w:p w14:paraId="6021EFB9">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3.1</w:t>
      </w:r>
      <w:r>
        <w:rPr>
          <w:rFonts w:ascii="Times New Roman" w:hAnsi="Times New Roman" w:eastAsia="仿宋_GB2312"/>
          <w:kern w:val="0"/>
          <w:sz w:val="32"/>
          <w:szCs w:val="32"/>
        </w:rPr>
        <w:t>产品技术要求</w:t>
      </w:r>
    </w:p>
    <w:p w14:paraId="39A4B1C3">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申请人应当在原材料质量和生产工艺稳定的前提下，根据产品研制、前期临床评价等结果，依据国家标准</w:t>
      </w:r>
      <w:r>
        <w:rPr>
          <w:rFonts w:hint="eastAsia" w:ascii="Times New Roman" w:hAnsi="Times New Roman" w:eastAsia="仿宋_GB2312"/>
          <w:kern w:val="0"/>
          <w:sz w:val="32"/>
          <w:szCs w:val="32"/>
        </w:rPr>
        <w:t>、</w:t>
      </w:r>
      <w:r>
        <w:rPr>
          <w:rFonts w:ascii="Times New Roman" w:hAnsi="Times New Roman" w:eastAsia="仿宋_GB2312"/>
          <w:kern w:val="0"/>
          <w:sz w:val="32"/>
          <w:szCs w:val="32"/>
        </w:rPr>
        <w:t>行业标准及有关文献，按照《医疗器械产品技术要求编写指导原则》的有关要求进行产品技术要求编写。主要包括以下性能指标：外观、装量、准确度、线性、精密度</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重复性、批间差</w:t>
      </w:r>
      <w:r>
        <w:rPr>
          <w:rFonts w:hint="eastAsia" w:ascii="Times New Roman" w:hAnsi="Times New Roman" w:eastAsia="仿宋_GB2312"/>
          <w:kern w:val="0"/>
          <w:sz w:val="32"/>
          <w:szCs w:val="32"/>
          <w:lang w:eastAsia="zh-CN"/>
        </w:rPr>
        <w:t>）</w:t>
      </w:r>
      <w:r>
        <w:rPr>
          <w:rFonts w:ascii="Times New Roman" w:hAnsi="Times New Roman" w:eastAsia="仿宋_GB2312"/>
          <w:kern w:val="0"/>
          <w:sz w:val="32"/>
          <w:szCs w:val="32"/>
        </w:rPr>
        <w:t>、</w:t>
      </w:r>
      <w:r>
        <w:rPr>
          <w:rFonts w:hint="eastAsia" w:ascii="Times New Roman" w:hAnsi="Times New Roman" w:eastAsia="仿宋_GB2312"/>
          <w:kern w:val="0"/>
          <w:sz w:val="32"/>
          <w:szCs w:val="32"/>
        </w:rPr>
        <w:t>试剂空白</w:t>
      </w:r>
      <w:r>
        <w:rPr>
          <w:rFonts w:ascii="Times New Roman" w:hAnsi="Times New Roman" w:eastAsia="仿宋_GB2312"/>
          <w:kern w:val="0"/>
          <w:sz w:val="32"/>
          <w:szCs w:val="32"/>
        </w:rPr>
        <w:t>、分析灵敏度等。</w:t>
      </w:r>
      <w:r>
        <w:rPr>
          <w:rFonts w:hint="eastAsia" w:ascii="Times New Roman" w:hAnsi="Times New Roman" w:eastAsia="仿宋_GB2312"/>
          <w:sz w:val="32"/>
          <w:szCs w:val="32"/>
          <w:highlight w:val="none"/>
        </w:rPr>
        <w:t>如注册单元中包含校准品和/或质控品，至少包含校准品的均匀性等，质控品的可接受区间/值、均匀性等。</w:t>
      </w:r>
      <w:r>
        <w:rPr>
          <w:rFonts w:hint="default" w:ascii="Times New Roman" w:hAnsi="Times New Roman" w:eastAsia="仿宋_GB2312" w:cs="Times New Roman"/>
          <w:sz w:val="32"/>
          <w:szCs w:val="32"/>
          <w:highlight w:val="none"/>
        </w:rPr>
        <w:t>具体产品的性能指标需结合方法学本身特性，确定其性能指标或者提供此指标不适用的说明。</w:t>
      </w:r>
      <w:bookmarkStart w:id="2" w:name="_GoBack"/>
      <w:bookmarkEnd w:id="2"/>
    </w:p>
    <w:p w14:paraId="7C7B1427">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产品的检验方法需根据技术性能指标设定，</w:t>
      </w:r>
      <w:r>
        <w:rPr>
          <w:rFonts w:ascii="Times New Roman" w:hAnsi="Times New Roman" w:eastAsia="仿宋_GB2312"/>
          <w:kern w:val="0"/>
          <w:sz w:val="32"/>
          <w:szCs w:val="32"/>
        </w:rPr>
        <w:t>应优先考虑采用适用的已建立标准方法的检验方法，必要时，应当进行方法学验证，以确保检验方法的可重现性和可操作性。</w:t>
      </w:r>
    </w:p>
    <w:p w14:paraId="6DEBB6F5">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3.2产品检验报告</w:t>
      </w:r>
    </w:p>
    <w:p w14:paraId="3AD1A8D6">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14:paraId="0975B3F6">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3.2.1申请人出具的自检报告。</w:t>
      </w:r>
    </w:p>
    <w:p w14:paraId="5CFC0C33">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3.2.2委托有资质的医疗器械检验机构出具的检验报告。</w:t>
      </w:r>
    </w:p>
    <w:p w14:paraId="69AA5B21">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如产品提交自检报告，还需按照《医疗器械注册自检管理规定》的要求提交相应资料。</w:t>
      </w:r>
    </w:p>
    <w:p w14:paraId="42B39255">
      <w:pPr>
        <w:adjustRightInd w:val="0"/>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28"/>
        </w:rPr>
        <w:t>4.</w:t>
      </w:r>
      <w:r>
        <w:rPr>
          <w:rFonts w:ascii="Times New Roman" w:hAnsi="Times New Roman" w:eastAsia="仿宋_GB2312"/>
          <w:sz w:val="32"/>
          <w:szCs w:val="32"/>
        </w:rPr>
        <w:t>分析性能</w:t>
      </w:r>
      <w:r>
        <w:rPr>
          <w:rFonts w:hint="eastAsia" w:ascii="Times New Roman" w:hAnsi="Times New Roman" w:eastAsia="仿宋_GB2312"/>
          <w:sz w:val="32"/>
          <w:szCs w:val="32"/>
        </w:rPr>
        <w:t>研究</w:t>
      </w:r>
    </w:p>
    <w:p w14:paraId="425FBF80">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申请人应当在原材料和生产工艺经过选择和确认、质量管理体系得到有效控制并且保证产品质量稳定的基础上，应采用多批产品进行产品的分析性能评估。</w:t>
      </w:r>
    </w:p>
    <w:p w14:paraId="66ECE4C4">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分析性能评估主要包括样本稳定性、适用的样本类型、校准品的量值溯源和质控品的赋值（如适用）、正确度、精密度、空白限、检出限及定量限、分析特异性、测量区间及可报告区间、空白吸光度、分析灵敏度等项目的研究资料。如申报产品适用不同的机型，需要提交在不同机型上进行评估的资料。如申报产品包含不同的包装规格，需要对各包装规格进行分析或验证。建议申请人依据《定量检测体外诊断试剂分析性能评估指导原则》以及国内外有关体外诊断产品分析性能评估的文件开展研究。</w:t>
      </w:r>
    </w:p>
    <w:p w14:paraId="1CB2D5B7">
      <w:pPr>
        <w:autoSpaceDE w:val="0"/>
        <w:spacing w:line="52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对于本试剂，建议着重对以下性能进行研究</w:t>
      </w:r>
      <w:r>
        <w:rPr>
          <w:rFonts w:hint="eastAsia" w:ascii="Times New Roman" w:hAnsi="Times New Roman" w:eastAsia="仿宋_GB2312"/>
          <w:sz w:val="32"/>
          <w:szCs w:val="32"/>
          <w:lang w:eastAsia="zh-CN"/>
        </w:rPr>
        <w:t>：</w:t>
      </w:r>
    </w:p>
    <w:p w14:paraId="2D49425C">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4.1样本稳定性</w:t>
      </w:r>
    </w:p>
    <w:p w14:paraId="70D9F3C8">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应充分考虑实际使用过程中样本采集、处理、运输及保存等各个阶段的条件，对不同类型样本的稳定性分别进行评价并提交研究资料。包括建议的保存条件（如温度范围、是否需要避光等）、添加剂（如抗凝剂等）和运输条件（如涉及）等。对于冷冻保存的样本还应对冻融次数进行评价。</w:t>
      </w:r>
    </w:p>
    <w:p w14:paraId="2379D5AF">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4.2适用的样本类型</w:t>
      </w:r>
    </w:p>
    <w:p w14:paraId="574207E9">
      <w:pPr>
        <w:spacing w:line="520" w:lineRule="exact"/>
        <w:ind w:firstLine="640" w:firstLineChars="200"/>
        <w:rPr>
          <w:rFonts w:ascii="Times New Roman" w:hAnsi="Times New Roman" w:eastAsia="仿宋_GB2312"/>
          <w:sz w:val="32"/>
          <w:szCs w:val="28"/>
          <w:highlight w:val="green"/>
        </w:rPr>
      </w:pPr>
      <w:r>
        <w:rPr>
          <w:rFonts w:ascii="Times New Roman" w:hAnsi="Times New Roman" w:eastAsia="仿宋_GB2312"/>
          <w:sz w:val="32"/>
          <w:szCs w:val="28"/>
        </w:rPr>
        <w:t>申请人应对适用的样本类型及添加剂进行适用性确认。如果申报产品适用于血清和血浆，可采用一定数量血清、血浆同源样本进行对比试验的方法，证明不同样本类型是否可比。采用抗凝剂时，应</w:t>
      </w:r>
      <w:r>
        <w:rPr>
          <w:rFonts w:hint="eastAsia" w:ascii="Times New Roman" w:hAnsi="Times New Roman" w:eastAsia="仿宋_GB2312"/>
          <w:sz w:val="32"/>
          <w:szCs w:val="28"/>
        </w:rPr>
        <w:t>对</w:t>
      </w:r>
      <w:r>
        <w:rPr>
          <w:rFonts w:ascii="Times New Roman" w:hAnsi="Times New Roman" w:eastAsia="仿宋_GB2312"/>
          <w:kern w:val="0"/>
          <w:sz w:val="32"/>
          <w:szCs w:val="32"/>
        </w:rPr>
        <w:t>抗凝剂</w:t>
      </w:r>
      <w:r>
        <w:rPr>
          <w:rFonts w:hint="eastAsia" w:ascii="Times New Roman" w:hAnsi="Times New Roman" w:eastAsia="仿宋_GB2312"/>
          <w:sz w:val="32"/>
          <w:szCs w:val="28"/>
        </w:rPr>
        <w:t>的适用性进行研究。</w:t>
      </w:r>
    </w:p>
    <w:p w14:paraId="1D039FAF">
      <w:pPr>
        <w:overflowPunct w:val="0"/>
        <w:adjustRightInd w:val="0"/>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样本量选择应体现一定的统计学意义，说明样本的来源及制备方法。</w:t>
      </w:r>
    </w:p>
    <w:p w14:paraId="0493FEEE">
      <w:pPr>
        <w:overflowPunct w:val="0"/>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4.3校准品的量值溯源和质控品的赋值（如适用）</w:t>
      </w:r>
    </w:p>
    <w:p w14:paraId="2453372F">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申请人应明确检测系统适用的校准品和质控品。</w:t>
      </w:r>
    </w:p>
    <w:p w14:paraId="252CC094">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如申报产品包括校准品，应当提交溯源资料。</w:t>
      </w:r>
    </w:p>
    <w:p w14:paraId="784D9957">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如申报产品包括质控品，应当提交在所有适用机型上进行赋值和验证的资料。</w:t>
      </w:r>
    </w:p>
    <w:p w14:paraId="2DDB4AA1">
      <w:pPr>
        <w:spacing w:line="520" w:lineRule="exact"/>
        <w:ind w:firstLine="640" w:firstLineChars="200"/>
        <w:rPr>
          <w:rFonts w:hint="default" w:ascii="Times New Roman" w:hAnsi="Times New Roman" w:eastAsia="仿宋_GB2312"/>
          <w:sz w:val="32"/>
          <w:szCs w:val="32"/>
          <w:lang w:val="en-US" w:eastAsia="zh-CN"/>
        </w:rPr>
      </w:pPr>
      <w:r>
        <w:rPr>
          <w:rFonts w:ascii="Times New Roman" w:hAnsi="Times New Roman" w:eastAsia="仿宋_GB2312"/>
          <w:sz w:val="32"/>
          <w:szCs w:val="32"/>
        </w:rPr>
        <w:t>可参照GB/T</w:t>
      </w:r>
      <w:r>
        <w:rPr>
          <w:rFonts w:hint="eastAsia" w:ascii="Times New Roman" w:hAnsi="Times New Roman" w:eastAsia="仿宋_GB2312"/>
          <w:sz w:val="32"/>
          <w:szCs w:val="32"/>
        </w:rPr>
        <w:t xml:space="preserve"> </w:t>
      </w:r>
      <w:r>
        <w:rPr>
          <w:rFonts w:ascii="Times New Roman" w:hAnsi="Times New Roman" w:eastAsia="仿宋_GB2312"/>
          <w:sz w:val="32"/>
          <w:szCs w:val="32"/>
        </w:rPr>
        <w:t>21415</w:t>
      </w:r>
      <w:r>
        <w:rPr>
          <w:rFonts w:hint="eastAsia" w:ascii="Times New Roman" w:hAnsi="Times New Roman" w:eastAsia="仿宋_GB2312"/>
          <w:sz w:val="32"/>
          <w:szCs w:val="32"/>
        </w:rPr>
        <w:t>《体外诊断医疗器械 建立校准品、正确度控制物质和人体样品赋值的计量溯源性要求》</w:t>
      </w:r>
      <w:r>
        <w:rPr>
          <w:rFonts w:ascii="Times New Roman" w:hAnsi="Times New Roman" w:eastAsia="仿宋_GB2312"/>
          <w:sz w:val="32"/>
          <w:szCs w:val="32"/>
        </w:rPr>
        <w:t>、YY/T</w:t>
      </w:r>
      <w:r>
        <w:rPr>
          <w:rFonts w:hint="eastAsia" w:ascii="Times New Roman" w:hAnsi="Times New Roman" w:eastAsia="仿宋_GB2312"/>
          <w:sz w:val="32"/>
          <w:szCs w:val="32"/>
        </w:rPr>
        <w:t xml:space="preserve"> </w:t>
      </w:r>
      <w:r>
        <w:rPr>
          <w:rFonts w:ascii="Times New Roman" w:hAnsi="Times New Roman" w:eastAsia="仿宋_GB2312"/>
          <w:sz w:val="32"/>
          <w:szCs w:val="32"/>
        </w:rPr>
        <w:t>1709《体外诊断试剂用校准物测量不确定度评定》、YY/T</w:t>
      </w:r>
      <w:r>
        <w:rPr>
          <w:rFonts w:hint="eastAsia" w:ascii="Times New Roman" w:hAnsi="Times New Roman" w:eastAsia="仿宋_GB2312"/>
          <w:sz w:val="32"/>
          <w:szCs w:val="32"/>
        </w:rPr>
        <w:t xml:space="preserve"> </w:t>
      </w:r>
      <w:r>
        <w:rPr>
          <w:rFonts w:ascii="Times New Roman" w:hAnsi="Times New Roman" w:eastAsia="仿宋_GB2312"/>
          <w:sz w:val="32"/>
          <w:szCs w:val="32"/>
        </w:rPr>
        <w:t>1549《生化分析仪用校准物》的要求，提供校准品溯源以及校准品定值及不确定度计算的相关资料。可参照YY/T</w:t>
      </w:r>
      <w:r>
        <w:rPr>
          <w:rFonts w:hint="eastAsia" w:ascii="Times New Roman" w:hAnsi="Times New Roman" w:eastAsia="仿宋_GB2312"/>
          <w:sz w:val="32"/>
          <w:szCs w:val="32"/>
        </w:rPr>
        <w:t xml:space="preserve"> </w:t>
      </w:r>
      <w:r>
        <w:rPr>
          <w:rFonts w:ascii="Times New Roman" w:hAnsi="Times New Roman" w:eastAsia="仿宋_GB2312"/>
          <w:sz w:val="32"/>
          <w:szCs w:val="32"/>
        </w:rPr>
        <w:t>1662《生化分析仪用质控物》《质控品注册审查指导原则——质控品赋值研究》的要求，提供质控品的赋值资料。</w:t>
      </w:r>
    </w:p>
    <w:p w14:paraId="51001739">
      <w:pPr>
        <w:snapToGrid w:val="0"/>
        <w:spacing w:line="52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校准品/质控品的成分尽可能接近临床样本，减少基质和制备过程带来的影响。如有必要可参照WS/T 356《参考物质互换性评估指南》进行研究。</w:t>
      </w:r>
    </w:p>
    <w:p w14:paraId="2CDED00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4.4正确度</w:t>
      </w:r>
    </w:p>
    <w:p w14:paraId="69AC4339">
      <w:pPr>
        <w:snapToGrid w:val="0"/>
        <w:spacing w:line="520" w:lineRule="exact"/>
        <w:ind w:firstLine="640" w:firstLineChars="200"/>
        <w:rPr>
          <w:rFonts w:ascii="Times New Roman" w:hAnsi="Times New Roman" w:eastAsia="仿宋_GB2312"/>
          <w:sz w:val="32"/>
          <w:szCs w:val="28"/>
        </w:rPr>
      </w:pPr>
      <w:r>
        <w:rPr>
          <w:rFonts w:eastAsia="仿宋_GB2312"/>
          <w:sz w:val="32"/>
          <w:szCs w:val="28"/>
        </w:rPr>
        <w:t>对测量</w:t>
      </w:r>
      <w:r>
        <w:rPr>
          <w:rFonts w:hint="eastAsia" w:eastAsia="仿宋_GB2312"/>
          <w:sz w:val="32"/>
          <w:szCs w:val="32"/>
        </w:rPr>
        <w:t>正确度</w:t>
      </w:r>
      <w:r>
        <w:rPr>
          <w:rFonts w:eastAsia="仿宋_GB2312"/>
          <w:sz w:val="32"/>
          <w:szCs w:val="28"/>
        </w:rPr>
        <w:t>的评价，可采用</w:t>
      </w:r>
      <w:r>
        <w:rPr>
          <w:rFonts w:eastAsia="仿宋_GB2312"/>
          <w:bCs/>
          <w:sz w:val="32"/>
          <w:szCs w:val="32"/>
        </w:rPr>
        <w:t>参考物质检测</w:t>
      </w:r>
      <w:r>
        <w:rPr>
          <w:rFonts w:eastAsia="仿宋_GB2312"/>
          <w:sz w:val="32"/>
          <w:szCs w:val="28"/>
        </w:rPr>
        <w:t>、</w:t>
      </w:r>
      <w:r>
        <w:rPr>
          <w:rFonts w:hint="eastAsia" w:eastAsia="仿宋_GB2312"/>
          <w:sz w:val="32"/>
          <w:szCs w:val="32"/>
        </w:rPr>
        <w:t>方法</w:t>
      </w:r>
      <w:r>
        <w:rPr>
          <w:rFonts w:eastAsia="仿宋_GB2312"/>
          <w:sz w:val="32"/>
          <w:szCs w:val="32"/>
        </w:rPr>
        <w:t>学比对</w:t>
      </w:r>
      <w:r>
        <w:rPr>
          <w:rFonts w:eastAsia="仿宋_GB2312"/>
          <w:sz w:val="32"/>
          <w:szCs w:val="28"/>
        </w:rPr>
        <w:t>、回收试验等方法，申请人可根据实际情况选择合理方法进行研究。</w:t>
      </w:r>
      <w:r>
        <w:rPr>
          <w:rFonts w:hint="eastAsia" w:eastAsia="仿宋_GB2312"/>
          <w:sz w:val="32"/>
          <w:szCs w:val="28"/>
        </w:rPr>
        <w:t>推荐的参考物质包括：具有互换性的有证参考物质，公认的参考品、标准品，参考测量程序赋值的临床样本。不可采用产品校准品、申报试剂检测系统定值的质控品进行正确度评价。</w:t>
      </w:r>
    </w:p>
    <w:p w14:paraId="61BCAEB2">
      <w:pPr>
        <w:autoSpaceDE w:val="0"/>
        <w:autoSpaceDN w:val="0"/>
        <w:adjustRightInd w:val="0"/>
        <w:snapToGrid w:val="0"/>
        <w:spacing w:line="520" w:lineRule="exact"/>
        <w:ind w:firstLine="640" w:firstLineChars="200"/>
        <w:jc w:val="left"/>
        <w:rPr>
          <w:rFonts w:ascii="Times New Roman" w:hAnsi="Times New Roman" w:eastAsia="仿宋_GB2312"/>
          <w:sz w:val="32"/>
        </w:rPr>
      </w:pPr>
      <w:r>
        <w:rPr>
          <w:rFonts w:ascii="Times New Roman" w:hAnsi="Times New Roman" w:eastAsia="仿宋_GB2312"/>
          <w:sz w:val="32"/>
        </w:rPr>
        <w:t>4.5精密度</w:t>
      </w:r>
    </w:p>
    <w:p w14:paraId="0C68D1A0">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应根据各测量条件对检测结果影响程度的分析，设计合理的精密度试验方案进行评价，包括重复性、实验室内精密度、实验室间精密度和批间（lot-to-lot）精密度。</w:t>
      </w:r>
    </w:p>
    <w:p w14:paraId="2EC7F5DC">
      <w:pPr>
        <w:autoSpaceDE w:val="0"/>
        <w:autoSpaceDN w:val="0"/>
        <w:adjustRightInd w:val="0"/>
        <w:snapToGrid w:val="0"/>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精密度研究用样本一般为临床实际检测样本或其混合物。样本浓度一般包括测量区间高、中、低在内的3～5个水平，应有医学决定水平或参考区间上/下限浓度附近的样本。精密度研究可能涉及多天、多地点检测，应确保样本的稳定性和一致性，可将样本等分保存。</w:t>
      </w:r>
    </w:p>
    <w:p w14:paraId="6E14345B">
      <w:pPr>
        <w:autoSpaceDE w:val="0"/>
        <w:autoSpaceDN w:val="0"/>
        <w:adjustRightInd w:val="0"/>
        <w:snapToGrid w:val="0"/>
        <w:spacing w:line="520" w:lineRule="exact"/>
        <w:ind w:firstLine="640" w:firstLineChars="200"/>
        <w:jc w:val="left"/>
        <w:rPr>
          <w:rFonts w:ascii="Times New Roman" w:hAnsi="Times New Roman" w:eastAsia="仿宋_GB2312"/>
          <w:sz w:val="32"/>
        </w:rPr>
      </w:pPr>
      <w:r>
        <w:rPr>
          <w:rFonts w:ascii="Times New Roman" w:hAnsi="Times New Roman" w:eastAsia="仿宋_GB2312"/>
          <w:sz w:val="32"/>
        </w:rPr>
        <w:t>4.6空白限、检出限和定量限</w:t>
      </w:r>
    </w:p>
    <w:p w14:paraId="6C5186B1">
      <w:pPr>
        <w:pStyle w:val="26"/>
        <w:snapToGrid w:val="0"/>
        <w:spacing w:line="520" w:lineRule="exact"/>
        <w:ind w:firstLine="640"/>
        <w:rPr>
          <w:rFonts w:ascii="Times New Roman" w:eastAsia="仿宋_GB2312"/>
          <w:sz w:val="32"/>
          <w:szCs w:val="32"/>
        </w:rPr>
      </w:pPr>
      <w:r>
        <w:rPr>
          <w:rFonts w:ascii="Times New Roman" w:eastAsia="仿宋_GB2312"/>
          <w:sz w:val="32"/>
          <w:szCs w:val="32"/>
        </w:rPr>
        <w:t>申请人可根据产品的具体情况选择适用的方法进行检出能力的研究，建议对空白限（LoB）、检出限（LoD）、定量限（LoQ）进行评估并提交研究资料。可参照《定量检测体外诊断试剂分析性能评估注册审查指导原则》，提供空白限、检出限与定量限的建立及验证的研究资料。</w:t>
      </w:r>
    </w:p>
    <w:p w14:paraId="6BA97B44">
      <w:pPr>
        <w:pStyle w:val="26"/>
        <w:snapToGrid w:val="0"/>
        <w:spacing w:line="520" w:lineRule="exact"/>
        <w:ind w:firstLine="640"/>
        <w:rPr>
          <w:rFonts w:ascii="Times New Roman" w:eastAsia="仿宋_GB2312"/>
          <w:sz w:val="32"/>
          <w:szCs w:val="32"/>
        </w:rPr>
      </w:pPr>
      <w:r>
        <w:rPr>
          <w:rFonts w:ascii="Times New Roman" w:eastAsia="仿宋_GB2312"/>
          <w:sz w:val="32"/>
          <w:szCs w:val="32"/>
        </w:rPr>
        <w:t>4.7分析特异性</w:t>
      </w:r>
    </w:p>
    <w:p w14:paraId="394F101D">
      <w:pPr>
        <w:pStyle w:val="26"/>
        <w:snapToGrid w:val="0"/>
        <w:spacing w:line="520" w:lineRule="exact"/>
        <w:ind w:firstLine="640"/>
        <w:rPr>
          <w:rFonts w:ascii="Times New Roman" w:eastAsia="仿宋_GB2312"/>
          <w:sz w:val="32"/>
          <w:szCs w:val="32"/>
        </w:rPr>
      </w:pPr>
      <w:r>
        <w:rPr>
          <w:rFonts w:ascii="Times New Roman" w:eastAsia="仿宋_GB2312"/>
          <w:sz w:val="32"/>
          <w:szCs w:val="32"/>
        </w:rPr>
        <w:t>4.7.1干扰试验</w:t>
      </w:r>
    </w:p>
    <w:p w14:paraId="1B7433B2">
      <w:pPr>
        <w:pStyle w:val="26"/>
        <w:snapToGrid w:val="0"/>
        <w:spacing w:line="520" w:lineRule="exact"/>
        <w:ind w:firstLine="640"/>
        <w:rPr>
          <w:rFonts w:ascii="Times New Roman" w:eastAsia="仿宋_GB2312"/>
          <w:sz w:val="32"/>
          <w:szCs w:val="32"/>
        </w:rPr>
      </w:pPr>
      <w:r>
        <w:rPr>
          <w:rFonts w:ascii="Times New Roman" w:eastAsia="仿宋_GB2312"/>
          <w:sz w:val="32"/>
          <w:szCs w:val="32"/>
        </w:rPr>
        <w:t>干扰物质研究应当考虑常见的内源性干扰、外源性干扰和已有报道的干扰物质等对产品测定结果的影响。常见的内源性干扰物质包括胆红素、血红蛋白、甘油三酯</w:t>
      </w:r>
      <w:r>
        <w:rPr>
          <w:rFonts w:hint="eastAsia" w:ascii="Times New Roman" w:eastAsia="仿宋_GB2312"/>
          <w:sz w:val="32"/>
          <w:szCs w:val="32"/>
          <w:lang w:eastAsia="zh-CN"/>
        </w:rPr>
        <w:t>、</w:t>
      </w:r>
      <w:r>
        <w:rPr>
          <w:rFonts w:hint="eastAsia" w:ascii="Times New Roman" w:eastAsia="仿宋_GB2312"/>
          <w:sz w:val="32"/>
          <w:szCs w:val="32"/>
          <w:lang w:val="en-US" w:eastAsia="zh-CN"/>
        </w:rPr>
        <w:t>类风湿因子</w:t>
      </w:r>
      <w:r>
        <w:rPr>
          <w:rFonts w:ascii="Times New Roman" w:eastAsia="仿宋_GB2312"/>
          <w:sz w:val="32"/>
          <w:szCs w:val="32"/>
        </w:rPr>
        <w:t>等，常见的外源性干扰物质包括样本添加剂（</w:t>
      </w:r>
      <w:r>
        <w:rPr>
          <w:rFonts w:hint="eastAsia" w:ascii="Times New Roman" w:eastAsia="仿宋_GB2312"/>
          <w:sz w:val="32"/>
          <w:szCs w:val="32"/>
          <w:lang w:val="en-US" w:eastAsia="zh-CN"/>
        </w:rPr>
        <w:t>抗凝剂或</w:t>
      </w:r>
      <w:r>
        <w:rPr>
          <w:rFonts w:ascii="Times New Roman" w:eastAsia="仿宋_GB2312"/>
          <w:sz w:val="32"/>
          <w:szCs w:val="32"/>
        </w:rPr>
        <w:t>防腐剂）、常用药物及其代谢物</w:t>
      </w:r>
      <w:r>
        <w:rPr>
          <w:rFonts w:ascii="Times New Roman" w:eastAsia="仿宋_GB2312"/>
          <w:sz w:val="32"/>
          <w:szCs w:val="32"/>
          <w:highlight w:val="none"/>
        </w:rPr>
        <w:t>（如</w:t>
      </w:r>
      <w:r>
        <w:rPr>
          <w:rFonts w:hint="eastAsia" w:ascii="Times New Roman" w:eastAsia="仿宋_GB2312"/>
          <w:sz w:val="32"/>
          <w:szCs w:val="32"/>
          <w:highlight w:val="none"/>
          <w:lang w:val="en-US" w:eastAsia="zh-CN"/>
        </w:rPr>
        <w:t>抗坏血酸</w:t>
      </w:r>
      <w:r>
        <w:rPr>
          <w:rFonts w:hint="eastAsia" w:ascii="Times New Roman" w:eastAsia="仿宋_GB2312"/>
          <w:sz w:val="32"/>
          <w:szCs w:val="32"/>
          <w:highlight w:val="none"/>
          <w:lang w:eastAsia="zh-CN"/>
        </w:rPr>
        <w:t>、质子泵抑制剂、他汀类降脂药物</w:t>
      </w:r>
      <w:r>
        <w:rPr>
          <w:rFonts w:ascii="Times New Roman" w:eastAsia="仿宋_GB2312"/>
          <w:sz w:val="32"/>
          <w:szCs w:val="32"/>
          <w:highlight w:val="none"/>
        </w:rPr>
        <w:t>）</w:t>
      </w:r>
      <w:r>
        <w:rPr>
          <w:rFonts w:ascii="Times New Roman" w:eastAsia="仿宋_GB2312"/>
          <w:sz w:val="32"/>
          <w:szCs w:val="32"/>
        </w:rPr>
        <w:t>、膳食物质、样本收集或处理过程中接触到的物质，样本污染物；亦应考虑文献中已报道的对类似试剂或测量程序存在干扰的物质。申请人应根据产品特点选择潜在的干扰物质进行验证。</w:t>
      </w:r>
    </w:p>
    <w:p w14:paraId="6E317D0D">
      <w:pPr>
        <w:pStyle w:val="26"/>
        <w:snapToGrid w:val="0"/>
        <w:spacing w:line="520" w:lineRule="exact"/>
        <w:ind w:firstLine="640"/>
        <w:rPr>
          <w:rFonts w:ascii="Times New Roman" w:eastAsia="仿宋_GB2312"/>
          <w:bCs/>
          <w:sz w:val="32"/>
          <w:szCs w:val="32"/>
        </w:rPr>
      </w:pPr>
      <w:r>
        <w:rPr>
          <w:rFonts w:ascii="Times New Roman" w:eastAsia="仿宋_GB2312"/>
          <w:bCs/>
          <w:sz w:val="32"/>
          <w:szCs w:val="28"/>
        </w:rPr>
        <w:t>研究的</w:t>
      </w:r>
      <w:r>
        <w:rPr>
          <w:rFonts w:ascii="Times New Roman" w:eastAsia="仿宋_GB2312"/>
          <w:bCs/>
          <w:sz w:val="32"/>
          <w:szCs w:val="32"/>
        </w:rPr>
        <w:t>干扰物浓度应覆盖临床样本中的最高浓度（最差情形），并对干扰的程度进行量化</w:t>
      </w:r>
      <w:r>
        <w:rPr>
          <w:rFonts w:ascii="Times New Roman" w:eastAsia="仿宋_GB2312"/>
          <w:bCs/>
          <w:sz w:val="32"/>
          <w:szCs w:val="28"/>
        </w:rPr>
        <w:t>。</w:t>
      </w:r>
      <w:r>
        <w:rPr>
          <w:rFonts w:ascii="Times New Roman" w:eastAsia="仿宋_GB2312"/>
          <w:sz w:val="32"/>
          <w:szCs w:val="32"/>
        </w:rPr>
        <w:t>将研究结果在说明书中进行描述</w:t>
      </w:r>
      <w:r>
        <w:rPr>
          <w:rFonts w:ascii="Times New Roman" w:eastAsia="仿宋_GB2312"/>
          <w:bCs/>
          <w:sz w:val="32"/>
          <w:szCs w:val="32"/>
        </w:rPr>
        <w:t>，明确干扰物质影响的最大浓度。待评价的样本浓度建议采用至少2个分析物水平的样本，应至少包括医学决定水平或参考区间上/下限附近浓度样本。</w:t>
      </w:r>
    </w:p>
    <w:p w14:paraId="7612DDC9">
      <w:pPr>
        <w:pStyle w:val="26"/>
        <w:snapToGrid w:val="0"/>
        <w:spacing w:line="520" w:lineRule="exact"/>
        <w:ind w:firstLine="640"/>
        <w:rPr>
          <w:rFonts w:ascii="Times New Roman" w:eastAsia="仿宋_GB2312"/>
          <w:bCs/>
          <w:sz w:val="32"/>
          <w:szCs w:val="32"/>
        </w:rPr>
      </w:pPr>
      <w:r>
        <w:rPr>
          <w:rFonts w:ascii="Times New Roman" w:eastAsia="仿宋_GB2312"/>
          <w:bCs/>
          <w:sz w:val="32"/>
          <w:szCs w:val="32"/>
        </w:rPr>
        <w:t>4.7.2交叉反应</w:t>
      </w:r>
    </w:p>
    <w:p w14:paraId="51DAB34F">
      <w:pPr>
        <w:pStyle w:val="26"/>
        <w:snapToGrid w:val="0"/>
        <w:spacing w:line="520" w:lineRule="exact"/>
        <w:ind w:firstLine="640"/>
        <w:rPr>
          <w:rFonts w:ascii="Times New Roman" w:eastAsia="仿宋_GB2312"/>
          <w:bCs/>
          <w:sz w:val="32"/>
          <w:szCs w:val="32"/>
        </w:rPr>
      </w:pPr>
      <w:r>
        <w:rPr>
          <w:rFonts w:ascii="Times New Roman" w:eastAsia="仿宋_GB2312"/>
          <w:bCs/>
          <w:sz w:val="32"/>
          <w:szCs w:val="32"/>
        </w:rPr>
        <w:t>交叉反应研究需对可能的交叉反应物质</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如羧酸酯酶、胆碱酯酶、磷脂酶</w:t>
      </w:r>
      <w:r>
        <w:rPr>
          <w:rFonts w:ascii="Times New Roman" w:hAnsi="Times New Roman" w:eastAsia="仿宋_GB2312" w:cs="Times New Roman"/>
          <w:bCs/>
          <w:sz w:val="32"/>
          <w:szCs w:val="32"/>
        </w:rPr>
        <w:t>）进行检测，对检</w:t>
      </w:r>
      <w:r>
        <w:rPr>
          <w:rFonts w:ascii="Times New Roman" w:eastAsia="仿宋_GB2312"/>
          <w:bCs/>
          <w:sz w:val="32"/>
          <w:szCs w:val="32"/>
        </w:rPr>
        <w:t>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5DD8F640">
      <w:pPr>
        <w:spacing w:line="520" w:lineRule="exact"/>
        <w:ind w:firstLine="640" w:firstLineChars="200"/>
        <w:rPr>
          <w:rFonts w:hint="default" w:ascii="Times New Roman" w:hAnsi="Times New Roman" w:eastAsia="仿宋_GB2312" w:cs="Times New Roman"/>
          <w:sz w:val="32"/>
          <w:szCs w:val="32"/>
        </w:rPr>
      </w:pPr>
      <w:r>
        <w:rPr>
          <w:rFonts w:ascii="Times New Roman" w:eastAsia="仿宋_GB2312"/>
          <w:bCs/>
          <w:sz w:val="32"/>
          <w:szCs w:val="32"/>
        </w:rPr>
        <w:t>建议选择高浓度的交叉反应物质进行验证，应提供用于交叉反应验证物质的来源、制备、浓度等基本信息。</w:t>
      </w:r>
    </w:p>
    <w:p w14:paraId="7E11E0FD">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4.8测量区间及可报告区间</w:t>
      </w:r>
    </w:p>
    <w:p w14:paraId="3318A873">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4.8.1线性区间及测量区间</w:t>
      </w:r>
    </w:p>
    <w:p w14:paraId="72457FDF">
      <w:pPr>
        <w:adjustRightInd w:val="0"/>
        <w:snapToGrid w:val="0"/>
        <w:spacing w:line="520" w:lineRule="exact"/>
        <w:ind w:firstLine="640" w:firstLineChars="200"/>
        <w:rPr>
          <w:rFonts w:ascii="Times New Roman" w:hAnsi="Times New Roman" w:eastAsia="仿宋_GB2312"/>
          <w:sz w:val="32"/>
        </w:rPr>
      </w:pPr>
      <w:r>
        <w:rPr>
          <w:rFonts w:ascii="Times New Roman" w:hAnsi="Times New Roman" w:eastAsia="仿宋_GB2312"/>
          <w:sz w:val="32"/>
        </w:rPr>
        <w:t>线性区间的研究，需采用高值和零浓度/低值样本配制一系列不同浓度的样本。当建立试剂的线性区间时，需配制较预期线性区间更宽的9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r）及线性偏差，判断结果是否满足可接受标准。</w:t>
      </w:r>
    </w:p>
    <w:p w14:paraId="2D49D0DF">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当验证试剂的线性区间时，需配制覆盖整个线性区间的至少5个不同浓度的样本，每个样本至少重复检测2次。</w:t>
      </w:r>
    </w:p>
    <w:p w14:paraId="1DB826CB">
      <w:pPr>
        <w:adjustRightInd w:val="0"/>
        <w:snapToGrid w:val="0"/>
        <w:spacing w:line="520" w:lineRule="exact"/>
        <w:ind w:firstLine="640" w:firstLineChars="200"/>
        <w:rPr>
          <w:rFonts w:ascii="仿宋_GB2312" w:hAnsi="宋体" w:eastAsia="仿宋_GB2312"/>
          <w:sz w:val="32"/>
          <w:szCs w:val="32"/>
        </w:rPr>
      </w:pPr>
      <w:r>
        <w:rPr>
          <w:rFonts w:hint="eastAsia" w:ascii="Times New Roman" w:hAnsi="Times New Roman" w:eastAsia="仿宋_GB2312"/>
          <w:sz w:val="32"/>
          <w:szCs w:val="32"/>
        </w:rPr>
        <w:t>在测量区间内，临床样本在未经稀释、浓缩，或非常规测量程序中步骤的其他前处理情况下，检测结果的线性偏差、不精密度和偏倚均在可接受范围内。测量区间下限为定量限，线性区间包含测量区间。</w:t>
      </w:r>
    </w:p>
    <w:p w14:paraId="755C8905">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4.8.2</w:t>
      </w:r>
      <w:r>
        <w:rPr>
          <w:rFonts w:hint="eastAsia" w:ascii="Times New Roman" w:hAnsi="Times New Roman" w:eastAsia="仿宋_GB2312"/>
          <w:sz w:val="32"/>
          <w:szCs w:val="32"/>
        </w:rPr>
        <w:t>扩展测量区间和可报告区间</w:t>
      </w:r>
    </w:p>
    <w:p w14:paraId="53250EAE">
      <w:pPr>
        <w:overflowPunct w:val="0"/>
        <w:snapToGrid w:val="0"/>
        <w:spacing w:line="520" w:lineRule="exact"/>
        <w:ind w:firstLine="640" w:firstLineChars="200"/>
        <w:rPr>
          <w:rFonts w:ascii="Times New Roman" w:hAnsi="Times New Roman" w:eastAsia="仿宋_GB2312"/>
          <w:sz w:val="32"/>
          <w:szCs w:val="32"/>
        </w:rPr>
      </w:pPr>
      <w:r>
        <w:rPr>
          <w:rFonts w:hint="eastAsia" w:eastAsia="仿宋_GB2312"/>
          <w:sz w:val="32"/>
        </w:rPr>
        <w:t>如对超出测量区间浓度的样本可进行稀释后检测，应研究合适的稀释液和稀释倍数，从而确定试剂的扩展测量区间和可报告区间。两者上限均为测量区间上限×稀释倍数，扩展测量区间的下限为测量区间上限</w:t>
      </w:r>
      <w:r>
        <w:rPr>
          <w:rFonts w:hint="eastAsia" w:ascii="仿宋" w:hAnsi="仿宋" w:eastAsia="仿宋"/>
          <w:sz w:val="24"/>
          <w:szCs w:val="24"/>
        </w:rPr>
        <w:t>，</w:t>
      </w:r>
      <w:r>
        <w:rPr>
          <w:rFonts w:hint="eastAsia" w:ascii="仿宋" w:hAnsi="仿宋" w:eastAsia="仿宋"/>
          <w:sz w:val="32"/>
          <w:szCs w:val="32"/>
        </w:rPr>
        <w:t>可报告区间的下限为检出限</w:t>
      </w:r>
      <w:r>
        <w:rPr>
          <w:rFonts w:hint="eastAsia" w:eastAsia="仿宋_GB2312"/>
          <w:sz w:val="32"/>
        </w:rPr>
        <w:t>。应根据预期的临床意义设置合适的可报告区间，并在说明书中进行提示。</w:t>
      </w:r>
    </w:p>
    <w:p w14:paraId="3B11E3F3">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4.9试剂空白</w:t>
      </w:r>
      <w:r>
        <w:rPr>
          <w:rFonts w:hint="eastAsia" w:eastAsia="仿宋_GB2312"/>
          <w:sz w:val="32"/>
          <w:szCs w:val="32"/>
        </w:rPr>
        <w:t>和分析灵敏度</w:t>
      </w:r>
    </w:p>
    <w:p w14:paraId="1BE65C03">
      <w:pPr>
        <w:adjustRightInd w:val="0"/>
        <w:snapToGrid w:val="0"/>
        <w:spacing w:line="520" w:lineRule="exact"/>
        <w:ind w:firstLine="640" w:firstLineChars="200"/>
        <w:rPr>
          <w:rFonts w:ascii="Times New Roman" w:hAnsi="Times New Roman" w:eastAsia="仿宋_GB2312"/>
          <w:sz w:val="32"/>
          <w:szCs w:val="32"/>
        </w:rPr>
      </w:pPr>
      <w:r>
        <w:rPr>
          <w:rFonts w:hint="eastAsia" w:eastAsia="仿宋_GB2312"/>
          <w:sz w:val="32"/>
          <w:szCs w:val="28"/>
        </w:rPr>
        <w:t>可参照</w:t>
      </w:r>
      <w:r>
        <w:rPr>
          <w:rFonts w:ascii="Times New Roman" w:hAnsi="Times New Roman" w:eastAsia="仿宋_GB2312"/>
          <w:sz w:val="32"/>
          <w:szCs w:val="28"/>
        </w:rPr>
        <w:t>GB/T 26124《临床化学体外诊断试剂</w:t>
      </w:r>
      <w:r>
        <w:rPr>
          <w:rFonts w:hint="eastAsia" w:ascii="Times New Roman" w:hAnsi="Times New Roman" w:eastAsia="仿宋_GB2312"/>
          <w:sz w:val="32"/>
          <w:szCs w:val="28"/>
          <w:lang w:eastAsia="zh-CN"/>
        </w:rPr>
        <w:t>（</w:t>
      </w:r>
      <w:r>
        <w:rPr>
          <w:rFonts w:ascii="Times New Roman" w:hAnsi="Times New Roman" w:eastAsia="仿宋_GB2312"/>
          <w:sz w:val="32"/>
          <w:szCs w:val="28"/>
        </w:rPr>
        <w:t>盒</w:t>
      </w:r>
      <w:r>
        <w:rPr>
          <w:rFonts w:hint="eastAsia" w:ascii="Times New Roman" w:hAnsi="Times New Roman" w:eastAsia="仿宋_GB2312"/>
          <w:sz w:val="32"/>
          <w:szCs w:val="28"/>
          <w:lang w:eastAsia="zh-CN"/>
        </w:rPr>
        <w:t>）</w:t>
      </w:r>
      <w:r>
        <w:rPr>
          <w:rFonts w:ascii="Times New Roman" w:hAnsi="Times New Roman" w:eastAsia="仿宋_GB2312"/>
          <w:sz w:val="32"/>
          <w:szCs w:val="28"/>
        </w:rPr>
        <w:t>》</w:t>
      </w:r>
      <w:r>
        <w:rPr>
          <w:rFonts w:hint="eastAsia" w:eastAsia="仿宋_GB2312"/>
          <w:sz w:val="32"/>
          <w:szCs w:val="28"/>
        </w:rPr>
        <w:t>对</w:t>
      </w:r>
      <w:r>
        <w:rPr>
          <w:rFonts w:hint="eastAsia" w:eastAsia="仿宋_GB2312"/>
          <w:kern w:val="0"/>
          <w:sz w:val="32"/>
          <w:szCs w:val="32"/>
        </w:rPr>
        <w:t>试剂空白及分析灵敏度进行评价，并依据方法学原理明确性能要求</w:t>
      </w:r>
      <w:r>
        <w:rPr>
          <w:rFonts w:ascii="Times New Roman" w:hAnsi="Times New Roman" w:eastAsia="仿宋_GB2312"/>
          <w:sz w:val="32"/>
          <w:szCs w:val="32"/>
        </w:rPr>
        <w:t>。</w:t>
      </w:r>
    </w:p>
    <w:p w14:paraId="422A6A57">
      <w:pPr>
        <w:pStyle w:val="26"/>
        <w:snapToGrid w:val="0"/>
        <w:spacing w:line="520" w:lineRule="exact"/>
        <w:ind w:firstLine="640"/>
        <w:rPr>
          <w:rFonts w:ascii="Times New Roman" w:eastAsia="仿宋_GB2312"/>
          <w:sz w:val="32"/>
          <w:szCs w:val="32"/>
        </w:rPr>
      </w:pPr>
      <w:r>
        <w:rPr>
          <w:rFonts w:ascii="Times New Roman" w:eastAsia="仿宋_GB2312"/>
          <w:sz w:val="32"/>
          <w:szCs w:val="32"/>
        </w:rPr>
        <w:t>5.稳定性研究</w:t>
      </w:r>
    </w:p>
    <w:p w14:paraId="1F3431B7">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建议参考《体外诊断试剂稳定性研究注册审查指导原则》开展研究并提交研究资料，一般应包含研究方案、报告和数据三部分内容。</w:t>
      </w:r>
    </w:p>
    <w:p w14:paraId="650E181C">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5.1实时稳定性</w:t>
      </w:r>
    </w:p>
    <w:p w14:paraId="1EAA3CEB">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提交至少三批申报产品在实际储存条件下保存至成品有效期后的实时稳定性研究资料。明确储存的环境条件（如温度、湿度和光照等）及有效期。</w:t>
      </w:r>
    </w:p>
    <w:p w14:paraId="0DBAF39A">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5.2使用稳定性</w:t>
      </w:r>
    </w:p>
    <w:p w14:paraId="1DBC37E2">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z w:val="32"/>
          <w:szCs w:val="32"/>
          <w:lang w:bidi="ar"/>
        </w:rPr>
        <w:t>应</w:t>
      </w:r>
      <w:r>
        <w:rPr>
          <w:rFonts w:hint="default" w:ascii="Times New Roman" w:hAnsi="Times New Roman" w:eastAsia="仿宋_GB2312" w:cs="Times New Roman"/>
          <w:color w:val="000000"/>
          <w:kern w:val="0"/>
          <w:sz w:val="32"/>
          <w:szCs w:val="32"/>
        </w:rPr>
        <w:t>提交至少一批申报产品实际使用期间稳定性的研究资料，应包括所有组成成分的开封稳定性。适用时提交复溶稳定性、机载稳定性及冻融次数研究资料等，还应提交校准频率或校准稳定性研究资料。明确产品使用的温度、湿度条件等。</w:t>
      </w:r>
    </w:p>
    <w:p w14:paraId="166B079D">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5.3运输稳定性</w:t>
      </w:r>
    </w:p>
    <w:p w14:paraId="5CDC77D2">
      <w:pPr>
        <w:overflowPunct w:val="0"/>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w:t>
      </w:r>
      <w:r>
        <w:rPr>
          <w:rFonts w:hint="default" w:ascii="Times New Roman" w:hAnsi="Times New Roman" w:eastAsia="仿宋_GB2312" w:cs="Times New Roman"/>
          <w:color w:val="000000"/>
          <w:kern w:val="0"/>
          <w:sz w:val="32"/>
          <w:szCs w:val="32"/>
        </w:rPr>
        <w:t>至少一批</w:t>
      </w:r>
      <w:r>
        <w:rPr>
          <w:rFonts w:hint="default" w:ascii="Times New Roman" w:hAnsi="Times New Roman" w:eastAsia="仿宋_GB2312" w:cs="Times New Roman"/>
          <w:color w:val="000000"/>
          <w:sz w:val="32"/>
          <w:szCs w:val="32"/>
        </w:rPr>
        <w:t>申报产品可在特定或者预期的条件下运输的研究资料，应说明产品正确运输的环境条件（如温度、湿度、光照和机械保护等）。同时说明产品的包装方式以及暴露的最差运输条件。</w:t>
      </w:r>
    </w:p>
    <w:p w14:paraId="73498D12">
      <w:pPr>
        <w:adjustRightInd w:val="0"/>
        <w:snapToGrid w:val="0"/>
        <w:spacing w:line="520" w:lineRule="exact"/>
        <w:ind w:firstLine="640" w:firstLineChars="200"/>
        <w:rPr>
          <w:rFonts w:hint="default" w:ascii="Times New Roman" w:hAnsi="Times New Roman" w:eastAsia="仿宋_GB2312" w:cs="Times New Roman"/>
          <w:color w:val="000000"/>
          <w:sz w:val="32"/>
          <w:szCs w:val="32"/>
        </w:rPr>
      </w:pPr>
      <w:r>
        <w:rPr>
          <w:rFonts w:eastAsia="仿宋_GB2312"/>
          <w:kern w:val="0"/>
          <w:sz w:val="32"/>
          <w:szCs w:val="32"/>
        </w:rPr>
        <w:t>运输稳定性应在真实运输或模拟运输后保存至有效期末，以确定产品稳定性声明是否受到运输条件的影响。</w:t>
      </w:r>
    </w:p>
    <w:p w14:paraId="2830CAF1">
      <w:pPr>
        <w:overflowPunct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6.参考区间</w:t>
      </w:r>
    </w:p>
    <w:p w14:paraId="57DA5C93">
      <w:pPr>
        <w:autoSpaceDE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申报产品可以建立自己的参考区间或验证参考区间，但都要确保参考区间的可溯源性，记录确定参考区间的所有步骤，包括参考个体的选择、分析前因素、样本检测以及统计分析方法等。</w:t>
      </w:r>
    </w:p>
    <w:p w14:paraId="74A370D8">
      <w:pPr>
        <w:autoSpaceDE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如参考已发布实施的临床检测参考区间标准等验证参考区间，应依据《体外诊断试剂参考区间确定注册审查指导原则》中“（二）参考区间的验证”章节相关条件进行验证，如验证通过，可直接采用经验证的参考区间；如验证不通过，应建立参考区间。</w:t>
      </w:r>
    </w:p>
    <w:p w14:paraId="2E0E291D">
      <w:pPr>
        <w:spacing w:line="520" w:lineRule="exact"/>
        <w:ind w:firstLine="640" w:firstLineChars="200"/>
        <w:rPr>
          <w:rFonts w:ascii="Times New Roman" w:hAnsi="Times New Roman" w:eastAsia="仿宋_GB2312"/>
          <w:sz w:val="32"/>
          <w:szCs w:val="28"/>
        </w:rPr>
      </w:pPr>
      <w:r>
        <w:rPr>
          <w:rFonts w:ascii="Times New Roman" w:hAnsi="Times New Roman" w:eastAsia="仿宋_GB2312"/>
          <w:kern w:val="0"/>
          <w:sz w:val="32"/>
          <w:szCs w:val="32"/>
        </w:rPr>
        <w:t>参考区间的建立应参考《体外诊断试剂参考区间确定注册审查指导原则》中“（一）参考区间的建立”章节相关要求，提交建立参考区间所采用样本来源及详细的试验资料。</w:t>
      </w:r>
      <w:r>
        <w:rPr>
          <w:rFonts w:ascii="Times New Roman" w:hAnsi="Times New Roman" w:eastAsia="仿宋_GB2312"/>
          <w:sz w:val="32"/>
          <w:szCs w:val="28"/>
        </w:rPr>
        <w:t>研究样本来源应覆盖年龄、性别等因素，尽可能考虑样本来源的多样性、代表性。研究例数通常应不低于120例。（注：研究例数不低于120例是为了保证能正确估计参考限的90%置信区间。申请人应根据预设的置信水平进行样本研究例数的选择并符合统计学要求。）</w:t>
      </w:r>
    </w:p>
    <w:p w14:paraId="086E33E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7.其他资料</w:t>
      </w:r>
    </w:p>
    <w:p w14:paraId="63FE1E7A">
      <w:pPr>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7.1三批产品的生产及自检记录。</w:t>
      </w:r>
    </w:p>
    <w:p w14:paraId="53B9BCC7">
      <w:pPr>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7.2证明产品安全性、有效性的其他非临床研究资料。</w:t>
      </w:r>
    </w:p>
    <w:p w14:paraId="0E1114C6">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（四）</w:t>
      </w:r>
      <w:r>
        <w:rPr>
          <w:rFonts w:ascii="Times New Roman" w:hAnsi="Times New Roman" w:eastAsia="楷体"/>
          <w:kern w:val="0"/>
          <w:sz w:val="32"/>
          <w:szCs w:val="32"/>
        </w:rPr>
        <w:t>临床评价资料</w:t>
      </w:r>
    </w:p>
    <w:p w14:paraId="66B9E6E6">
      <w:pPr>
        <w:snapToGrid w:val="0"/>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rPr>
        <w:t>根据体外诊断试剂临床评价的相关要求，申报产品用于急性胰腺炎的辅助诊断时属于列入《免于进行临床试验体外诊断试剂目录》的项目，申请人可按照《免于临床试验的体外诊断试剂临床评价技术指导原则》提交临床评价资料，也可通过临床试验的方式进行临床评价。</w:t>
      </w:r>
    </w:p>
    <w:p w14:paraId="661BDD14">
      <w:pPr>
        <w:snapToGrid w:val="0"/>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rPr>
        <w:t>如预期用途超出《免于进行临床试验体外诊断试剂目录》中的产品描述范围，或无法按照《免于临床试验的体外诊断试剂临床评价技术指导原则》要求通过免临床试验的临床评价证明产品安全性和有效性，应进行临床试验，临床试验的开展应符合《医疗器械临床试验质量管理规范》。应当按照《体外诊断试剂临床试验技术指导原则》和《体外诊断试剂临床试验数据递交要求注册审查指导原则》的要求提交临床试验资料。</w:t>
      </w:r>
    </w:p>
    <w:p w14:paraId="49598402">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（五）</w:t>
      </w:r>
      <w:r>
        <w:rPr>
          <w:rFonts w:ascii="Times New Roman" w:hAnsi="Times New Roman" w:eastAsia="楷体"/>
          <w:kern w:val="0"/>
          <w:sz w:val="32"/>
          <w:szCs w:val="32"/>
        </w:rPr>
        <w:t>产品说明书和标签样稿</w:t>
      </w:r>
    </w:p>
    <w:p w14:paraId="4B68447F">
      <w:pPr>
        <w:snapToGrid w:val="0"/>
        <w:spacing w:line="520" w:lineRule="exact"/>
        <w:ind w:firstLine="640" w:firstLineChars="200"/>
        <w:rPr>
          <w:rFonts w:ascii="Calibri" w:hAnsi="Calibri" w:eastAsia="仿宋_GB2312"/>
          <w:sz w:val="32"/>
          <w:szCs w:val="32"/>
        </w:rPr>
      </w:pPr>
      <w:r>
        <w:rPr>
          <w:rFonts w:ascii="Calibri" w:hAnsi="Calibri" w:eastAsia="仿宋_GB2312"/>
          <w:sz w:val="32"/>
          <w:szCs w:val="32"/>
        </w:rPr>
        <w:t>产品说明书应满足《体外诊断试剂说明书编写指导原则》的要求，产品说明书的所有内容均应与申请人提交的注册申报资料的相关研究结果保持一致。下面对该类产品说明书的重点内容进行阐述。</w:t>
      </w:r>
    </w:p>
    <w:p w14:paraId="786B53B1">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14:paraId="3928C8D9">
      <w:pPr>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通用名称，试剂名称由三部分组成：被测物名称、用途、方法或原理。例如：脂肪酶</w:t>
      </w:r>
      <w:r>
        <w:rPr>
          <w:rFonts w:hint="eastAsia" w:ascii="Times New Roman" w:hAnsi="Times New Roman" w:eastAsia="仿宋_GB2312"/>
          <w:sz w:val="32"/>
          <w:szCs w:val="32"/>
        </w:rPr>
        <w:t>测定试剂盒（甲基试卤灵底物法）</w:t>
      </w:r>
      <w:r>
        <w:rPr>
          <w:rFonts w:ascii="Times New Roman" w:hAnsi="Times New Roman" w:eastAsia="仿宋_GB2312"/>
          <w:sz w:val="32"/>
          <w:szCs w:val="32"/>
        </w:rPr>
        <w:t>。</w:t>
      </w:r>
    </w:p>
    <w:p w14:paraId="68823C04">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2.【包装规格】</w:t>
      </w:r>
    </w:p>
    <w:p w14:paraId="456E0E1C">
      <w:pPr>
        <w:snapToGrid w:val="0"/>
        <w:spacing w:line="520" w:lineRule="exact"/>
        <w:ind w:firstLine="640" w:firstLineChars="200"/>
        <w:rPr>
          <w:rFonts w:ascii="Times New Roman" w:hAnsi="Times New Roman" w:eastAsia="仿宋_GB2312"/>
          <w:spacing w:val="-6"/>
          <w:sz w:val="32"/>
          <w:szCs w:val="32"/>
        </w:rPr>
      </w:pPr>
      <w:r>
        <w:rPr>
          <w:rFonts w:ascii="Times New Roman" w:hAnsi="Times New Roman" w:eastAsia="仿宋_GB2312"/>
          <w:sz w:val="32"/>
          <w:szCs w:val="32"/>
        </w:rPr>
        <w:t>注</w:t>
      </w:r>
      <w:r>
        <w:rPr>
          <w:rFonts w:ascii="Times New Roman" w:hAnsi="Times New Roman" w:eastAsia="仿宋_GB2312"/>
          <w:spacing w:val="-6"/>
          <w:sz w:val="32"/>
          <w:szCs w:val="32"/>
        </w:rPr>
        <w:t>明可测试的样本数或装量，如××测试/盒、××人份/盒、××mL，除国际通用计量单位外，其余内容均应采用中文进行表述。如有货号，可增加货号信息。</w:t>
      </w:r>
    </w:p>
    <w:p w14:paraId="2010784F">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2.1</w:t>
      </w:r>
      <w:r>
        <w:rPr>
          <w:rFonts w:ascii="Times New Roman" w:hAnsi="Times New Roman" w:eastAsia="仿宋_GB2312"/>
          <w:bCs/>
          <w:sz w:val="32"/>
          <w:szCs w:val="32"/>
        </w:rPr>
        <w:t>包装规格应明确装量（如××mL；××人份）；</w:t>
      </w:r>
    </w:p>
    <w:p w14:paraId="40AA50BD">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2.2</w:t>
      </w:r>
      <w:r>
        <w:rPr>
          <w:rFonts w:ascii="Times New Roman" w:hAnsi="Times New Roman" w:eastAsia="仿宋_GB2312"/>
          <w:bCs/>
          <w:sz w:val="32"/>
          <w:szCs w:val="32"/>
        </w:rPr>
        <w:t>带有校准品或质控品应明确标识；</w:t>
      </w:r>
    </w:p>
    <w:p w14:paraId="7EA69321">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2.3</w:t>
      </w:r>
      <w:r>
        <w:rPr>
          <w:rFonts w:ascii="Times New Roman" w:hAnsi="Times New Roman" w:eastAsia="仿宋_GB2312"/>
          <w:bCs/>
          <w:sz w:val="32"/>
          <w:szCs w:val="32"/>
        </w:rPr>
        <w:t>与产品技术要求中所列的包装规格一致</w:t>
      </w:r>
      <w:r>
        <w:rPr>
          <w:rFonts w:hint="eastAsia" w:ascii="Times New Roman" w:hAnsi="Times New Roman" w:eastAsia="仿宋_GB2312"/>
          <w:bCs/>
          <w:sz w:val="32"/>
          <w:szCs w:val="32"/>
        </w:rPr>
        <w:t>。</w:t>
      </w:r>
    </w:p>
    <w:p w14:paraId="519C225E">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3.【预期用途】</w:t>
      </w:r>
    </w:p>
    <w:p w14:paraId="708DB1D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首段内容说明试剂用于体外定量测定人</w:t>
      </w:r>
      <w:r>
        <w:rPr>
          <w:rFonts w:hint="eastAsia" w:ascii="Times New Roman" w:hAnsi="Times New Roman" w:eastAsia="仿宋_GB2312"/>
          <w:sz w:val="32"/>
          <w:szCs w:val="32"/>
        </w:rPr>
        <w:t>体</w:t>
      </w:r>
      <w:r>
        <w:rPr>
          <w:rFonts w:ascii="Times New Roman" w:hAnsi="Times New Roman" w:eastAsia="仿宋_GB2312"/>
          <w:sz w:val="32"/>
          <w:szCs w:val="32"/>
        </w:rPr>
        <w:t>样本</w:t>
      </w:r>
      <w:r>
        <w:rPr>
          <w:rFonts w:hint="eastAsia" w:ascii="Times New Roman" w:hAnsi="Times New Roman" w:eastAsia="仿宋_GB2312"/>
          <w:sz w:val="32"/>
          <w:szCs w:val="32"/>
        </w:rPr>
        <w:t>（血清、血浆）</w:t>
      </w:r>
      <w:r>
        <w:rPr>
          <w:rFonts w:ascii="Times New Roman" w:hAnsi="Times New Roman" w:eastAsia="仿宋_GB2312"/>
          <w:sz w:val="32"/>
          <w:szCs w:val="32"/>
        </w:rPr>
        <w:t>中脂肪酶的活性。</w:t>
      </w:r>
      <w:r>
        <w:rPr>
          <w:rFonts w:hint="eastAsia" w:ascii="Times New Roman" w:hAnsi="Times New Roman" w:eastAsia="仿宋_GB2312"/>
          <w:sz w:val="32"/>
          <w:szCs w:val="32"/>
        </w:rPr>
        <w:t>若用于自测或样本来源于特殊受试人群（如孕妇、新生儿等），应当予以明确。</w:t>
      </w:r>
    </w:p>
    <w:p w14:paraId="3D683924">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第二段应详细说明预期用途。包括适用人群，相关的临床适应证和检测目的等，</w:t>
      </w:r>
      <w:r>
        <w:rPr>
          <w:rFonts w:hint="eastAsia" w:ascii="Times New Roman" w:hAnsi="Times New Roman" w:eastAsia="仿宋_GB2312"/>
          <w:sz w:val="32"/>
        </w:rPr>
        <w:t>临床上用于急性胰腺炎的辅助诊断。</w:t>
      </w:r>
    </w:p>
    <w:p w14:paraId="268759E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其余段落对被测分析物进行背景介绍、说明相关的临床或实验室诊断方法；说明与预期用途相关的临床背景情况；说明被测分析物与临床适应证的关系。</w:t>
      </w:r>
    </w:p>
    <w:p w14:paraId="661998C8">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4.【检验原理】</w:t>
      </w:r>
    </w:p>
    <w:p w14:paraId="11E3A0FD">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根据产品采用的方法学说明检验的原理，测定原理的描述应结合产品主要组成成分、被测物和产物的关系进行描述，必要时可结合图示方法描述。</w:t>
      </w:r>
    </w:p>
    <w:p w14:paraId="5BA8E836">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如：</w:t>
      </w:r>
      <w:r>
        <w:rPr>
          <w:rFonts w:hint="eastAsia" w:ascii="Times New Roman" w:hAnsi="Times New Roman" w:eastAsia="仿宋_GB2312"/>
          <w:bCs/>
          <w:sz w:val="32"/>
          <w:szCs w:val="32"/>
        </w:rPr>
        <w:t>本试剂盒采用酶比色法（甲基试卤灵底物法），底物1,2-邻-二月桂基-消旋-甘油-3-戊二酸-(6-甲基试卤灵)酯被脂肪酶水解，生成1,2-邻-二月桂基-消旋-甘油和戊二酸-(6-甲基试卤灵)酯，后者自发水解，产生红色甲基试卤灵，通过监测甲基试卤灵的生成速率测定脂肪酶的活性。</w:t>
      </w:r>
    </w:p>
    <w:p w14:paraId="74636E5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5.【主要组成成分】</w:t>
      </w:r>
    </w:p>
    <w:p w14:paraId="1839A876">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应明确以下内容：</w:t>
      </w:r>
    </w:p>
    <w:p w14:paraId="2D050698">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5.1说明试剂盒包含组分的名称、数量、装量。说明各组分中的核心反应成分、基质、防腐剂等。必要时，明确组分在基质中的浓度、比例等信息。对于多组分产品，说明不同批号试剂盒中各组分是否可以互换。</w:t>
      </w:r>
    </w:p>
    <w:p w14:paraId="4E5AACBC">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5.2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77B2E2CC">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5.3试剂盒中不包含但对该项检测必需的组分，应列明试剂的名称、注册人（备案人）。如该试剂已取得注册证号/备案号，需注明“注册证编号（备案编号）及货号”；如该试剂正处于注册/备案阶段，需注明“货号及注册证编号:（留空）/备案编号:（留空）”。</w:t>
      </w:r>
    </w:p>
    <w:p w14:paraId="733AEAB9">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6.【储存条件及有效期】</w:t>
      </w:r>
    </w:p>
    <w:p w14:paraId="4723F2C9">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首段明确货架保存条件和有效期，如2~8℃保存，有效期12个月。同时明确特殊保存条件，如禁止冷冻、光线和湿度要求等。</w:t>
      </w:r>
    </w:p>
    <w:p w14:paraId="7BF7C28A">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其他段落描述以下内容：</w:t>
      </w:r>
    </w:p>
    <w:p w14:paraId="754651A2">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明确各组分的使用稳定性，包括开封保存条件和保存时长、冻融次数、机载稳定性等。</w:t>
      </w:r>
    </w:p>
    <w:p w14:paraId="6D989785">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明确生产日期、使用期限/失效日期/有效期至见标签。</w:t>
      </w:r>
    </w:p>
    <w:p w14:paraId="345966E5">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若各组分的保存条件不一致，应分别描述。</w:t>
      </w:r>
    </w:p>
    <w:p w14:paraId="709A3819">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若各组分的有效期不同，则试剂盒的有效期为最短保存时间。</w:t>
      </w:r>
    </w:p>
    <w:p w14:paraId="3F160C3C">
      <w:pPr>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kern w:val="0"/>
          <w:sz w:val="32"/>
          <w:szCs w:val="32"/>
        </w:rPr>
        <w:t>保存温度不应有模糊表述，如“常温”、“室温”，应直接以℃为单位</w:t>
      </w:r>
      <w:r>
        <w:rPr>
          <w:rFonts w:hint="eastAsia" w:ascii="Times New Roman" w:hAnsi="Times New Roman" w:eastAsia="仿宋_GB2312"/>
          <w:kern w:val="0"/>
          <w:sz w:val="32"/>
          <w:szCs w:val="32"/>
        </w:rPr>
        <w:t>，明确具体保存温度</w:t>
      </w:r>
      <w:r>
        <w:rPr>
          <w:rFonts w:ascii="Times New Roman" w:hAnsi="Times New Roman" w:eastAsia="仿宋_GB2312"/>
          <w:kern w:val="0"/>
          <w:sz w:val="32"/>
          <w:szCs w:val="32"/>
        </w:rPr>
        <w:t>。</w:t>
      </w:r>
    </w:p>
    <w:p w14:paraId="4ED1423F">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7.【适用仪器】</w:t>
      </w:r>
    </w:p>
    <w:p w14:paraId="622A76FF">
      <w:pPr>
        <w:spacing w:line="520" w:lineRule="exact"/>
        <w:ind w:firstLine="646"/>
        <w:rPr>
          <w:rFonts w:eastAsia="仿宋_GB2312"/>
          <w:sz w:val="32"/>
          <w:szCs w:val="32"/>
        </w:rPr>
      </w:pPr>
      <w:r>
        <w:rPr>
          <w:rFonts w:eastAsia="仿宋_GB2312"/>
          <w:sz w:val="32"/>
          <w:szCs w:val="32"/>
        </w:rPr>
        <w:t>说明适用的仪器</w:t>
      </w:r>
      <w:r>
        <w:rPr>
          <w:rFonts w:hint="eastAsia" w:eastAsia="仿宋_GB2312"/>
          <w:sz w:val="32"/>
          <w:szCs w:val="32"/>
        </w:rPr>
        <w:t>及其</w:t>
      </w:r>
      <w:r>
        <w:rPr>
          <w:rFonts w:eastAsia="仿宋_GB2312"/>
          <w:sz w:val="32"/>
          <w:szCs w:val="32"/>
        </w:rPr>
        <w:t>型号</w:t>
      </w:r>
      <w:r>
        <w:rPr>
          <w:rFonts w:hint="eastAsia" w:eastAsia="仿宋_GB2312"/>
          <w:sz w:val="32"/>
          <w:szCs w:val="32"/>
        </w:rPr>
        <w:t>，并提供与仪器有关的信息以便用户能够正确选择使用。</w:t>
      </w:r>
    </w:p>
    <w:p w14:paraId="4F943D9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8.【样本要求】</w:t>
      </w:r>
    </w:p>
    <w:p w14:paraId="44A7CE7B">
      <w:pPr>
        <w:pStyle w:val="18"/>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建议明确以下内容：</w:t>
      </w:r>
    </w:p>
    <w:p w14:paraId="1D06B900">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8.1样本的类型：明确适用的样本类型</w:t>
      </w:r>
      <w:r>
        <w:rPr>
          <w:rFonts w:hint="eastAsia" w:ascii="Times New Roman" w:hAnsi="Times New Roman" w:eastAsia="仿宋_GB2312"/>
          <w:bCs/>
          <w:sz w:val="32"/>
          <w:szCs w:val="32"/>
        </w:rPr>
        <w:t>，应注明对抗凝剂和/或保存液的要求。</w:t>
      </w:r>
    </w:p>
    <w:p w14:paraId="3A7D2D7C">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8.2样本的稳定性：明确样本采集和处理</w:t>
      </w:r>
      <w:r>
        <w:rPr>
          <w:rFonts w:hint="eastAsia" w:ascii="Times New Roman" w:hAnsi="Times New Roman" w:eastAsia="仿宋_GB2312"/>
          <w:bCs/>
          <w:sz w:val="32"/>
          <w:szCs w:val="32"/>
        </w:rPr>
        <w:t>后</w:t>
      </w:r>
      <w:r>
        <w:rPr>
          <w:rFonts w:ascii="Times New Roman" w:hAnsi="Times New Roman" w:eastAsia="仿宋_GB2312"/>
          <w:bCs/>
          <w:sz w:val="32"/>
          <w:szCs w:val="32"/>
        </w:rPr>
        <w:t>的保存条件</w:t>
      </w:r>
      <w:r>
        <w:rPr>
          <w:rFonts w:hint="eastAsia" w:ascii="Times New Roman" w:hAnsi="Times New Roman" w:eastAsia="仿宋_GB2312"/>
          <w:bCs/>
          <w:sz w:val="32"/>
          <w:szCs w:val="32"/>
        </w:rPr>
        <w:t>、</w:t>
      </w:r>
      <w:r>
        <w:rPr>
          <w:rFonts w:ascii="Times New Roman" w:hAnsi="Times New Roman" w:eastAsia="仿宋_GB2312"/>
          <w:bCs/>
          <w:sz w:val="32"/>
          <w:szCs w:val="32"/>
        </w:rPr>
        <w:t>期限等。冷藏/冷冻样本检测前是否需恢复至室温、冻融次数的要求。以上内容应与样本稳定性的研究结果一致。</w:t>
      </w:r>
    </w:p>
    <w:p w14:paraId="5A284EF9">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9.【检验方法】</w:t>
      </w:r>
    </w:p>
    <w:p w14:paraId="3B11BDAD">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应详细说明试验操作的各个步骤，包括：</w:t>
      </w:r>
    </w:p>
    <w:p w14:paraId="6EAFDDC8">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9.1样本的处理：详细描述样本的处理方式和步骤，需要稀释的样本应明确稀释液种类及稀释比例。若处理后的样本无法即</w:t>
      </w:r>
      <w:r>
        <w:rPr>
          <w:rFonts w:hint="eastAsia" w:ascii="Times New Roman" w:hAnsi="Times New Roman" w:eastAsia="仿宋_GB2312"/>
          <w:sz w:val="32"/>
          <w:szCs w:val="32"/>
          <w:lang w:val="en-US" w:eastAsia="zh-CN"/>
        </w:rPr>
        <w:t>刻</w:t>
      </w:r>
      <w:r>
        <w:rPr>
          <w:rFonts w:ascii="Times New Roman" w:hAnsi="Times New Roman" w:eastAsia="仿宋_GB2312"/>
          <w:sz w:val="32"/>
          <w:szCs w:val="32"/>
        </w:rPr>
        <w:t>进行检测，应明确处理后样本的保存条件和时间。</w:t>
      </w:r>
    </w:p>
    <w:p w14:paraId="3736C83F">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9.2</w:t>
      </w:r>
      <w:r>
        <w:rPr>
          <w:rFonts w:ascii="Times New Roman" w:hAnsi="Times New Roman" w:eastAsia="仿宋_GB2312"/>
          <w:kern w:val="0"/>
          <w:sz w:val="32"/>
          <w:szCs w:val="32"/>
        </w:rPr>
        <w:t>试剂配制：各试剂组分的稀释、混合及其他必要的程序</w:t>
      </w:r>
      <w:r>
        <w:rPr>
          <w:rFonts w:ascii="Times New Roman" w:hAnsi="Times New Roman" w:eastAsia="仿宋_GB2312"/>
          <w:sz w:val="32"/>
          <w:szCs w:val="32"/>
        </w:rPr>
        <w:t>等。</w:t>
      </w:r>
    </w:p>
    <w:p w14:paraId="675C6321">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9.3反应步骤、反应体系和参数设置：详细描述反应步骤和各反应步骤所需试验条件，如时间、温度、波长等。明确样本和检测过程中各组分的用量体积。</w:t>
      </w:r>
    </w:p>
    <w:p w14:paraId="264DA65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9.4校准程序：校准品的</w:t>
      </w:r>
      <w:r>
        <w:rPr>
          <w:rFonts w:hint="eastAsia" w:ascii="Times New Roman" w:hAnsi="Times New Roman" w:eastAsia="仿宋_GB2312"/>
          <w:sz w:val="32"/>
          <w:szCs w:val="32"/>
          <w:lang w:val="en-US" w:eastAsia="zh-CN"/>
        </w:rPr>
        <w:t>准备和</w:t>
      </w:r>
      <w:r>
        <w:rPr>
          <w:rFonts w:ascii="Times New Roman" w:hAnsi="Times New Roman" w:eastAsia="仿宋_GB2312"/>
          <w:sz w:val="32"/>
          <w:szCs w:val="32"/>
        </w:rPr>
        <w:t>使用、注意事项、校准曲线的绘制。</w:t>
      </w:r>
      <w:r>
        <w:rPr>
          <w:rFonts w:hint="eastAsia" w:ascii="Times New Roman" w:hAnsi="Times New Roman" w:eastAsia="仿宋_GB2312"/>
          <w:sz w:val="32"/>
          <w:szCs w:val="32"/>
          <w:lang w:val="en-US" w:eastAsia="zh-CN"/>
        </w:rPr>
        <w:t>推荐的</w:t>
      </w:r>
      <w:r>
        <w:rPr>
          <w:rFonts w:ascii="Times New Roman" w:hAnsi="Times New Roman" w:eastAsia="仿宋_GB2312"/>
          <w:sz w:val="32"/>
          <w:szCs w:val="32"/>
        </w:rPr>
        <w:t>校准</w:t>
      </w:r>
      <w:r>
        <w:rPr>
          <w:rFonts w:hint="eastAsia" w:ascii="Times New Roman" w:hAnsi="Times New Roman" w:eastAsia="仿宋_GB2312"/>
          <w:sz w:val="32"/>
          <w:szCs w:val="32"/>
          <w:lang w:val="en-US" w:eastAsia="zh-CN"/>
        </w:rPr>
        <w:t>周期</w:t>
      </w:r>
      <w:r>
        <w:rPr>
          <w:rFonts w:ascii="Times New Roman" w:hAnsi="Times New Roman" w:eastAsia="仿宋_GB2312"/>
          <w:sz w:val="32"/>
          <w:szCs w:val="32"/>
        </w:rPr>
        <w:t>及需要重新校准的情况。</w:t>
      </w:r>
    </w:p>
    <w:p w14:paraId="1AA67270">
      <w:pPr>
        <w:snapToGrid w:val="0"/>
        <w:spacing w:line="520" w:lineRule="exact"/>
        <w:ind w:firstLine="640" w:firstLineChars="200"/>
        <w:rPr>
          <w:rFonts w:eastAsia="仿宋_GB2312"/>
          <w:sz w:val="32"/>
        </w:rPr>
      </w:pPr>
      <w:r>
        <w:rPr>
          <w:rFonts w:ascii="Times New Roman" w:hAnsi="Times New Roman" w:eastAsia="仿宋_GB2312"/>
          <w:sz w:val="32"/>
          <w:szCs w:val="32"/>
        </w:rPr>
        <w:t>9.5</w:t>
      </w:r>
      <w:r>
        <w:rPr>
          <w:rFonts w:hint="eastAsia" w:eastAsia="仿宋_GB2312"/>
          <w:sz w:val="32"/>
        </w:rPr>
        <w:t>质量控制程序。详细描述质控品的使用、质量控制方法。</w:t>
      </w:r>
    </w:p>
    <w:p w14:paraId="33FE4050">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9.6</w:t>
      </w:r>
      <w:r>
        <w:rPr>
          <w:rFonts w:ascii="Times New Roman" w:hAnsi="Times New Roman" w:eastAsia="仿宋_GB2312"/>
          <w:kern w:val="0"/>
          <w:sz w:val="32"/>
          <w:szCs w:val="32"/>
        </w:rPr>
        <w:t>试验结果的计算或读取，包括对每个系数及对每个计算步骤的解释（如适用）。如果可能，应举例说明。</w:t>
      </w:r>
    </w:p>
    <w:p w14:paraId="12042B58">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10.【参考区间】</w:t>
      </w:r>
    </w:p>
    <w:p w14:paraId="0FF75BEF">
      <w:pPr>
        <w:spacing w:line="52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sz w:val="32"/>
          <w:szCs w:val="32"/>
        </w:rPr>
        <w:t>明确参考区间，并简要说明建立或验证参考区间的基本信息，包括：样本量、人群特征（如性别、年龄、种族等）和采用的统计学方法。</w:t>
      </w:r>
    </w:p>
    <w:p w14:paraId="09FAD896">
      <w:pPr>
        <w:spacing w:line="520" w:lineRule="exact"/>
        <w:ind w:firstLine="640" w:firstLineChars="200"/>
        <w:jc w:val="left"/>
        <w:rPr>
          <w:rFonts w:ascii="Times New Roman" w:hAnsi="Times New Roman" w:eastAsia="仿宋_GB2312"/>
          <w:spacing w:val="-10"/>
          <w:sz w:val="32"/>
          <w:szCs w:val="32"/>
        </w:rPr>
      </w:pPr>
      <w:r>
        <w:rPr>
          <w:rFonts w:ascii="Times New Roman" w:hAnsi="Times New Roman" w:eastAsia="仿宋_GB2312"/>
          <w:kern w:val="0"/>
          <w:sz w:val="32"/>
          <w:szCs w:val="32"/>
        </w:rPr>
        <w:t>建议注明以下字样“由于地理、人种、性别等差异，建议各实验室建立自己的参考区间”。</w:t>
      </w:r>
    </w:p>
    <w:p w14:paraId="45CB922E">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11.【检验结果的解释】</w:t>
      </w:r>
    </w:p>
    <w:p w14:paraId="4491B33D">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rPr>
        <w:t>依据</w:t>
      </w:r>
      <w:r>
        <w:rPr>
          <w:rFonts w:hint="eastAsia" w:ascii="Times New Roman" w:hAnsi="Times New Roman" w:eastAsia="仿宋_GB2312"/>
          <w:sz w:val="32"/>
          <w:szCs w:val="32"/>
        </w:rPr>
        <w:t>参考区间对</w:t>
      </w:r>
      <w:r>
        <w:rPr>
          <w:rFonts w:ascii="Times New Roman" w:hAnsi="Times New Roman" w:eastAsia="仿宋_GB2312"/>
          <w:sz w:val="32"/>
          <w:szCs w:val="32"/>
        </w:rPr>
        <w:t>检测结果进行解释说明，必要时可采用图示的方法进行说明。说明在何种情况下需要进行复测或确认试验（如需要）。说明可能对试验结果产生影响的因素。</w:t>
      </w:r>
    </w:p>
    <w:p w14:paraId="5FE41346">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12.【检验方法的局限性】</w:t>
      </w:r>
    </w:p>
    <w:p w14:paraId="716D38AF">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说明该</w:t>
      </w:r>
      <w:r>
        <w:rPr>
          <w:rFonts w:hint="eastAsia" w:ascii="Times New Roman" w:hAnsi="Times New Roman" w:eastAsia="仿宋_GB2312"/>
          <w:sz w:val="32"/>
          <w:szCs w:val="32"/>
        </w:rPr>
        <w:t>检验方法</w:t>
      </w:r>
      <w:r>
        <w:rPr>
          <w:rFonts w:ascii="Times New Roman" w:hAnsi="Times New Roman" w:eastAsia="仿宋_GB2312"/>
          <w:sz w:val="32"/>
          <w:szCs w:val="32"/>
        </w:rPr>
        <w:t>的局限性。</w:t>
      </w:r>
      <w:r>
        <w:rPr>
          <w:rFonts w:hint="eastAsia" w:ascii="Times New Roman" w:hAnsi="Times New Roman" w:eastAsia="仿宋_GB2312"/>
          <w:sz w:val="32"/>
          <w:szCs w:val="32"/>
        </w:rPr>
        <w:t>如</w:t>
      </w:r>
      <w:r>
        <w:rPr>
          <w:rFonts w:ascii="Times New Roman" w:hAnsi="Times New Roman" w:eastAsia="仿宋_GB2312"/>
          <w:sz w:val="32"/>
          <w:szCs w:val="32"/>
        </w:rPr>
        <w:t>试剂盒的检测结果仅供临床参考，不能单独作为确诊或排除病例的依据，应结合患者性别、年龄、病史及其他实验室指标等信息综合考虑。当检验结果出现与临床不符甚至相悖的情况，应分析查找原因并重新确认等。</w:t>
      </w:r>
    </w:p>
    <w:p w14:paraId="62607BED">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说明</w:t>
      </w:r>
      <w:r>
        <w:rPr>
          <w:rFonts w:ascii="Times New Roman" w:hAnsi="Times New Roman" w:eastAsia="仿宋_GB2312"/>
          <w:sz w:val="32"/>
          <w:szCs w:val="32"/>
        </w:rPr>
        <w:t>其他可能存在的问题</w:t>
      </w:r>
      <w:r>
        <w:rPr>
          <w:rFonts w:ascii="Times New Roman" w:hAnsi="Times New Roman" w:eastAsia="仿宋_GB2312"/>
          <w:sz w:val="32"/>
          <w:szCs w:val="32"/>
        </w:rPr>
        <w:tab/>
      </w:r>
      <w:r>
        <w:rPr>
          <w:rFonts w:ascii="Times New Roman" w:hAnsi="Times New Roman" w:eastAsia="仿宋_GB2312"/>
          <w:sz w:val="32"/>
          <w:szCs w:val="32"/>
        </w:rPr>
        <w:t>。</w:t>
      </w:r>
    </w:p>
    <w:p w14:paraId="7DFCB706">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13.【产品性能指标】</w:t>
      </w:r>
    </w:p>
    <w:p w14:paraId="49C322CB">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此项内容为分析性能研究资料和临床评价资料的总结，应:</w:t>
      </w:r>
    </w:p>
    <w:p w14:paraId="4D81258E">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13.1概括描述每项分析性能研究如准确度/正确度、精密度、灵敏度、测量区间及可报告区间、分析特异性等适用项目的研究方法和结果。</w:t>
      </w:r>
    </w:p>
    <w:p w14:paraId="50271FB4">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13.2概括描述临床评价包括免于临床试验的临床评价和临床试验的方法和结果。</w:t>
      </w:r>
    </w:p>
    <w:p w14:paraId="5F42A59B">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14.【注意事项】</w:t>
      </w:r>
    </w:p>
    <w:p w14:paraId="40E18461">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建议包括以下内容：</w:t>
      </w:r>
    </w:p>
    <w:p w14:paraId="47E96734">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14.1产品仅用于体外诊断</w:t>
      </w:r>
      <w:r>
        <w:rPr>
          <w:rFonts w:hint="eastAsia" w:ascii="Times New Roman" w:hAnsi="Times New Roman" w:eastAsia="仿宋_GB2312"/>
          <w:sz w:val="32"/>
          <w:szCs w:val="32"/>
        </w:rPr>
        <w:t>，试剂中含有的化学成分接触人体后是否会产生不良的影响后果</w:t>
      </w:r>
      <w:r>
        <w:rPr>
          <w:rFonts w:ascii="Times New Roman" w:hAnsi="Times New Roman" w:eastAsia="仿宋_GB2312"/>
          <w:sz w:val="32"/>
          <w:szCs w:val="32"/>
        </w:rPr>
        <w:t>。</w:t>
      </w:r>
    </w:p>
    <w:p w14:paraId="7923A463">
      <w:pPr>
        <w:adjustRightInd w:val="0"/>
        <w:snapToGrid w:val="0"/>
        <w:spacing w:line="520" w:lineRule="exact"/>
        <w:ind w:firstLine="640" w:firstLineChars="200"/>
        <w:rPr>
          <w:rFonts w:ascii="Times New Roman" w:hAnsi="Times New Roman" w:eastAsia="仿宋_GB2312"/>
          <w:spacing w:val="-4"/>
          <w:kern w:val="0"/>
          <w:sz w:val="32"/>
          <w:szCs w:val="32"/>
        </w:rPr>
      </w:pPr>
      <w:r>
        <w:rPr>
          <w:rFonts w:ascii="Times New Roman" w:hAnsi="Times New Roman" w:eastAsia="仿宋_GB2312"/>
          <w:sz w:val="32"/>
          <w:szCs w:val="32"/>
        </w:rPr>
        <w:t>14.2</w:t>
      </w:r>
      <w:r>
        <w:rPr>
          <w:rFonts w:ascii="Times New Roman" w:hAnsi="Times New Roman" w:eastAsia="仿宋_GB2312"/>
          <w:spacing w:val="-4"/>
          <w:kern w:val="0"/>
          <w:sz w:val="32"/>
          <w:szCs w:val="32"/>
        </w:rPr>
        <w:t>如无确切的证据证明其安全性，对所有样本和反应废弃物都应视为传染源对待，提示操作者采取必要的防护措施。若试剂组分中，如质控品、校准品等含有人源物质的组分，这些组分亦应该被视为传染源对待；对于动物源性组分，应给出具有潜在感染性的警告。</w:t>
      </w:r>
    </w:p>
    <w:p w14:paraId="509C718B">
      <w:pPr>
        <w:adjustRightInd w:val="0"/>
        <w:snapToGrid w:val="0"/>
        <w:spacing w:line="520" w:lineRule="exact"/>
        <w:ind w:firstLine="624" w:firstLineChars="200"/>
        <w:rPr>
          <w:rFonts w:ascii="Times New Roman" w:hAnsi="Times New Roman" w:eastAsia="仿宋_GB2312"/>
          <w:spacing w:val="-4"/>
          <w:kern w:val="0"/>
          <w:sz w:val="32"/>
          <w:szCs w:val="32"/>
        </w:rPr>
      </w:pPr>
      <w:r>
        <w:rPr>
          <w:rFonts w:ascii="Times New Roman" w:hAnsi="Times New Roman" w:eastAsia="仿宋_GB2312"/>
          <w:spacing w:val="-4"/>
          <w:kern w:val="0"/>
          <w:sz w:val="32"/>
          <w:szCs w:val="32"/>
        </w:rPr>
        <w:t>14.3采用不同方法学的试剂检测所得结果不应直接相互比较，以免造成错误的医学解释；建议实验室在发给临床医生的检测报告注明所用试剂特征。</w:t>
      </w:r>
    </w:p>
    <w:p w14:paraId="5BB0B929">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rPr>
        <w:t>14.4</w:t>
      </w:r>
      <w:r>
        <w:rPr>
          <w:rFonts w:ascii="Times New Roman" w:hAnsi="Times New Roman" w:eastAsia="仿宋_GB2312"/>
          <w:sz w:val="32"/>
          <w:szCs w:val="32"/>
          <w:lang w:bidi="ar"/>
        </w:rPr>
        <w:t>其他需要说明的注意事项。</w:t>
      </w:r>
    </w:p>
    <w:p w14:paraId="7852A09B">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15.【标识的解释】</w:t>
      </w:r>
    </w:p>
    <w:p w14:paraId="77A16EF9">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说明书和标签中如有图形或符号，请解释其代表的意义。</w:t>
      </w:r>
    </w:p>
    <w:p w14:paraId="2CC449FA">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16.【参考文献】</w:t>
      </w:r>
    </w:p>
    <w:p w14:paraId="3B6450F9">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列明引用参考文献，其书写应清楚、易查询且格式规范。</w:t>
      </w:r>
    </w:p>
    <w:p w14:paraId="25D60899">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w:t>
      </w:r>
      <w:r>
        <w:rPr>
          <w:rFonts w:hint="eastAsia" w:ascii="Times New Roman" w:hAnsi="Times New Roman" w:eastAsia="楷体"/>
          <w:kern w:val="0"/>
          <w:sz w:val="32"/>
          <w:szCs w:val="32"/>
          <w:lang w:val="en-US" w:eastAsia="zh-CN"/>
        </w:rPr>
        <w:t>六</w:t>
      </w:r>
      <w:r>
        <w:rPr>
          <w:rFonts w:hint="eastAsia" w:ascii="Times New Roman" w:hAnsi="Times New Roman" w:eastAsia="楷体"/>
          <w:kern w:val="0"/>
          <w:sz w:val="32"/>
          <w:szCs w:val="32"/>
        </w:rPr>
        <w:t>）</w:t>
      </w:r>
      <w:r>
        <w:rPr>
          <w:rFonts w:ascii="Times New Roman" w:hAnsi="Times New Roman" w:eastAsia="楷体"/>
          <w:kern w:val="0"/>
          <w:sz w:val="32"/>
          <w:szCs w:val="32"/>
        </w:rPr>
        <w:t>质量管理体系文件</w:t>
      </w:r>
    </w:p>
    <w:p w14:paraId="41633AD1">
      <w:pPr>
        <w:pStyle w:val="21"/>
        <w:overflowPunct w:val="0"/>
        <w:autoSpaceDE w:val="0"/>
        <w:autoSpaceDN w:val="0"/>
        <w:snapToGrid w:val="0"/>
        <w:spacing w:line="520" w:lineRule="exact"/>
        <w:ind w:firstLine="640"/>
        <w:outlineLvl w:val="1"/>
        <w:rPr>
          <w:rFonts w:ascii="Times New Roman" w:hAnsi="Times New Roman" w:eastAsia="仿宋_GB2312"/>
          <w:sz w:val="32"/>
          <w:szCs w:val="32"/>
        </w:rPr>
      </w:pPr>
      <w:r>
        <w:rPr>
          <w:rFonts w:ascii="Times New Roman" w:hAnsi="Times New Roman" w:eastAsia="仿宋_GB2312"/>
          <w:sz w:val="32"/>
          <w:szCs w:val="32"/>
        </w:rPr>
        <w:t>申请人应当在申请注册时提交与产品研制、生产有关的质量管理体系相关资料，</w:t>
      </w:r>
      <w:r>
        <w:rPr>
          <w:rFonts w:ascii="Times New Roman" w:hAnsi="Times New Roman" w:eastAsia="仿宋_GB2312"/>
          <w:bCs/>
          <w:sz w:val="32"/>
          <w:szCs w:val="32"/>
        </w:rPr>
        <w:t>主要包括综述、生产制造信息、质量管理体系程序、管理职责程序、资源管理程序、产品实现程序、质量管理体系的测量、分析和改进程序、其他质量体系程序信息、质量管理体系核查文件等内容</w:t>
      </w:r>
      <w:r>
        <w:rPr>
          <w:rFonts w:ascii="Times New Roman" w:hAnsi="Times New Roman" w:eastAsia="仿宋_GB2312"/>
          <w:sz w:val="32"/>
          <w:szCs w:val="32"/>
        </w:rPr>
        <w:t>。</w:t>
      </w:r>
    </w:p>
    <w:p w14:paraId="40FFD4B9">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三、参考文献</w:t>
      </w:r>
    </w:p>
    <w:p w14:paraId="5652A306">
      <w:pPr>
        <w:spacing w:line="520" w:lineRule="exact"/>
        <w:ind w:right="-67" w:rightChars="-32" w:firstLine="640" w:firstLineChars="200"/>
        <w:rPr>
          <w:rFonts w:ascii="Times New Roman" w:hAnsi="Times New Roman" w:eastAsia="仿宋_GB2312"/>
          <w:sz w:val="32"/>
          <w:szCs w:val="30"/>
        </w:rPr>
      </w:pPr>
      <w:r>
        <w:rPr>
          <w:rFonts w:ascii="Times New Roman" w:hAnsi="Times New Roman" w:eastAsia="仿宋_GB2312"/>
          <w:sz w:val="32"/>
          <w:szCs w:val="30"/>
        </w:rPr>
        <w:t>[1]</w:t>
      </w:r>
      <w:r>
        <w:rPr>
          <w:rFonts w:ascii="Times New Roman" w:hAnsi="Times New Roman" w:eastAsia="仿宋_GB2312"/>
          <w:sz w:val="32"/>
          <w:szCs w:val="32"/>
          <w:lang w:val="en"/>
        </w:rPr>
        <w:t>中华人民共和国国务院</w:t>
      </w:r>
      <w:r>
        <w:rPr>
          <w:rFonts w:hint="eastAsia" w:ascii="Times New Roman" w:hAnsi="Times New Roman" w:eastAsia="仿宋_GB2312"/>
          <w:sz w:val="32"/>
          <w:szCs w:val="32"/>
          <w:lang w:val="en"/>
        </w:rPr>
        <w:t>.</w:t>
      </w:r>
      <w:r>
        <w:rPr>
          <w:rFonts w:ascii="Times New Roman" w:hAnsi="Times New Roman" w:eastAsia="仿宋_GB2312"/>
          <w:sz w:val="32"/>
          <w:szCs w:val="32"/>
        </w:rPr>
        <w:t>医疗器械监督管理条例</w:t>
      </w:r>
      <w:r>
        <w:rPr>
          <w:rFonts w:hint="eastAsia" w:ascii="Times New Roman" w:hAnsi="Times New Roman" w:eastAsia="仿宋_GB2312"/>
          <w:sz w:val="32"/>
          <w:szCs w:val="32"/>
        </w:rPr>
        <w:t>:</w:t>
      </w:r>
      <w:r>
        <w:rPr>
          <w:rFonts w:ascii="Times New Roman" w:hAnsi="Times New Roman" w:eastAsia="仿宋_GB2312"/>
          <w:sz w:val="32"/>
          <w:szCs w:val="32"/>
          <w:lang w:val="en"/>
        </w:rPr>
        <w:t>中华人民共和国国务院令第739号</w:t>
      </w:r>
      <w:r>
        <w:rPr>
          <w:rFonts w:ascii="Times New Roman" w:hAnsi="Times New Roman" w:eastAsia="仿宋_GB2312"/>
          <w:sz w:val="32"/>
          <w:szCs w:val="32"/>
        </w:rPr>
        <w:t>[Z].</w:t>
      </w:r>
    </w:p>
    <w:p w14:paraId="4CD210C6">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[2]</w:t>
      </w:r>
      <w:r>
        <w:rPr>
          <w:rFonts w:ascii="Times New Roman" w:hAnsi="Times New Roman" w:eastAsia="仿宋_GB2312"/>
          <w:sz w:val="32"/>
          <w:szCs w:val="32"/>
        </w:rPr>
        <w:t>国家市场监督管理总局</w:t>
      </w:r>
      <w:r>
        <w:rPr>
          <w:rFonts w:hint="eastAsia" w:ascii="Times New Roman" w:hAnsi="Times New Roman" w:eastAsia="仿宋_GB2312"/>
          <w:sz w:val="32"/>
          <w:szCs w:val="32"/>
        </w:rPr>
        <w:t>.</w:t>
      </w:r>
      <w:r>
        <w:rPr>
          <w:rFonts w:ascii="Times New Roman" w:hAnsi="Times New Roman" w:eastAsia="仿宋_GB2312"/>
          <w:sz w:val="32"/>
          <w:szCs w:val="32"/>
        </w:rPr>
        <w:t>体外诊断试剂注册与备案管理办法</w:t>
      </w:r>
      <w:r>
        <w:rPr>
          <w:rFonts w:hint="eastAsia" w:ascii="Times New Roman" w:hAnsi="Times New Roman" w:eastAsia="仿宋_GB2312"/>
          <w:sz w:val="32"/>
          <w:szCs w:val="32"/>
        </w:rPr>
        <w:t>:国家市场监督管理总局令第48号[Z].</w:t>
      </w:r>
    </w:p>
    <w:p w14:paraId="2D4FCEA0">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[3]</w:t>
      </w:r>
      <w:r>
        <w:rPr>
          <w:rFonts w:hint="eastAsia" w:ascii="Times New Roman" w:hAnsi="Times New Roman" w:eastAsia="仿宋_GB2312"/>
          <w:sz w:val="32"/>
          <w:szCs w:val="32"/>
        </w:rPr>
        <w:t>国家食品药品监督管理局.医疗器械说明书和标签管理规定:国家食品药品监督管理总局令第6号[Z].</w:t>
      </w:r>
    </w:p>
    <w:p w14:paraId="3CB65B3D">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[4]</w:t>
      </w:r>
      <w:r>
        <w:rPr>
          <w:rFonts w:hint="eastAsia" w:ascii="Times New Roman" w:hAnsi="Times New Roman" w:eastAsia="仿宋_GB2312"/>
          <w:sz w:val="32"/>
          <w:szCs w:val="32"/>
        </w:rPr>
        <w:t>国家药品监督管理局.体外诊断试剂分类规则:国家药监局公告2021年第129号[Z].</w:t>
      </w:r>
    </w:p>
    <w:p w14:paraId="36032060">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[5]</w:t>
      </w:r>
      <w:r>
        <w:rPr>
          <w:rFonts w:hint="eastAsia" w:ascii="Times New Roman" w:hAnsi="Times New Roman" w:eastAsia="仿宋_GB2312"/>
          <w:sz w:val="32"/>
          <w:szCs w:val="30"/>
        </w:rPr>
        <w:t>国家药品监督管理局.免于进行临床试验体外诊断试剂目录（2025年）:国家药监局通告2025年第23号[Z].</w:t>
      </w:r>
    </w:p>
    <w:p w14:paraId="6B482892">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[6]</w:t>
      </w:r>
      <w:r>
        <w:rPr>
          <w:rFonts w:hint="eastAsia" w:ascii="Times New Roman" w:hAnsi="Times New Roman" w:eastAsia="仿宋_GB2312"/>
          <w:sz w:val="32"/>
          <w:szCs w:val="32"/>
        </w:rPr>
        <w:t>国家药品监督管理局.</w:t>
      </w:r>
      <w:r>
        <w:rPr>
          <w:rFonts w:ascii="Times New Roman" w:hAnsi="Times New Roman" w:eastAsia="仿宋_GB2312"/>
          <w:sz w:val="32"/>
          <w:szCs w:val="32"/>
        </w:rPr>
        <w:t>免于临床试验的体外诊断试剂临床评价技术指导原则</w:t>
      </w:r>
      <w:r>
        <w:rPr>
          <w:rFonts w:hint="eastAsia" w:ascii="Times New Roman" w:hAnsi="Times New Roman" w:eastAsia="仿宋_GB2312"/>
          <w:sz w:val="32"/>
          <w:szCs w:val="32"/>
        </w:rPr>
        <w:t>:国家药监局通告2021年第74号[Z].</w:t>
      </w:r>
    </w:p>
    <w:p w14:paraId="71DFA7C3">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[7]</w:t>
      </w:r>
      <w:r>
        <w:rPr>
          <w:rFonts w:hint="eastAsia" w:ascii="Times New Roman" w:hAnsi="Times New Roman" w:eastAsia="仿宋_GB2312"/>
          <w:sz w:val="32"/>
          <w:szCs w:val="32"/>
        </w:rPr>
        <w:t>国家药品监督管理局.体</w:t>
      </w:r>
      <w:r>
        <w:rPr>
          <w:rFonts w:ascii="Times New Roman" w:hAnsi="Times New Roman" w:eastAsia="仿宋_GB2312"/>
          <w:sz w:val="32"/>
          <w:szCs w:val="32"/>
        </w:rPr>
        <w:t>外诊断试剂临床试验技术指导原则</w:t>
      </w:r>
      <w:r>
        <w:rPr>
          <w:rFonts w:hint="eastAsia" w:ascii="Times New Roman" w:hAnsi="Times New Roman" w:eastAsia="仿宋_GB2312"/>
          <w:sz w:val="32"/>
          <w:szCs w:val="32"/>
        </w:rPr>
        <w:t>:国家药监局通告2021年第72号[Z].</w:t>
      </w:r>
    </w:p>
    <w:p w14:paraId="6373E566">
      <w:pPr>
        <w:pStyle w:val="34"/>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0"/>
        </w:rPr>
        <w:t>[</w:t>
      </w:r>
      <w:r>
        <w:rPr>
          <w:rFonts w:hint="eastAsia" w:ascii="Times New Roman" w:hAnsi="Times New Roman" w:eastAsia="仿宋_GB2312"/>
          <w:sz w:val="32"/>
          <w:szCs w:val="30"/>
        </w:rPr>
        <w:t>8</w:t>
      </w:r>
      <w:r>
        <w:rPr>
          <w:rFonts w:ascii="Times New Roman" w:hAnsi="Times New Roman" w:eastAsia="仿宋_GB2312"/>
          <w:sz w:val="32"/>
          <w:szCs w:val="30"/>
        </w:rPr>
        <w:t>]</w:t>
      </w:r>
      <w:r>
        <w:rPr>
          <w:rFonts w:hint="eastAsia" w:ascii="Times New Roman" w:hAnsi="Times New Roman" w:eastAsia="仿宋_GB2312"/>
          <w:sz w:val="32"/>
          <w:szCs w:val="30"/>
        </w:rPr>
        <w:t>国家药品监督管理局医疗器械技术审评中心.体外诊断试剂说明书编写指导原则（2023年修订版）:</w:t>
      </w:r>
      <w:r>
        <w:rPr>
          <w:rFonts w:hint="eastAsia" w:ascii="Times New Roman" w:hAnsi="Times New Roman" w:eastAsia="仿宋_GB2312"/>
          <w:sz w:val="32"/>
          <w:szCs w:val="32"/>
          <w:lang w:val="en"/>
        </w:rPr>
        <w:t>国家药监局器审中心通告</w:t>
      </w:r>
      <w:r>
        <w:rPr>
          <w:rFonts w:ascii="Times New Roman" w:hAnsi="Times New Roman" w:eastAsia="仿宋_GB2312"/>
          <w:sz w:val="32"/>
          <w:szCs w:val="32"/>
          <w:lang w:val="en"/>
        </w:rPr>
        <w:t>202</w:t>
      </w:r>
      <w:r>
        <w:rPr>
          <w:rFonts w:hint="eastAsia" w:ascii="Times New Roman" w:hAnsi="Times New Roman" w:eastAsia="仿宋_GB2312"/>
          <w:sz w:val="32"/>
          <w:szCs w:val="32"/>
          <w:lang w:val="en"/>
        </w:rPr>
        <w:t>4年第1号</w:t>
      </w:r>
      <w:r>
        <w:rPr>
          <w:rFonts w:ascii="Times New Roman" w:hAnsi="Times New Roman" w:eastAsia="仿宋_GB2312"/>
          <w:sz w:val="32"/>
          <w:szCs w:val="32"/>
          <w:lang w:val="en"/>
        </w:rPr>
        <w:t>[Z].</w:t>
      </w:r>
    </w:p>
    <w:p w14:paraId="091E6C1B">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[9]国家药品监督管理局.医疗器械产品技术要求编写指导原则:国家药监局</w:t>
      </w:r>
      <w:r>
        <w:rPr>
          <w:rFonts w:hint="eastAsia" w:ascii="Times New Roman" w:hAnsi="Times New Roman" w:eastAsia="仿宋_GB2312"/>
          <w:sz w:val="32"/>
          <w:szCs w:val="32"/>
          <w:lang w:val="en"/>
        </w:rPr>
        <w:t>通告2022年第8号</w:t>
      </w:r>
      <w:r>
        <w:rPr>
          <w:rFonts w:hint="eastAsia" w:ascii="Times New Roman" w:hAnsi="Times New Roman" w:eastAsia="仿宋_GB2312"/>
          <w:sz w:val="32"/>
          <w:szCs w:val="32"/>
        </w:rPr>
        <w:t>[Z].</w:t>
      </w:r>
    </w:p>
    <w:p w14:paraId="7FF90405">
      <w:pPr>
        <w:spacing w:line="520" w:lineRule="exact"/>
        <w:ind w:firstLine="640" w:firstLineChars="200"/>
        <w:rPr>
          <w:highlight w:val="yellow"/>
        </w:rPr>
      </w:pPr>
      <w:r>
        <w:rPr>
          <w:rFonts w:hint="eastAsia" w:ascii="Times New Roman" w:hAnsi="Times New Roman" w:eastAsia="仿宋_GB2312"/>
          <w:sz w:val="32"/>
          <w:szCs w:val="32"/>
        </w:rPr>
        <w:t>[10]</w:t>
      </w:r>
      <w:r>
        <w:rPr>
          <w:rFonts w:hint="eastAsia" w:ascii="Times New Roman" w:hAnsi="Times New Roman" w:eastAsia="仿宋_GB2312"/>
          <w:sz w:val="32"/>
          <w:szCs w:val="30"/>
        </w:rPr>
        <w:t>国家药品监督管理局医疗器械技术审评中心.体外诊断试剂稳定性研究注册审查指导原则</w:t>
      </w:r>
      <w:r>
        <w:rPr>
          <w:rFonts w:hint="eastAsia" w:ascii="Times New Roman" w:hAnsi="Times New Roman" w:eastAsia="仿宋_GB2312"/>
          <w:sz w:val="32"/>
          <w:szCs w:val="30"/>
          <w:lang w:val="en"/>
        </w:rPr>
        <w:t>202</w:t>
      </w:r>
      <w:r>
        <w:rPr>
          <w:rFonts w:hint="eastAsia" w:ascii="Times New Roman" w:hAnsi="Times New Roman" w:eastAsia="仿宋_GB2312"/>
          <w:sz w:val="32"/>
          <w:szCs w:val="30"/>
        </w:rPr>
        <w:t>5</w:t>
      </w:r>
      <w:r>
        <w:rPr>
          <w:rFonts w:hint="eastAsia" w:ascii="Times New Roman" w:hAnsi="Times New Roman" w:eastAsia="仿宋_GB2312"/>
          <w:sz w:val="32"/>
          <w:szCs w:val="30"/>
          <w:lang w:val="en"/>
        </w:rPr>
        <w:t>年第</w:t>
      </w:r>
      <w:r>
        <w:rPr>
          <w:rFonts w:hint="eastAsia" w:ascii="Times New Roman" w:hAnsi="Times New Roman" w:eastAsia="仿宋_GB2312"/>
          <w:sz w:val="32"/>
          <w:szCs w:val="30"/>
        </w:rPr>
        <w:t>4</w:t>
      </w:r>
      <w:r>
        <w:rPr>
          <w:rFonts w:hint="eastAsia" w:ascii="Times New Roman" w:hAnsi="Times New Roman" w:eastAsia="仿宋_GB2312"/>
          <w:sz w:val="32"/>
          <w:szCs w:val="30"/>
          <w:lang w:val="en"/>
        </w:rPr>
        <w:t>号</w:t>
      </w:r>
      <w:r>
        <w:rPr>
          <w:rFonts w:hint="eastAsia" w:ascii="Times New Roman" w:hAnsi="Times New Roman" w:eastAsia="仿宋_GB2312"/>
          <w:sz w:val="32"/>
          <w:szCs w:val="30"/>
        </w:rPr>
        <w:t>[Z].</w:t>
      </w:r>
    </w:p>
    <w:p w14:paraId="44511DF5">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[11]GB/T 42062-2022,医疗器械风险管理对医疗器械的应用[S].</w:t>
      </w:r>
    </w:p>
    <w:p w14:paraId="24AEDDFD">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[12]GB/T 21415-2025,体外诊断医疗器械 建立校准品、正确度控制物质和人体样品赋值的计量溯源性要求[S].</w:t>
      </w:r>
    </w:p>
    <w:p w14:paraId="24AF01CC">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[13]YY/T 1549-2024,生化分析仪用校准物[S].</w:t>
      </w:r>
    </w:p>
    <w:p w14:paraId="441F337A">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[14]YY/T 1662-2019,生化分析仪用质控物[S].</w:t>
      </w:r>
    </w:p>
    <w:p w14:paraId="462E3125">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[15]YY/T 1709-2020,体外诊断试剂用校准物测量不确定度评定[S].</w:t>
      </w:r>
    </w:p>
    <w:p w14:paraId="54137B37">
      <w:pPr>
        <w:pStyle w:val="21"/>
        <w:overflowPunct w:val="0"/>
        <w:autoSpaceDE w:val="0"/>
        <w:autoSpaceDN w:val="0"/>
        <w:spacing w:line="520" w:lineRule="exact"/>
        <w:ind w:firstLine="640"/>
        <w:outlineLvl w:val="2"/>
        <w:rPr>
          <w:rFonts w:ascii="Times New Roman" w:hAnsi="Times New Roman" w:eastAsia="仿宋_GB2312"/>
          <w:sz w:val="32"/>
          <w:szCs w:val="32"/>
        </w:rPr>
      </w:pPr>
      <w:r>
        <w:rPr>
          <w:rFonts w:hint="eastAsia" w:ascii="Times New Roman" w:hAnsi="Times New Roman" w:eastAsia="仿宋_GB2312"/>
          <w:sz w:val="32"/>
          <w:szCs w:val="32"/>
        </w:rPr>
        <w:t>[16]YY/T 1579-2018,体外诊断医疗器械 体外诊断试剂稳定性评价[S].</w:t>
      </w:r>
    </w:p>
    <w:p w14:paraId="6E567695">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[17]WS/T 356-2024,参考物质互换性评估指南[S].</w:t>
      </w:r>
    </w:p>
    <w:p w14:paraId="6D491434">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[18]YY/T 1789.2-2021,体外诊断检验系统 性能评价方法 第2部分：正确度[S].</w:t>
      </w:r>
    </w:p>
    <w:p w14:paraId="2FA7543B">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[19]YY/T 1789.1-2021,体外诊断检验系统 性能评价方法 第1部分：精密度[S].</w:t>
      </w:r>
    </w:p>
    <w:p w14:paraId="3C178981">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[20]YY/T 1789.3-2022,体外诊断检验系统 性能评价方法 第3部分：检出限与定量限[S].</w:t>
      </w:r>
    </w:p>
    <w:p w14:paraId="2D366224">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[21]YY/T 1789.5-2023,体外诊断检验系统 性能评价方法 第5部分：分析特异性[S].</w:t>
      </w:r>
    </w:p>
    <w:p w14:paraId="013CC16D">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[22]YY/T 1789.4-2022,体外诊断检验系统 性能评价方法 第4部分：线性区间与可报告区间[S].</w:t>
      </w:r>
    </w:p>
    <w:p w14:paraId="36759A12">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3</w:t>
      </w:r>
      <w:r>
        <w:rPr>
          <w:rFonts w:ascii="Times New Roman" w:hAnsi="Times New Roman" w:eastAsia="仿宋_GB2312"/>
          <w:sz w:val="32"/>
          <w:szCs w:val="32"/>
        </w:rPr>
        <w:t>]GB/T 26124</w:t>
      </w:r>
      <w:r>
        <w:rPr>
          <w:rFonts w:hint="eastAsia" w:ascii="Times New Roman" w:hAnsi="Times New Roman" w:eastAsia="仿宋_GB2312"/>
          <w:sz w:val="32"/>
          <w:szCs w:val="32"/>
        </w:rPr>
        <w:t>-2011</w:t>
      </w:r>
      <w:r>
        <w:rPr>
          <w:rFonts w:ascii="Times New Roman" w:hAnsi="Times New Roman" w:eastAsia="仿宋_GB2312"/>
          <w:sz w:val="32"/>
          <w:szCs w:val="32"/>
        </w:rPr>
        <w:t>,临床化学体外诊断试剂（盒）[S].</w:t>
      </w:r>
    </w:p>
    <w:p w14:paraId="26B820F5">
      <w:pPr>
        <w:overflowPunct w:val="0"/>
        <w:autoSpaceDE w:val="0"/>
        <w:autoSpaceDN w:val="0"/>
        <w:spacing w:line="520" w:lineRule="exact"/>
        <w:ind w:firstLine="640" w:firstLineChars="200"/>
        <w:outlineLvl w:val="2"/>
        <w:rPr>
          <w:rFonts w:ascii="Times New Roman" w:hAnsi="Times New Roman" w:eastAsia="仿宋_GB2312"/>
          <w:sz w:val="32"/>
          <w:szCs w:val="30"/>
        </w:rPr>
      </w:pPr>
      <w:r>
        <w:rPr>
          <w:rFonts w:ascii="Times New Roman" w:hAnsi="Times New Roman" w:eastAsia="仿宋_GB2312"/>
          <w:sz w:val="32"/>
          <w:szCs w:val="30"/>
        </w:rPr>
        <w:t>[2</w:t>
      </w:r>
      <w:r>
        <w:rPr>
          <w:rFonts w:hint="eastAsia" w:ascii="Times New Roman" w:hAnsi="Times New Roman" w:eastAsia="仿宋_GB2312"/>
          <w:sz w:val="32"/>
          <w:szCs w:val="30"/>
        </w:rPr>
        <w:t>4</w:t>
      </w:r>
      <w:r>
        <w:rPr>
          <w:rFonts w:ascii="Times New Roman" w:hAnsi="Times New Roman" w:eastAsia="仿宋_GB2312"/>
          <w:sz w:val="32"/>
          <w:szCs w:val="30"/>
        </w:rPr>
        <w:t>]YY/T 1227</w:t>
      </w:r>
      <w:r>
        <w:rPr>
          <w:rFonts w:hint="eastAsia" w:ascii="Times New Roman" w:hAnsi="Times New Roman" w:eastAsia="仿宋_GB2312"/>
          <w:sz w:val="32"/>
          <w:szCs w:val="30"/>
        </w:rPr>
        <w:t>-2014</w:t>
      </w:r>
      <w:r>
        <w:rPr>
          <w:rFonts w:ascii="Times New Roman" w:hAnsi="Times New Roman" w:eastAsia="仿宋_GB2312"/>
          <w:sz w:val="32"/>
          <w:szCs w:val="30"/>
        </w:rPr>
        <w:t>,临床化学体外诊断试剂（盒）命名[S].</w:t>
      </w:r>
    </w:p>
    <w:p w14:paraId="6F2C36E9">
      <w:pPr>
        <w:overflowPunct w:val="0"/>
        <w:autoSpaceDE w:val="0"/>
        <w:autoSpaceDN w:val="0"/>
        <w:ind w:firstLine="640" w:firstLineChars="200"/>
        <w:outlineLvl w:val="2"/>
        <w:rPr>
          <w:rFonts w:ascii="Times New Roman" w:hAnsi="Times New Roman" w:eastAsia="仿宋_GB2312"/>
          <w:sz w:val="32"/>
          <w:szCs w:val="32"/>
        </w:rPr>
      </w:pPr>
      <w:r>
        <w:rPr>
          <w:rFonts w:hint="eastAsia" w:ascii="Times New Roman" w:hAnsi="Times New Roman" w:eastAsia="仿宋_GB2312"/>
          <w:sz w:val="32"/>
          <w:szCs w:val="30"/>
        </w:rPr>
        <w:t>[25]尚红,王毓三,申子瑜.全国临床检验操作规程（第4版）</w:t>
      </w:r>
      <w:r>
        <w:rPr>
          <w:rFonts w:ascii="Times New Roman" w:hAnsi="Times New Roman" w:eastAsia="仿宋_GB2312"/>
          <w:sz w:val="32"/>
          <w:szCs w:val="30"/>
        </w:rPr>
        <w:t>[M]</w:t>
      </w:r>
      <w:r>
        <w:rPr>
          <w:rFonts w:hint="eastAsia" w:ascii="Times New Roman" w:hAnsi="Times New Roman" w:eastAsia="仿宋_GB2312"/>
          <w:sz w:val="32"/>
          <w:szCs w:val="30"/>
        </w:rPr>
        <w:t>.北京:人民卫生出版社.2015.</w:t>
      </w:r>
      <w:bookmarkEnd w:id="0"/>
    </w:p>
    <w:sectPr>
      <w:footerReference r:id="rId3" w:type="default"/>
      <w:footerReference r:id="rId4" w:type="even"/>
      <w:pgSz w:w="11906" w:h="16838"/>
      <w:pgMar w:top="2098" w:right="1588" w:bottom="2098" w:left="1588" w:header="851" w:footer="567" w:gutter="0"/>
      <w:lnNumType w:countBy="1" w:restart="newSection"/>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CE4C9">
    <w:pPr>
      <w:pStyle w:val="7"/>
      <w:framePr w:wrap="around" w:vAnchor="text" w:hAnchor="margin" w:xAlign="outside" w:y="1"/>
      <w:jc w:val="center"/>
      <w:rPr>
        <w:rStyle w:val="13"/>
        <w:rFonts w:ascii="Times New Roman" w:hAnsi="Times New Roman"/>
        <w:sz w:val="28"/>
      </w:rPr>
    </w:pPr>
    <w:r>
      <w:rPr>
        <w:rStyle w:val="13"/>
        <w:rFonts w:ascii="Times New Roman" w:hAnsi="Times New Roman"/>
        <w:sz w:val="28"/>
      </w:rPr>
      <w:t xml:space="preserve">— </w:t>
    </w:r>
    <w:r>
      <w:rPr>
        <w:rStyle w:val="13"/>
        <w:rFonts w:ascii="Times New Roman" w:hAnsi="Times New Roman"/>
        <w:sz w:val="28"/>
      </w:rPr>
      <w:fldChar w:fldCharType="begin"/>
    </w:r>
    <w:r>
      <w:rPr>
        <w:rStyle w:val="13"/>
        <w:rFonts w:ascii="Times New Roman" w:hAnsi="Times New Roman"/>
        <w:sz w:val="28"/>
      </w:rPr>
      <w:instrText xml:space="preserve">PAGE  </w:instrText>
    </w:r>
    <w:r>
      <w:rPr>
        <w:rStyle w:val="13"/>
        <w:rFonts w:ascii="Times New Roman" w:hAnsi="Times New Roman"/>
        <w:sz w:val="28"/>
      </w:rPr>
      <w:fldChar w:fldCharType="separate"/>
    </w:r>
    <w:r>
      <w:rPr>
        <w:rStyle w:val="13"/>
        <w:rFonts w:ascii="Times New Roman" w:hAnsi="Times New Roman"/>
        <w:sz w:val="28"/>
      </w:rPr>
      <w:t>1</w:t>
    </w:r>
    <w:r>
      <w:rPr>
        <w:rStyle w:val="13"/>
        <w:rFonts w:ascii="Times New Roman" w:hAnsi="Times New Roman"/>
        <w:sz w:val="28"/>
      </w:rPr>
      <w:fldChar w:fldCharType="end"/>
    </w:r>
    <w:r>
      <w:rPr>
        <w:rStyle w:val="13"/>
        <w:rFonts w:ascii="Times New Roman" w:hAnsi="Times New Roman"/>
        <w:sz w:val="28"/>
      </w:rPr>
      <w:t xml:space="preserve"> —</w:t>
    </w:r>
  </w:p>
  <w:p w14:paraId="5E23AA2C">
    <w:pPr>
      <w:pStyle w:val="7"/>
      <w:ind w:right="360" w:firstLine="360"/>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85F2B">
    <w:pPr>
      <w:pStyle w:val="7"/>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14:paraId="08F674BD">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1C4A93"/>
    <w:rsid w:val="00002D98"/>
    <w:rsid w:val="00005645"/>
    <w:rsid w:val="000073DF"/>
    <w:rsid w:val="00017086"/>
    <w:rsid w:val="000179A6"/>
    <w:rsid w:val="00017E31"/>
    <w:rsid w:val="000349E3"/>
    <w:rsid w:val="00043998"/>
    <w:rsid w:val="0004415C"/>
    <w:rsid w:val="00050795"/>
    <w:rsid w:val="00050C91"/>
    <w:rsid w:val="000604D6"/>
    <w:rsid w:val="00064FB5"/>
    <w:rsid w:val="000658EF"/>
    <w:rsid w:val="00094C9E"/>
    <w:rsid w:val="000B2012"/>
    <w:rsid w:val="000B2EDA"/>
    <w:rsid w:val="000B4349"/>
    <w:rsid w:val="000C6D6C"/>
    <w:rsid w:val="000C7D6E"/>
    <w:rsid w:val="000D03C7"/>
    <w:rsid w:val="000D0B6C"/>
    <w:rsid w:val="000D0EB2"/>
    <w:rsid w:val="000D172C"/>
    <w:rsid w:val="000D4FE6"/>
    <w:rsid w:val="000D7B1E"/>
    <w:rsid w:val="000E1F66"/>
    <w:rsid w:val="000E2655"/>
    <w:rsid w:val="000E4350"/>
    <w:rsid w:val="000E75E2"/>
    <w:rsid w:val="00102770"/>
    <w:rsid w:val="00111D0E"/>
    <w:rsid w:val="00113172"/>
    <w:rsid w:val="001140B1"/>
    <w:rsid w:val="00136008"/>
    <w:rsid w:val="001378D7"/>
    <w:rsid w:val="00140CE5"/>
    <w:rsid w:val="00142268"/>
    <w:rsid w:val="00142FF6"/>
    <w:rsid w:val="0014750F"/>
    <w:rsid w:val="001523BC"/>
    <w:rsid w:val="00155213"/>
    <w:rsid w:val="0015788B"/>
    <w:rsid w:val="001653B9"/>
    <w:rsid w:val="00166E31"/>
    <w:rsid w:val="00171530"/>
    <w:rsid w:val="001733FF"/>
    <w:rsid w:val="00173C61"/>
    <w:rsid w:val="00180EA3"/>
    <w:rsid w:val="00181BAF"/>
    <w:rsid w:val="00192D6B"/>
    <w:rsid w:val="00193244"/>
    <w:rsid w:val="001A7174"/>
    <w:rsid w:val="001A7EAF"/>
    <w:rsid w:val="001B4C9E"/>
    <w:rsid w:val="001C4A93"/>
    <w:rsid w:val="001C5C4E"/>
    <w:rsid w:val="001D172E"/>
    <w:rsid w:val="001D60CB"/>
    <w:rsid w:val="001E04C5"/>
    <w:rsid w:val="001E6ECB"/>
    <w:rsid w:val="001F0C0A"/>
    <w:rsid w:val="002042EF"/>
    <w:rsid w:val="00206620"/>
    <w:rsid w:val="002140F1"/>
    <w:rsid w:val="002167DB"/>
    <w:rsid w:val="00226993"/>
    <w:rsid w:val="00230382"/>
    <w:rsid w:val="002336D7"/>
    <w:rsid w:val="0024389E"/>
    <w:rsid w:val="00247E32"/>
    <w:rsid w:val="0025361D"/>
    <w:rsid w:val="00263BDA"/>
    <w:rsid w:val="00264359"/>
    <w:rsid w:val="002735A2"/>
    <w:rsid w:val="00274C54"/>
    <w:rsid w:val="00276B70"/>
    <w:rsid w:val="00280D28"/>
    <w:rsid w:val="002826C4"/>
    <w:rsid w:val="0028370E"/>
    <w:rsid w:val="002837B0"/>
    <w:rsid w:val="00285C36"/>
    <w:rsid w:val="002920F5"/>
    <w:rsid w:val="0029346F"/>
    <w:rsid w:val="002B46E8"/>
    <w:rsid w:val="002B5333"/>
    <w:rsid w:val="002B674F"/>
    <w:rsid w:val="002C15C5"/>
    <w:rsid w:val="002C1F97"/>
    <w:rsid w:val="002C251F"/>
    <w:rsid w:val="002C3075"/>
    <w:rsid w:val="002C719F"/>
    <w:rsid w:val="002D1676"/>
    <w:rsid w:val="002D1FB6"/>
    <w:rsid w:val="002D3214"/>
    <w:rsid w:val="002D68C6"/>
    <w:rsid w:val="002E592B"/>
    <w:rsid w:val="002F061F"/>
    <w:rsid w:val="00301A1E"/>
    <w:rsid w:val="003042B1"/>
    <w:rsid w:val="0030510B"/>
    <w:rsid w:val="00305C00"/>
    <w:rsid w:val="00317F8D"/>
    <w:rsid w:val="003234E6"/>
    <w:rsid w:val="00333E56"/>
    <w:rsid w:val="003429F8"/>
    <w:rsid w:val="0035662A"/>
    <w:rsid w:val="00360526"/>
    <w:rsid w:val="003714DA"/>
    <w:rsid w:val="00371EF7"/>
    <w:rsid w:val="00373592"/>
    <w:rsid w:val="003735A9"/>
    <w:rsid w:val="00375224"/>
    <w:rsid w:val="00376ABA"/>
    <w:rsid w:val="0038118D"/>
    <w:rsid w:val="003823EB"/>
    <w:rsid w:val="003A49BF"/>
    <w:rsid w:val="003A79E1"/>
    <w:rsid w:val="003C077B"/>
    <w:rsid w:val="003C4DC4"/>
    <w:rsid w:val="003C6CCC"/>
    <w:rsid w:val="003D05FC"/>
    <w:rsid w:val="003D715B"/>
    <w:rsid w:val="003E2657"/>
    <w:rsid w:val="003E52EA"/>
    <w:rsid w:val="003E66B5"/>
    <w:rsid w:val="003F1FB5"/>
    <w:rsid w:val="003F7C36"/>
    <w:rsid w:val="00413C91"/>
    <w:rsid w:val="004246C2"/>
    <w:rsid w:val="004366B2"/>
    <w:rsid w:val="00456BEE"/>
    <w:rsid w:val="004638F0"/>
    <w:rsid w:val="00467BB5"/>
    <w:rsid w:val="004764A5"/>
    <w:rsid w:val="0048319E"/>
    <w:rsid w:val="00497D35"/>
    <w:rsid w:val="004A4EFA"/>
    <w:rsid w:val="004A640E"/>
    <w:rsid w:val="004B4C1B"/>
    <w:rsid w:val="004C3B7B"/>
    <w:rsid w:val="004C3DB5"/>
    <w:rsid w:val="004D1D2C"/>
    <w:rsid w:val="004D3925"/>
    <w:rsid w:val="004E0AD8"/>
    <w:rsid w:val="004E53BE"/>
    <w:rsid w:val="004E690A"/>
    <w:rsid w:val="004F0DBF"/>
    <w:rsid w:val="005229CD"/>
    <w:rsid w:val="0052560B"/>
    <w:rsid w:val="00535368"/>
    <w:rsid w:val="00545E5A"/>
    <w:rsid w:val="005476D0"/>
    <w:rsid w:val="00551AF8"/>
    <w:rsid w:val="00557074"/>
    <w:rsid w:val="0056017C"/>
    <w:rsid w:val="005701C9"/>
    <w:rsid w:val="00570DBB"/>
    <w:rsid w:val="00576494"/>
    <w:rsid w:val="00577667"/>
    <w:rsid w:val="005961E9"/>
    <w:rsid w:val="00597E85"/>
    <w:rsid w:val="005A7179"/>
    <w:rsid w:val="005B2B10"/>
    <w:rsid w:val="005C2046"/>
    <w:rsid w:val="005C2F49"/>
    <w:rsid w:val="005C3427"/>
    <w:rsid w:val="005C3731"/>
    <w:rsid w:val="005C76EE"/>
    <w:rsid w:val="005D1FB4"/>
    <w:rsid w:val="005E713B"/>
    <w:rsid w:val="005F35D9"/>
    <w:rsid w:val="005F48F1"/>
    <w:rsid w:val="005F5181"/>
    <w:rsid w:val="00600EAF"/>
    <w:rsid w:val="00603D2F"/>
    <w:rsid w:val="00610C31"/>
    <w:rsid w:val="006133BA"/>
    <w:rsid w:val="00615D9F"/>
    <w:rsid w:val="00617D3C"/>
    <w:rsid w:val="00623D1C"/>
    <w:rsid w:val="0062443C"/>
    <w:rsid w:val="006259A1"/>
    <w:rsid w:val="006276C7"/>
    <w:rsid w:val="00641D1C"/>
    <w:rsid w:val="006504F1"/>
    <w:rsid w:val="00653384"/>
    <w:rsid w:val="00657605"/>
    <w:rsid w:val="006719CA"/>
    <w:rsid w:val="00675810"/>
    <w:rsid w:val="00683B6A"/>
    <w:rsid w:val="00691863"/>
    <w:rsid w:val="00691D08"/>
    <w:rsid w:val="00697A86"/>
    <w:rsid w:val="006A236E"/>
    <w:rsid w:val="006B75F8"/>
    <w:rsid w:val="006C372C"/>
    <w:rsid w:val="006C4B63"/>
    <w:rsid w:val="006E31DA"/>
    <w:rsid w:val="006E65D4"/>
    <w:rsid w:val="006F0BA3"/>
    <w:rsid w:val="006F545A"/>
    <w:rsid w:val="006F7787"/>
    <w:rsid w:val="0070697C"/>
    <w:rsid w:val="007079E0"/>
    <w:rsid w:val="00711D9D"/>
    <w:rsid w:val="00720227"/>
    <w:rsid w:val="00724C18"/>
    <w:rsid w:val="00733A0B"/>
    <w:rsid w:val="00753007"/>
    <w:rsid w:val="0075435F"/>
    <w:rsid w:val="00756079"/>
    <w:rsid w:val="00760B04"/>
    <w:rsid w:val="007629BD"/>
    <w:rsid w:val="00764EE3"/>
    <w:rsid w:val="00771E7F"/>
    <w:rsid w:val="00773584"/>
    <w:rsid w:val="00776EAE"/>
    <w:rsid w:val="007806A7"/>
    <w:rsid w:val="00782544"/>
    <w:rsid w:val="00787E97"/>
    <w:rsid w:val="00797C98"/>
    <w:rsid w:val="007A1E75"/>
    <w:rsid w:val="007A5A57"/>
    <w:rsid w:val="007B1514"/>
    <w:rsid w:val="007B35BC"/>
    <w:rsid w:val="007C2B96"/>
    <w:rsid w:val="007E1B35"/>
    <w:rsid w:val="007E6E21"/>
    <w:rsid w:val="007F0EFA"/>
    <w:rsid w:val="007F388C"/>
    <w:rsid w:val="007F5D35"/>
    <w:rsid w:val="0080381D"/>
    <w:rsid w:val="00804A91"/>
    <w:rsid w:val="00804F83"/>
    <w:rsid w:val="0080559D"/>
    <w:rsid w:val="00806135"/>
    <w:rsid w:val="00815764"/>
    <w:rsid w:val="00821839"/>
    <w:rsid w:val="00826A84"/>
    <w:rsid w:val="00832E7D"/>
    <w:rsid w:val="00836D3D"/>
    <w:rsid w:val="00846DDC"/>
    <w:rsid w:val="00853BC4"/>
    <w:rsid w:val="008648B0"/>
    <w:rsid w:val="00891F2A"/>
    <w:rsid w:val="0089686C"/>
    <w:rsid w:val="008B1B1F"/>
    <w:rsid w:val="008B1DC1"/>
    <w:rsid w:val="008B2849"/>
    <w:rsid w:val="008B485F"/>
    <w:rsid w:val="008C338D"/>
    <w:rsid w:val="008C7986"/>
    <w:rsid w:val="008D772C"/>
    <w:rsid w:val="00911481"/>
    <w:rsid w:val="00911EB6"/>
    <w:rsid w:val="00917C43"/>
    <w:rsid w:val="00931F9E"/>
    <w:rsid w:val="00935037"/>
    <w:rsid w:val="00937E64"/>
    <w:rsid w:val="0094375E"/>
    <w:rsid w:val="0094608B"/>
    <w:rsid w:val="009474DD"/>
    <w:rsid w:val="0095593D"/>
    <w:rsid w:val="00955E15"/>
    <w:rsid w:val="00970094"/>
    <w:rsid w:val="009758EC"/>
    <w:rsid w:val="00980E81"/>
    <w:rsid w:val="00985125"/>
    <w:rsid w:val="00992D25"/>
    <w:rsid w:val="009950A9"/>
    <w:rsid w:val="009A2D00"/>
    <w:rsid w:val="009A2EA2"/>
    <w:rsid w:val="009B163E"/>
    <w:rsid w:val="009C764E"/>
    <w:rsid w:val="009D4CD5"/>
    <w:rsid w:val="009E08FD"/>
    <w:rsid w:val="009E32F8"/>
    <w:rsid w:val="009E6433"/>
    <w:rsid w:val="009F2EE8"/>
    <w:rsid w:val="009F71A8"/>
    <w:rsid w:val="009F73AA"/>
    <w:rsid w:val="00A00350"/>
    <w:rsid w:val="00A03723"/>
    <w:rsid w:val="00A131BB"/>
    <w:rsid w:val="00A13AEC"/>
    <w:rsid w:val="00A14E1E"/>
    <w:rsid w:val="00A30ABD"/>
    <w:rsid w:val="00A333E4"/>
    <w:rsid w:val="00A35E7D"/>
    <w:rsid w:val="00A37D26"/>
    <w:rsid w:val="00A4679A"/>
    <w:rsid w:val="00A518EB"/>
    <w:rsid w:val="00A53DCC"/>
    <w:rsid w:val="00A75ECB"/>
    <w:rsid w:val="00A8352B"/>
    <w:rsid w:val="00A83985"/>
    <w:rsid w:val="00A83C0E"/>
    <w:rsid w:val="00A9697F"/>
    <w:rsid w:val="00AA516D"/>
    <w:rsid w:val="00AB4067"/>
    <w:rsid w:val="00AB7334"/>
    <w:rsid w:val="00AD630C"/>
    <w:rsid w:val="00AE3F15"/>
    <w:rsid w:val="00AE5922"/>
    <w:rsid w:val="00AE7360"/>
    <w:rsid w:val="00AE7C23"/>
    <w:rsid w:val="00AF25C0"/>
    <w:rsid w:val="00AF31B7"/>
    <w:rsid w:val="00AF4D31"/>
    <w:rsid w:val="00AF6B9E"/>
    <w:rsid w:val="00B015E1"/>
    <w:rsid w:val="00B01AB6"/>
    <w:rsid w:val="00B1327C"/>
    <w:rsid w:val="00B134BC"/>
    <w:rsid w:val="00B13D27"/>
    <w:rsid w:val="00B13FE7"/>
    <w:rsid w:val="00B2408C"/>
    <w:rsid w:val="00B36ECE"/>
    <w:rsid w:val="00B42189"/>
    <w:rsid w:val="00B46A00"/>
    <w:rsid w:val="00B562B1"/>
    <w:rsid w:val="00B6434F"/>
    <w:rsid w:val="00B67D72"/>
    <w:rsid w:val="00B76C5B"/>
    <w:rsid w:val="00B84214"/>
    <w:rsid w:val="00B859BA"/>
    <w:rsid w:val="00B8780E"/>
    <w:rsid w:val="00B93689"/>
    <w:rsid w:val="00BA0886"/>
    <w:rsid w:val="00BA5FB4"/>
    <w:rsid w:val="00BA7D27"/>
    <w:rsid w:val="00BC1965"/>
    <w:rsid w:val="00BE4265"/>
    <w:rsid w:val="00BE5E2C"/>
    <w:rsid w:val="00C04D93"/>
    <w:rsid w:val="00C100CB"/>
    <w:rsid w:val="00C11880"/>
    <w:rsid w:val="00C11F1B"/>
    <w:rsid w:val="00C32A3F"/>
    <w:rsid w:val="00C411A7"/>
    <w:rsid w:val="00C43523"/>
    <w:rsid w:val="00C46288"/>
    <w:rsid w:val="00C471B9"/>
    <w:rsid w:val="00C56A0E"/>
    <w:rsid w:val="00C750A7"/>
    <w:rsid w:val="00C85ADB"/>
    <w:rsid w:val="00C85D6F"/>
    <w:rsid w:val="00C90166"/>
    <w:rsid w:val="00C9330D"/>
    <w:rsid w:val="00C97BFA"/>
    <w:rsid w:val="00CA57FD"/>
    <w:rsid w:val="00CA7415"/>
    <w:rsid w:val="00CC099F"/>
    <w:rsid w:val="00CD2E3D"/>
    <w:rsid w:val="00CE222C"/>
    <w:rsid w:val="00CE417B"/>
    <w:rsid w:val="00CF18E8"/>
    <w:rsid w:val="00CF1FA2"/>
    <w:rsid w:val="00D039AA"/>
    <w:rsid w:val="00D148C0"/>
    <w:rsid w:val="00D17D71"/>
    <w:rsid w:val="00D30F97"/>
    <w:rsid w:val="00D32BE8"/>
    <w:rsid w:val="00D37F9E"/>
    <w:rsid w:val="00D44636"/>
    <w:rsid w:val="00D50823"/>
    <w:rsid w:val="00D54E64"/>
    <w:rsid w:val="00D563B6"/>
    <w:rsid w:val="00D65F00"/>
    <w:rsid w:val="00D6767A"/>
    <w:rsid w:val="00D706B0"/>
    <w:rsid w:val="00D71900"/>
    <w:rsid w:val="00D77B1C"/>
    <w:rsid w:val="00D77CC7"/>
    <w:rsid w:val="00D871FF"/>
    <w:rsid w:val="00D8773C"/>
    <w:rsid w:val="00D9322A"/>
    <w:rsid w:val="00DA713E"/>
    <w:rsid w:val="00DB040F"/>
    <w:rsid w:val="00DB5363"/>
    <w:rsid w:val="00DB5441"/>
    <w:rsid w:val="00DB63C6"/>
    <w:rsid w:val="00DC095D"/>
    <w:rsid w:val="00DC13DE"/>
    <w:rsid w:val="00DC1D27"/>
    <w:rsid w:val="00DC2B4C"/>
    <w:rsid w:val="00DC7D60"/>
    <w:rsid w:val="00DD1925"/>
    <w:rsid w:val="00DD5268"/>
    <w:rsid w:val="00DF16E9"/>
    <w:rsid w:val="00E02DC1"/>
    <w:rsid w:val="00E06529"/>
    <w:rsid w:val="00E074FF"/>
    <w:rsid w:val="00E10925"/>
    <w:rsid w:val="00E13486"/>
    <w:rsid w:val="00E219B5"/>
    <w:rsid w:val="00E30FAC"/>
    <w:rsid w:val="00E33EB4"/>
    <w:rsid w:val="00E379F0"/>
    <w:rsid w:val="00E37FB6"/>
    <w:rsid w:val="00E42246"/>
    <w:rsid w:val="00E52E68"/>
    <w:rsid w:val="00E55756"/>
    <w:rsid w:val="00E55ADA"/>
    <w:rsid w:val="00E70305"/>
    <w:rsid w:val="00E72F31"/>
    <w:rsid w:val="00E811D3"/>
    <w:rsid w:val="00E81913"/>
    <w:rsid w:val="00E8230F"/>
    <w:rsid w:val="00E865C2"/>
    <w:rsid w:val="00E93F3E"/>
    <w:rsid w:val="00E95C91"/>
    <w:rsid w:val="00EA0A3C"/>
    <w:rsid w:val="00EA3642"/>
    <w:rsid w:val="00EA5F1E"/>
    <w:rsid w:val="00EA6D80"/>
    <w:rsid w:val="00EB4FAF"/>
    <w:rsid w:val="00ED5902"/>
    <w:rsid w:val="00ED6A65"/>
    <w:rsid w:val="00EE0281"/>
    <w:rsid w:val="00EE2330"/>
    <w:rsid w:val="00EE369B"/>
    <w:rsid w:val="00EE4349"/>
    <w:rsid w:val="00EF3397"/>
    <w:rsid w:val="00EF5EAC"/>
    <w:rsid w:val="00EF73A4"/>
    <w:rsid w:val="00F10038"/>
    <w:rsid w:val="00F17166"/>
    <w:rsid w:val="00F23D15"/>
    <w:rsid w:val="00F25329"/>
    <w:rsid w:val="00F25DF4"/>
    <w:rsid w:val="00F267C0"/>
    <w:rsid w:val="00F30941"/>
    <w:rsid w:val="00F346AC"/>
    <w:rsid w:val="00F400FF"/>
    <w:rsid w:val="00F43DD5"/>
    <w:rsid w:val="00F57AF8"/>
    <w:rsid w:val="00F60496"/>
    <w:rsid w:val="00F67969"/>
    <w:rsid w:val="00F72A30"/>
    <w:rsid w:val="00F74C10"/>
    <w:rsid w:val="00F82B8B"/>
    <w:rsid w:val="00F854D0"/>
    <w:rsid w:val="00F90227"/>
    <w:rsid w:val="00F902C2"/>
    <w:rsid w:val="00F90F68"/>
    <w:rsid w:val="00F937F3"/>
    <w:rsid w:val="00F93FA4"/>
    <w:rsid w:val="00FA0231"/>
    <w:rsid w:val="00FA3A34"/>
    <w:rsid w:val="00FA3DC9"/>
    <w:rsid w:val="00FA4F47"/>
    <w:rsid w:val="00FB19E4"/>
    <w:rsid w:val="00FB293C"/>
    <w:rsid w:val="00FB42BB"/>
    <w:rsid w:val="00FB7E42"/>
    <w:rsid w:val="00FC30FC"/>
    <w:rsid w:val="00FD3FF2"/>
    <w:rsid w:val="00FE13B6"/>
    <w:rsid w:val="00FF38A9"/>
    <w:rsid w:val="010D427B"/>
    <w:rsid w:val="011438D0"/>
    <w:rsid w:val="01287101"/>
    <w:rsid w:val="015E7A86"/>
    <w:rsid w:val="017E4693"/>
    <w:rsid w:val="01802C9E"/>
    <w:rsid w:val="01901C06"/>
    <w:rsid w:val="01C20BC1"/>
    <w:rsid w:val="01C669C3"/>
    <w:rsid w:val="026C302E"/>
    <w:rsid w:val="027F3401"/>
    <w:rsid w:val="029A3526"/>
    <w:rsid w:val="02B81FC4"/>
    <w:rsid w:val="02F30621"/>
    <w:rsid w:val="03363F4A"/>
    <w:rsid w:val="035C5EB1"/>
    <w:rsid w:val="03761F50"/>
    <w:rsid w:val="037800D1"/>
    <w:rsid w:val="037C7B90"/>
    <w:rsid w:val="0388101D"/>
    <w:rsid w:val="041A374B"/>
    <w:rsid w:val="04476CA5"/>
    <w:rsid w:val="044E5D30"/>
    <w:rsid w:val="04584219"/>
    <w:rsid w:val="046F1527"/>
    <w:rsid w:val="049A4077"/>
    <w:rsid w:val="050F7B87"/>
    <w:rsid w:val="05123299"/>
    <w:rsid w:val="052C0A0D"/>
    <w:rsid w:val="05384A18"/>
    <w:rsid w:val="05455CCF"/>
    <w:rsid w:val="054D2E98"/>
    <w:rsid w:val="0552672D"/>
    <w:rsid w:val="05571F68"/>
    <w:rsid w:val="05771527"/>
    <w:rsid w:val="057C63FE"/>
    <w:rsid w:val="05C72E63"/>
    <w:rsid w:val="062A39F0"/>
    <w:rsid w:val="0652385F"/>
    <w:rsid w:val="06543ADB"/>
    <w:rsid w:val="066466EB"/>
    <w:rsid w:val="067E5222"/>
    <w:rsid w:val="068E0A70"/>
    <w:rsid w:val="06935451"/>
    <w:rsid w:val="06A86609"/>
    <w:rsid w:val="06AC7AFA"/>
    <w:rsid w:val="06C0220B"/>
    <w:rsid w:val="07393278"/>
    <w:rsid w:val="07682031"/>
    <w:rsid w:val="07746C0E"/>
    <w:rsid w:val="077C6004"/>
    <w:rsid w:val="079442BA"/>
    <w:rsid w:val="07960EAC"/>
    <w:rsid w:val="08645744"/>
    <w:rsid w:val="08991640"/>
    <w:rsid w:val="089B6610"/>
    <w:rsid w:val="08A57CAC"/>
    <w:rsid w:val="08A92ADB"/>
    <w:rsid w:val="08C35153"/>
    <w:rsid w:val="08E564AA"/>
    <w:rsid w:val="08FA6A85"/>
    <w:rsid w:val="09542264"/>
    <w:rsid w:val="095B75E9"/>
    <w:rsid w:val="0990396B"/>
    <w:rsid w:val="09A067CC"/>
    <w:rsid w:val="09BD49D9"/>
    <w:rsid w:val="09FC77F2"/>
    <w:rsid w:val="0A4B7CFE"/>
    <w:rsid w:val="0A627D2B"/>
    <w:rsid w:val="0A6C7F90"/>
    <w:rsid w:val="0A8A1981"/>
    <w:rsid w:val="0A981752"/>
    <w:rsid w:val="0A9B387F"/>
    <w:rsid w:val="0AC76B47"/>
    <w:rsid w:val="0AD656DD"/>
    <w:rsid w:val="0B220220"/>
    <w:rsid w:val="0B651FAB"/>
    <w:rsid w:val="0C0E5438"/>
    <w:rsid w:val="0C193A4F"/>
    <w:rsid w:val="0C6E18F7"/>
    <w:rsid w:val="0C772EBD"/>
    <w:rsid w:val="0C9C26BB"/>
    <w:rsid w:val="0CAD50D9"/>
    <w:rsid w:val="0CE31F90"/>
    <w:rsid w:val="0D0B3D64"/>
    <w:rsid w:val="0D0C2EB8"/>
    <w:rsid w:val="0D40111B"/>
    <w:rsid w:val="0D4032E2"/>
    <w:rsid w:val="0D4A4F41"/>
    <w:rsid w:val="0D75205D"/>
    <w:rsid w:val="0DB6513F"/>
    <w:rsid w:val="0DB82777"/>
    <w:rsid w:val="0DD65638"/>
    <w:rsid w:val="0DE10918"/>
    <w:rsid w:val="0DF366E5"/>
    <w:rsid w:val="0E201CFF"/>
    <w:rsid w:val="0E290DAE"/>
    <w:rsid w:val="0E2B5B32"/>
    <w:rsid w:val="0E3E0F0C"/>
    <w:rsid w:val="0E71630D"/>
    <w:rsid w:val="0E783E9E"/>
    <w:rsid w:val="0EED4EC0"/>
    <w:rsid w:val="0EF055A6"/>
    <w:rsid w:val="0EF233DD"/>
    <w:rsid w:val="0F422C02"/>
    <w:rsid w:val="0F8B745A"/>
    <w:rsid w:val="0F8E2D11"/>
    <w:rsid w:val="0F9D3360"/>
    <w:rsid w:val="100B1B19"/>
    <w:rsid w:val="103C5D1C"/>
    <w:rsid w:val="105C7D07"/>
    <w:rsid w:val="1094667F"/>
    <w:rsid w:val="10992F58"/>
    <w:rsid w:val="10FC7073"/>
    <w:rsid w:val="111059D6"/>
    <w:rsid w:val="1111746F"/>
    <w:rsid w:val="11896D30"/>
    <w:rsid w:val="11A817FE"/>
    <w:rsid w:val="11C0747E"/>
    <w:rsid w:val="11FC654D"/>
    <w:rsid w:val="121A73FA"/>
    <w:rsid w:val="121D1E44"/>
    <w:rsid w:val="122B5F07"/>
    <w:rsid w:val="1243751B"/>
    <w:rsid w:val="12464B79"/>
    <w:rsid w:val="12601C59"/>
    <w:rsid w:val="127F432E"/>
    <w:rsid w:val="12856C11"/>
    <w:rsid w:val="12A43414"/>
    <w:rsid w:val="12BA2EF2"/>
    <w:rsid w:val="12D02550"/>
    <w:rsid w:val="131A4868"/>
    <w:rsid w:val="133064DC"/>
    <w:rsid w:val="133E6F8D"/>
    <w:rsid w:val="13496947"/>
    <w:rsid w:val="139B7769"/>
    <w:rsid w:val="13BF2233"/>
    <w:rsid w:val="140C0338"/>
    <w:rsid w:val="14817C14"/>
    <w:rsid w:val="149979A8"/>
    <w:rsid w:val="14A2550E"/>
    <w:rsid w:val="14F42CA3"/>
    <w:rsid w:val="14F935AB"/>
    <w:rsid w:val="150E12AF"/>
    <w:rsid w:val="15111E85"/>
    <w:rsid w:val="1516486E"/>
    <w:rsid w:val="154D6A15"/>
    <w:rsid w:val="155C679B"/>
    <w:rsid w:val="15744533"/>
    <w:rsid w:val="15781293"/>
    <w:rsid w:val="1584272E"/>
    <w:rsid w:val="15B26D34"/>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86B3909"/>
    <w:rsid w:val="187C6B97"/>
    <w:rsid w:val="18AC2652"/>
    <w:rsid w:val="18AF5DCE"/>
    <w:rsid w:val="18B52DD6"/>
    <w:rsid w:val="18ED7E05"/>
    <w:rsid w:val="18EF16BA"/>
    <w:rsid w:val="192B70A3"/>
    <w:rsid w:val="19383F06"/>
    <w:rsid w:val="197A7080"/>
    <w:rsid w:val="199371D9"/>
    <w:rsid w:val="19F10558"/>
    <w:rsid w:val="1A072E3F"/>
    <w:rsid w:val="1A0C2EC9"/>
    <w:rsid w:val="1A4357AF"/>
    <w:rsid w:val="1B0C2FDB"/>
    <w:rsid w:val="1B1C1E92"/>
    <w:rsid w:val="1B6423A8"/>
    <w:rsid w:val="1B6D05A6"/>
    <w:rsid w:val="1B935EFE"/>
    <w:rsid w:val="1BA21F69"/>
    <w:rsid w:val="1BB03922"/>
    <w:rsid w:val="1BBF18E0"/>
    <w:rsid w:val="1BD619E1"/>
    <w:rsid w:val="1C061FA4"/>
    <w:rsid w:val="1C202C5C"/>
    <w:rsid w:val="1C4D5F14"/>
    <w:rsid w:val="1C5D5574"/>
    <w:rsid w:val="1C665DD8"/>
    <w:rsid w:val="1C9F6277"/>
    <w:rsid w:val="1CD94B46"/>
    <w:rsid w:val="1CEF2854"/>
    <w:rsid w:val="1D054B71"/>
    <w:rsid w:val="1D1C43F3"/>
    <w:rsid w:val="1D1E5B73"/>
    <w:rsid w:val="1D886D0B"/>
    <w:rsid w:val="1DA344B8"/>
    <w:rsid w:val="1DAE4901"/>
    <w:rsid w:val="1DDC662A"/>
    <w:rsid w:val="1E23454B"/>
    <w:rsid w:val="1E404631"/>
    <w:rsid w:val="1E854FF8"/>
    <w:rsid w:val="1EB82C3B"/>
    <w:rsid w:val="1EBD735A"/>
    <w:rsid w:val="1ECF02D5"/>
    <w:rsid w:val="1ED87A98"/>
    <w:rsid w:val="1F25010B"/>
    <w:rsid w:val="1F3802BD"/>
    <w:rsid w:val="1F910CD6"/>
    <w:rsid w:val="1FDE71B0"/>
    <w:rsid w:val="201E06D5"/>
    <w:rsid w:val="2062288E"/>
    <w:rsid w:val="207F50F2"/>
    <w:rsid w:val="208A5CC5"/>
    <w:rsid w:val="20B66977"/>
    <w:rsid w:val="20D75EF1"/>
    <w:rsid w:val="20EF5C2D"/>
    <w:rsid w:val="210D2847"/>
    <w:rsid w:val="2115527C"/>
    <w:rsid w:val="2124007C"/>
    <w:rsid w:val="213A5897"/>
    <w:rsid w:val="214348D3"/>
    <w:rsid w:val="2168092B"/>
    <w:rsid w:val="217102AD"/>
    <w:rsid w:val="21815F4B"/>
    <w:rsid w:val="21843B1C"/>
    <w:rsid w:val="21917931"/>
    <w:rsid w:val="219E6738"/>
    <w:rsid w:val="21CC654E"/>
    <w:rsid w:val="221D6557"/>
    <w:rsid w:val="224B2AEE"/>
    <w:rsid w:val="224E5B27"/>
    <w:rsid w:val="2260197D"/>
    <w:rsid w:val="2264222E"/>
    <w:rsid w:val="227D5E0B"/>
    <w:rsid w:val="22B14323"/>
    <w:rsid w:val="22D64075"/>
    <w:rsid w:val="22EF1590"/>
    <w:rsid w:val="22F745A9"/>
    <w:rsid w:val="22FB7F7F"/>
    <w:rsid w:val="2305267D"/>
    <w:rsid w:val="233D728F"/>
    <w:rsid w:val="23496F3C"/>
    <w:rsid w:val="234F12F3"/>
    <w:rsid w:val="236710EB"/>
    <w:rsid w:val="23EC08A3"/>
    <w:rsid w:val="24394E29"/>
    <w:rsid w:val="24971EEC"/>
    <w:rsid w:val="24BD609C"/>
    <w:rsid w:val="24F77510"/>
    <w:rsid w:val="24FD4C67"/>
    <w:rsid w:val="254508AE"/>
    <w:rsid w:val="25A2713F"/>
    <w:rsid w:val="25F42680"/>
    <w:rsid w:val="25F5765E"/>
    <w:rsid w:val="25FF71F0"/>
    <w:rsid w:val="2639585B"/>
    <w:rsid w:val="26624F0C"/>
    <w:rsid w:val="26663961"/>
    <w:rsid w:val="267E6C87"/>
    <w:rsid w:val="26A12E02"/>
    <w:rsid w:val="26A25B6C"/>
    <w:rsid w:val="26B11081"/>
    <w:rsid w:val="26EC030B"/>
    <w:rsid w:val="26F45FE8"/>
    <w:rsid w:val="26F5375D"/>
    <w:rsid w:val="271832C6"/>
    <w:rsid w:val="27217F50"/>
    <w:rsid w:val="27576948"/>
    <w:rsid w:val="276B2F4E"/>
    <w:rsid w:val="27AA1AFA"/>
    <w:rsid w:val="27EC5CB3"/>
    <w:rsid w:val="280478D6"/>
    <w:rsid w:val="28081174"/>
    <w:rsid w:val="28475135"/>
    <w:rsid w:val="287A6EA8"/>
    <w:rsid w:val="288A6088"/>
    <w:rsid w:val="289F15C7"/>
    <w:rsid w:val="28F21DEB"/>
    <w:rsid w:val="2902302E"/>
    <w:rsid w:val="2967011C"/>
    <w:rsid w:val="29680737"/>
    <w:rsid w:val="296B4003"/>
    <w:rsid w:val="29831926"/>
    <w:rsid w:val="29E131C2"/>
    <w:rsid w:val="29F7670F"/>
    <w:rsid w:val="29FD006C"/>
    <w:rsid w:val="2A32384A"/>
    <w:rsid w:val="2A404244"/>
    <w:rsid w:val="2A7F3741"/>
    <w:rsid w:val="2A827808"/>
    <w:rsid w:val="2A8D61A4"/>
    <w:rsid w:val="2A9F5381"/>
    <w:rsid w:val="2AAB5EEB"/>
    <w:rsid w:val="2ABE3D6C"/>
    <w:rsid w:val="2B3B360F"/>
    <w:rsid w:val="2B4C3EC9"/>
    <w:rsid w:val="2B975B00"/>
    <w:rsid w:val="2BCD0A6E"/>
    <w:rsid w:val="2C27148C"/>
    <w:rsid w:val="2C354016"/>
    <w:rsid w:val="2C7652A9"/>
    <w:rsid w:val="2C7E03C6"/>
    <w:rsid w:val="2C8E553C"/>
    <w:rsid w:val="2CD939B2"/>
    <w:rsid w:val="2D16678B"/>
    <w:rsid w:val="2D6B36B6"/>
    <w:rsid w:val="2D7D04F6"/>
    <w:rsid w:val="2D820A42"/>
    <w:rsid w:val="2D863EDD"/>
    <w:rsid w:val="2DCF6290"/>
    <w:rsid w:val="2DE57862"/>
    <w:rsid w:val="2DF112E3"/>
    <w:rsid w:val="2E0C1292"/>
    <w:rsid w:val="2E2E4AD7"/>
    <w:rsid w:val="2E35E3BA"/>
    <w:rsid w:val="2E494E75"/>
    <w:rsid w:val="2E786556"/>
    <w:rsid w:val="2EC954BE"/>
    <w:rsid w:val="2F1E6B07"/>
    <w:rsid w:val="2FEA19F8"/>
    <w:rsid w:val="30017F6B"/>
    <w:rsid w:val="3022361C"/>
    <w:rsid w:val="30894C2B"/>
    <w:rsid w:val="309F77D5"/>
    <w:rsid w:val="30A75524"/>
    <w:rsid w:val="30B7350A"/>
    <w:rsid w:val="30ED5B06"/>
    <w:rsid w:val="31175F84"/>
    <w:rsid w:val="31423879"/>
    <w:rsid w:val="3148438F"/>
    <w:rsid w:val="31915D35"/>
    <w:rsid w:val="31A63EFA"/>
    <w:rsid w:val="320E446D"/>
    <w:rsid w:val="32316E4E"/>
    <w:rsid w:val="323A6E3C"/>
    <w:rsid w:val="324D01C5"/>
    <w:rsid w:val="32590FE4"/>
    <w:rsid w:val="325B50D8"/>
    <w:rsid w:val="326633C8"/>
    <w:rsid w:val="32695B45"/>
    <w:rsid w:val="337B3AD1"/>
    <w:rsid w:val="338A391C"/>
    <w:rsid w:val="338C5397"/>
    <w:rsid w:val="33C6713C"/>
    <w:rsid w:val="33CA51D2"/>
    <w:rsid w:val="34037F38"/>
    <w:rsid w:val="34191D49"/>
    <w:rsid w:val="343F1729"/>
    <w:rsid w:val="344B3EE6"/>
    <w:rsid w:val="3453300E"/>
    <w:rsid w:val="34631948"/>
    <w:rsid w:val="347412C9"/>
    <w:rsid w:val="349B0E24"/>
    <w:rsid w:val="34B44ACF"/>
    <w:rsid w:val="351C0723"/>
    <w:rsid w:val="351E493F"/>
    <w:rsid w:val="353D3E4A"/>
    <w:rsid w:val="35622F34"/>
    <w:rsid w:val="357D4B7F"/>
    <w:rsid w:val="3594122D"/>
    <w:rsid w:val="35B53FBD"/>
    <w:rsid w:val="35E95339"/>
    <w:rsid w:val="360879A5"/>
    <w:rsid w:val="3618762F"/>
    <w:rsid w:val="362A49AB"/>
    <w:rsid w:val="3688380E"/>
    <w:rsid w:val="36E256B2"/>
    <w:rsid w:val="36FA6AFF"/>
    <w:rsid w:val="373925DA"/>
    <w:rsid w:val="373A4D44"/>
    <w:rsid w:val="374A4338"/>
    <w:rsid w:val="37675CB0"/>
    <w:rsid w:val="376F3581"/>
    <w:rsid w:val="378F36D7"/>
    <w:rsid w:val="37AF69F4"/>
    <w:rsid w:val="37C116E8"/>
    <w:rsid w:val="37D227DC"/>
    <w:rsid w:val="37F14509"/>
    <w:rsid w:val="37F74370"/>
    <w:rsid w:val="3803536C"/>
    <w:rsid w:val="382533D4"/>
    <w:rsid w:val="384B54BA"/>
    <w:rsid w:val="3857135C"/>
    <w:rsid w:val="38653B77"/>
    <w:rsid w:val="38A734CE"/>
    <w:rsid w:val="38AE6310"/>
    <w:rsid w:val="38B81314"/>
    <w:rsid w:val="38C63F2C"/>
    <w:rsid w:val="38E41B3D"/>
    <w:rsid w:val="38E61E80"/>
    <w:rsid w:val="38F372D7"/>
    <w:rsid w:val="390E2362"/>
    <w:rsid w:val="391923A9"/>
    <w:rsid w:val="393F39FD"/>
    <w:rsid w:val="39A02876"/>
    <w:rsid w:val="39C90EC0"/>
    <w:rsid w:val="39DD3AE3"/>
    <w:rsid w:val="39F33F96"/>
    <w:rsid w:val="3A216DEA"/>
    <w:rsid w:val="3A31048C"/>
    <w:rsid w:val="3A6D2D5F"/>
    <w:rsid w:val="3A840D8A"/>
    <w:rsid w:val="3AC05B98"/>
    <w:rsid w:val="3AC52EC3"/>
    <w:rsid w:val="3AF5165A"/>
    <w:rsid w:val="3AFA28C5"/>
    <w:rsid w:val="3B294B84"/>
    <w:rsid w:val="3B401E4A"/>
    <w:rsid w:val="3B970DFD"/>
    <w:rsid w:val="3C111D45"/>
    <w:rsid w:val="3C6132D4"/>
    <w:rsid w:val="3C775321"/>
    <w:rsid w:val="3C7E7080"/>
    <w:rsid w:val="3D106EA8"/>
    <w:rsid w:val="3D3F2152"/>
    <w:rsid w:val="3D4B2A69"/>
    <w:rsid w:val="3D675213"/>
    <w:rsid w:val="3D705CAA"/>
    <w:rsid w:val="3D8D4C12"/>
    <w:rsid w:val="3DA35AEA"/>
    <w:rsid w:val="3DB93259"/>
    <w:rsid w:val="3DBB1674"/>
    <w:rsid w:val="3DD8073C"/>
    <w:rsid w:val="3DE50E3F"/>
    <w:rsid w:val="3DEB44F9"/>
    <w:rsid w:val="3E295732"/>
    <w:rsid w:val="3E38634B"/>
    <w:rsid w:val="3E921D0C"/>
    <w:rsid w:val="3EDE2FDA"/>
    <w:rsid w:val="3EE213D5"/>
    <w:rsid w:val="3EF70D0C"/>
    <w:rsid w:val="3EF71B24"/>
    <w:rsid w:val="3F306BC1"/>
    <w:rsid w:val="3F43088C"/>
    <w:rsid w:val="3F6B79CE"/>
    <w:rsid w:val="3F6E195D"/>
    <w:rsid w:val="3F82034F"/>
    <w:rsid w:val="3F917E5C"/>
    <w:rsid w:val="3FBB6674"/>
    <w:rsid w:val="3FBC6D60"/>
    <w:rsid w:val="3FC01EDD"/>
    <w:rsid w:val="3FEC2CD2"/>
    <w:rsid w:val="404A1C7B"/>
    <w:rsid w:val="40604610"/>
    <w:rsid w:val="4152490D"/>
    <w:rsid w:val="41C247B5"/>
    <w:rsid w:val="41FD7B77"/>
    <w:rsid w:val="42081656"/>
    <w:rsid w:val="420E05F7"/>
    <w:rsid w:val="421227E9"/>
    <w:rsid w:val="421C556B"/>
    <w:rsid w:val="42525621"/>
    <w:rsid w:val="426E3E5E"/>
    <w:rsid w:val="42B222A1"/>
    <w:rsid w:val="42CB5526"/>
    <w:rsid w:val="430A514A"/>
    <w:rsid w:val="431C776B"/>
    <w:rsid w:val="43256EB4"/>
    <w:rsid w:val="434C4A8C"/>
    <w:rsid w:val="43630837"/>
    <w:rsid w:val="438B1AD2"/>
    <w:rsid w:val="439B6DA9"/>
    <w:rsid w:val="439C0B67"/>
    <w:rsid w:val="43B8098E"/>
    <w:rsid w:val="43C24475"/>
    <w:rsid w:val="43D54E3C"/>
    <w:rsid w:val="43E551C2"/>
    <w:rsid w:val="43F041A7"/>
    <w:rsid w:val="4411703E"/>
    <w:rsid w:val="447E4A57"/>
    <w:rsid w:val="44862F50"/>
    <w:rsid w:val="449B7BAA"/>
    <w:rsid w:val="44B16A4C"/>
    <w:rsid w:val="44BC7578"/>
    <w:rsid w:val="44C036BD"/>
    <w:rsid w:val="44D73F50"/>
    <w:rsid w:val="44F06DC0"/>
    <w:rsid w:val="45101210"/>
    <w:rsid w:val="45177D35"/>
    <w:rsid w:val="452F17AC"/>
    <w:rsid w:val="453C1825"/>
    <w:rsid w:val="4582096A"/>
    <w:rsid w:val="458F6A79"/>
    <w:rsid w:val="45B45D7D"/>
    <w:rsid w:val="45B974A7"/>
    <w:rsid w:val="45C506BC"/>
    <w:rsid w:val="45D264C6"/>
    <w:rsid w:val="45ED74FF"/>
    <w:rsid w:val="462F2B71"/>
    <w:rsid w:val="46565FB2"/>
    <w:rsid w:val="465A6F43"/>
    <w:rsid w:val="46684CFC"/>
    <w:rsid w:val="467171AF"/>
    <w:rsid w:val="46821325"/>
    <w:rsid w:val="47072EF9"/>
    <w:rsid w:val="47613FA5"/>
    <w:rsid w:val="47975C19"/>
    <w:rsid w:val="47B447B8"/>
    <w:rsid w:val="48273C8C"/>
    <w:rsid w:val="4851307D"/>
    <w:rsid w:val="48557B7D"/>
    <w:rsid w:val="48A73C3A"/>
    <w:rsid w:val="48D566B0"/>
    <w:rsid w:val="49420D48"/>
    <w:rsid w:val="49580489"/>
    <w:rsid w:val="4959087F"/>
    <w:rsid w:val="496E6789"/>
    <w:rsid w:val="49CD76D0"/>
    <w:rsid w:val="49CF1C21"/>
    <w:rsid w:val="49D374A6"/>
    <w:rsid w:val="4A027854"/>
    <w:rsid w:val="4A4540C0"/>
    <w:rsid w:val="4A466713"/>
    <w:rsid w:val="4A4957BD"/>
    <w:rsid w:val="4A631216"/>
    <w:rsid w:val="4A752C1D"/>
    <w:rsid w:val="4A873F27"/>
    <w:rsid w:val="4AA84AD3"/>
    <w:rsid w:val="4AB34B18"/>
    <w:rsid w:val="4AB8212E"/>
    <w:rsid w:val="4ABF520B"/>
    <w:rsid w:val="4AE80970"/>
    <w:rsid w:val="4B1032E1"/>
    <w:rsid w:val="4B294DDA"/>
    <w:rsid w:val="4B2C6A31"/>
    <w:rsid w:val="4B724926"/>
    <w:rsid w:val="4B7641A5"/>
    <w:rsid w:val="4BCC7617"/>
    <w:rsid w:val="4BCF6EDD"/>
    <w:rsid w:val="4C143A28"/>
    <w:rsid w:val="4C373527"/>
    <w:rsid w:val="4C49293F"/>
    <w:rsid w:val="4C9D1C5D"/>
    <w:rsid w:val="4C9F011F"/>
    <w:rsid w:val="4CA847E5"/>
    <w:rsid w:val="4CAD3A44"/>
    <w:rsid w:val="4CEC30A9"/>
    <w:rsid w:val="4CF6084E"/>
    <w:rsid w:val="4D2E21F3"/>
    <w:rsid w:val="4D585A0E"/>
    <w:rsid w:val="4DB51D1E"/>
    <w:rsid w:val="4E306C62"/>
    <w:rsid w:val="4E555EE6"/>
    <w:rsid w:val="4E5713A7"/>
    <w:rsid w:val="4E991D83"/>
    <w:rsid w:val="4E9D0F60"/>
    <w:rsid w:val="4EC57C70"/>
    <w:rsid w:val="4ECE28CA"/>
    <w:rsid w:val="4EF51408"/>
    <w:rsid w:val="4F2F0AC3"/>
    <w:rsid w:val="4F427D20"/>
    <w:rsid w:val="4F524ECE"/>
    <w:rsid w:val="4F6C1915"/>
    <w:rsid w:val="4FAE4891"/>
    <w:rsid w:val="4FD277EE"/>
    <w:rsid w:val="4FDD4631"/>
    <w:rsid w:val="50067FD5"/>
    <w:rsid w:val="500B5E8E"/>
    <w:rsid w:val="501D6169"/>
    <w:rsid w:val="501F0559"/>
    <w:rsid w:val="503308CA"/>
    <w:rsid w:val="50362716"/>
    <w:rsid w:val="50516A80"/>
    <w:rsid w:val="506325F2"/>
    <w:rsid w:val="506A61DE"/>
    <w:rsid w:val="50B83DB4"/>
    <w:rsid w:val="50E704E7"/>
    <w:rsid w:val="511C3B18"/>
    <w:rsid w:val="51B244A2"/>
    <w:rsid w:val="51B81079"/>
    <w:rsid w:val="51DD0AE1"/>
    <w:rsid w:val="520B5981"/>
    <w:rsid w:val="521079F1"/>
    <w:rsid w:val="52294486"/>
    <w:rsid w:val="522D4C64"/>
    <w:rsid w:val="524E52F4"/>
    <w:rsid w:val="52500E9E"/>
    <w:rsid w:val="526F6DA1"/>
    <w:rsid w:val="52990ADE"/>
    <w:rsid w:val="529B29EF"/>
    <w:rsid w:val="52B668B4"/>
    <w:rsid w:val="52F3506A"/>
    <w:rsid w:val="53106882"/>
    <w:rsid w:val="5381269E"/>
    <w:rsid w:val="5392361E"/>
    <w:rsid w:val="53A36493"/>
    <w:rsid w:val="53A41D87"/>
    <w:rsid w:val="53C47D96"/>
    <w:rsid w:val="542D72CE"/>
    <w:rsid w:val="545801CE"/>
    <w:rsid w:val="546926EB"/>
    <w:rsid w:val="54E66983"/>
    <w:rsid w:val="54EB5AB4"/>
    <w:rsid w:val="54F3433F"/>
    <w:rsid w:val="54FA45B8"/>
    <w:rsid w:val="552C2DEE"/>
    <w:rsid w:val="5545669B"/>
    <w:rsid w:val="55587F35"/>
    <w:rsid w:val="555E3278"/>
    <w:rsid w:val="558B545B"/>
    <w:rsid w:val="55FC6467"/>
    <w:rsid w:val="56244111"/>
    <w:rsid w:val="564D6C42"/>
    <w:rsid w:val="567A7599"/>
    <w:rsid w:val="568A3BA7"/>
    <w:rsid w:val="56BE25AB"/>
    <w:rsid w:val="56EC4F28"/>
    <w:rsid w:val="56FA73DA"/>
    <w:rsid w:val="5707112B"/>
    <w:rsid w:val="57414CDF"/>
    <w:rsid w:val="574F6734"/>
    <w:rsid w:val="57717268"/>
    <w:rsid w:val="578A6B80"/>
    <w:rsid w:val="57CA187A"/>
    <w:rsid w:val="57E07C89"/>
    <w:rsid w:val="57F873D8"/>
    <w:rsid w:val="581806B0"/>
    <w:rsid w:val="58241501"/>
    <w:rsid w:val="585C048A"/>
    <w:rsid w:val="58752D76"/>
    <w:rsid w:val="587A4DAD"/>
    <w:rsid w:val="58F20F01"/>
    <w:rsid w:val="59051D0E"/>
    <w:rsid w:val="590E3CFF"/>
    <w:rsid w:val="59217BF6"/>
    <w:rsid w:val="593B1A23"/>
    <w:rsid w:val="596714B3"/>
    <w:rsid w:val="59757C08"/>
    <w:rsid w:val="59875AED"/>
    <w:rsid w:val="59881B7B"/>
    <w:rsid w:val="59886BC1"/>
    <w:rsid w:val="59983AAF"/>
    <w:rsid w:val="59CB6CA7"/>
    <w:rsid w:val="59D4781D"/>
    <w:rsid w:val="5A285CC6"/>
    <w:rsid w:val="5A484144"/>
    <w:rsid w:val="5A9C268F"/>
    <w:rsid w:val="5AA3704E"/>
    <w:rsid w:val="5AAC64E0"/>
    <w:rsid w:val="5AD8661A"/>
    <w:rsid w:val="5B1F16F4"/>
    <w:rsid w:val="5B4F609A"/>
    <w:rsid w:val="5B5E63DA"/>
    <w:rsid w:val="5B865931"/>
    <w:rsid w:val="5BB26726"/>
    <w:rsid w:val="5BB97AB4"/>
    <w:rsid w:val="5BBD7EED"/>
    <w:rsid w:val="5BCE7E31"/>
    <w:rsid w:val="5BE74621"/>
    <w:rsid w:val="5BEA5712"/>
    <w:rsid w:val="5C1C37BF"/>
    <w:rsid w:val="5C2772EA"/>
    <w:rsid w:val="5C2D1CB7"/>
    <w:rsid w:val="5C9A1269"/>
    <w:rsid w:val="5CB23728"/>
    <w:rsid w:val="5CD95A20"/>
    <w:rsid w:val="5CDE6E86"/>
    <w:rsid w:val="5D1F7BEE"/>
    <w:rsid w:val="5D465F62"/>
    <w:rsid w:val="5D4E06D0"/>
    <w:rsid w:val="5DDC1816"/>
    <w:rsid w:val="5DE643F2"/>
    <w:rsid w:val="5DEB5F1F"/>
    <w:rsid w:val="5DED549E"/>
    <w:rsid w:val="5DF368C7"/>
    <w:rsid w:val="5E0D0708"/>
    <w:rsid w:val="5E193C48"/>
    <w:rsid w:val="5E1C257C"/>
    <w:rsid w:val="5E5C6C5D"/>
    <w:rsid w:val="5EBD47DF"/>
    <w:rsid w:val="5ECD3278"/>
    <w:rsid w:val="5EDC16EA"/>
    <w:rsid w:val="5F343A53"/>
    <w:rsid w:val="5F58634F"/>
    <w:rsid w:val="5F793AEE"/>
    <w:rsid w:val="60253736"/>
    <w:rsid w:val="60397415"/>
    <w:rsid w:val="60556D54"/>
    <w:rsid w:val="60716289"/>
    <w:rsid w:val="60E82C75"/>
    <w:rsid w:val="6106247A"/>
    <w:rsid w:val="613D7581"/>
    <w:rsid w:val="616404C2"/>
    <w:rsid w:val="61664D6A"/>
    <w:rsid w:val="61813FB1"/>
    <w:rsid w:val="61911887"/>
    <w:rsid w:val="61AF3124"/>
    <w:rsid w:val="61BB25E6"/>
    <w:rsid w:val="61D74BB1"/>
    <w:rsid w:val="61F4709F"/>
    <w:rsid w:val="629B3D52"/>
    <w:rsid w:val="62B67A01"/>
    <w:rsid w:val="62E57D44"/>
    <w:rsid w:val="63065898"/>
    <w:rsid w:val="63263794"/>
    <w:rsid w:val="63463955"/>
    <w:rsid w:val="634C5B28"/>
    <w:rsid w:val="639B62B7"/>
    <w:rsid w:val="63BB05C9"/>
    <w:rsid w:val="63D6521E"/>
    <w:rsid w:val="640D145E"/>
    <w:rsid w:val="646764D0"/>
    <w:rsid w:val="647311EB"/>
    <w:rsid w:val="64BE4E43"/>
    <w:rsid w:val="64DA09F6"/>
    <w:rsid w:val="64F255D7"/>
    <w:rsid w:val="65235BA3"/>
    <w:rsid w:val="655F2BD6"/>
    <w:rsid w:val="65674A25"/>
    <w:rsid w:val="6569254B"/>
    <w:rsid w:val="656D72C2"/>
    <w:rsid w:val="65711400"/>
    <w:rsid w:val="657D7F67"/>
    <w:rsid w:val="65E055BC"/>
    <w:rsid w:val="65E770C8"/>
    <w:rsid w:val="65F8742B"/>
    <w:rsid w:val="65FA72FF"/>
    <w:rsid w:val="662875E8"/>
    <w:rsid w:val="66442670"/>
    <w:rsid w:val="6666618F"/>
    <w:rsid w:val="668C20CA"/>
    <w:rsid w:val="66B54E46"/>
    <w:rsid w:val="66F11867"/>
    <w:rsid w:val="66F25E45"/>
    <w:rsid w:val="66FF3FD7"/>
    <w:rsid w:val="6718068C"/>
    <w:rsid w:val="673E4F10"/>
    <w:rsid w:val="67F96FE9"/>
    <w:rsid w:val="68A27894"/>
    <w:rsid w:val="68BC6E36"/>
    <w:rsid w:val="68BE4D6B"/>
    <w:rsid w:val="68C27006"/>
    <w:rsid w:val="68DD3DA0"/>
    <w:rsid w:val="69311704"/>
    <w:rsid w:val="693F5889"/>
    <w:rsid w:val="69454BE8"/>
    <w:rsid w:val="694D0864"/>
    <w:rsid w:val="697414BE"/>
    <w:rsid w:val="697C6302"/>
    <w:rsid w:val="699461BB"/>
    <w:rsid w:val="699D0A15"/>
    <w:rsid w:val="69B46A69"/>
    <w:rsid w:val="69B965BF"/>
    <w:rsid w:val="69BC0885"/>
    <w:rsid w:val="69D06B7F"/>
    <w:rsid w:val="69D92E85"/>
    <w:rsid w:val="6A2F070B"/>
    <w:rsid w:val="6A723D74"/>
    <w:rsid w:val="6A912BCA"/>
    <w:rsid w:val="6AA31330"/>
    <w:rsid w:val="6AD65F1A"/>
    <w:rsid w:val="6ADF4C02"/>
    <w:rsid w:val="6B60165B"/>
    <w:rsid w:val="6BC4735A"/>
    <w:rsid w:val="6C192D34"/>
    <w:rsid w:val="6C394162"/>
    <w:rsid w:val="6C50751C"/>
    <w:rsid w:val="6C7155A1"/>
    <w:rsid w:val="6C75163B"/>
    <w:rsid w:val="6CBD02E9"/>
    <w:rsid w:val="6CD06DBF"/>
    <w:rsid w:val="6CF748E0"/>
    <w:rsid w:val="6D5459C8"/>
    <w:rsid w:val="6D57537F"/>
    <w:rsid w:val="6DA844E7"/>
    <w:rsid w:val="6DAE6D1E"/>
    <w:rsid w:val="6DE30DE0"/>
    <w:rsid w:val="6DFB6918"/>
    <w:rsid w:val="6E483795"/>
    <w:rsid w:val="6E6B376F"/>
    <w:rsid w:val="6E7004A6"/>
    <w:rsid w:val="6E8E2038"/>
    <w:rsid w:val="6ED35045"/>
    <w:rsid w:val="6EF966EE"/>
    <w:rsid w:val="6F40431D"/>
    <w:rsid w:val="6F6C3F53"/>
    <w:rsid w:val="6F786C3B"/>
    <w:rsid w:val="6FB3608C"/>
    <w:rsid w:val="6FB46083"/>
    <w:rsid w:val="6FBA177F"/>
    <w:rsid w:val="6FF71E14"/>
    <w:rsid w:val="700E63AE"/>
    <w:rsid w:val="705348D5"/>
    <w:rsid w:val="708979F2"/>
    <w:rsid w:val="70912889"/>
    <w:rsid w:val="70C506F5"/>
    <w:rsid w:val="70C53AD7"/>
    <w:rsid w:val="70C5492D"/>
    <w:rsid w:val="711019EF"/>
    <w:rsid w:val="71653C30"/>
    <w:rsid w:val="71712412"/>
    <w:rsid w:val="717228B9"/>
    <w:rsid w:val="71E3711A"/>
    <w:rsid w:val="71EC078C"/>
    <w:rsid w:val="72161365"/>
    <w:rsid w:val="7278201F"/>
    <w:rsid w:val="72A65280"/>
    <w:rsid w:val="72C26647"/>
    <w:rsid w:val="72CE1C3F"/>
    <w:rsid w:val="7319414F"/>
    <w:rsid w:val="731C3297"/>
    <w:rsid w:val="73284B69"/>
    <w:rsid w:val="732D0AC7"/>
    <w:rsid w:val="73587D46"/>
    <w:rsid w:val="735C30C0"/>
    <w:rsid w:val="739D35B3"/>
    <w:rsid w:val="73AE02E4"/>
    <w:rsid w:val="73B44867"/>
    <w:rsid w:val="73D8658A"/>
    <w:rsid w:val="73FD2228"/>
    <w:rsid w:val="742D62A9"/>
    <w:rsid w:val="7435549A"/>
    <w:rsid w:val="744578EA"/>
    <w:rsid w:val="745919DD"/>
    <w:rsid w:val="74A16B4E"/>
    <w:rsid w:val="74D96BDD"/>
    <w:rsid w:val="751E7BDB"/>
    <w:rsid w:val="753511A0"/>
    <w:rsid w:val="75386BF8"/>
    <w:rsid w:val="75560F54"/>
    <w:rsid w:val="758D2D19"/>
    <w:rsid w:val="758E6DF9"/>
    <w:rsid w:val="75B12883"/>
    <w:rsid w:val="75CC669A"/>
    <w:rsid w:val="75DD2401"/>
    <w:rsid w:val="75F8319F"/>
    <w:rsid w:val="75FB057A"/>
    <w:rsid w:val="76106D9C"/>
    <w:rsid w:val="761E5115"/>
    <w:rsid w:val="76283D5C"/>
    <w:rsid w:val="769F1517"/>
    <w:rsid w:val="76B203CF"/>
    <w:rsid w:val="76D70391"/>
    <w:rsid w:val="76ED0722"/>
    <w:rsid w:val="76FA503D"/>
    <w:rsid w:val="77091498"/>
    <w:rsid w:val="77C8353F"/>
    <w:rsid w:val="77F00ADA"/>
    <w:rsid w:val="77F0217C"/>
    <w:rsid w:val="780C246F"/>
    <w:rsid w:val="78442B1E"/>
    <w:rsid w:val="78444046"/>
    <w:rsid w:val="78632E2A"/>
    <w:rsid w:val="786B1CDE"/>
    <w:rsid w:val="7885143E"/>
    <w:rsid w:val="78896395"/>
    <w:rsid w:val="78921F1B"/>
    <w:rsid w:val="78E82AAC"/>
    <w:rsid w:val="791F4C81"/>
    <w:rsid w:val="794D2926"/>
    <w:rsid w:val="79722296"/>
    <w:rsid w:val="79775EC9"/>
    <w:rsid w:val="79934D68"/>
    <w:rsid w:val="79B541BA"/>
    <w:rsid w:val="79DC10E6"/>
    <w:rsid w:val="79F67FD5"/>
    <w:rsid w:val="7A2B2283"/>
    <w:rsid w:val="7A2D77A3"/>
    <w:rsid w:val="7A697340"/>
    <w:rsid w:val="7AA23A30"/>
    <w:rsid w:val="7AB61503"/>
    <w:rsid w:val="7AF34939"/>
    <w:rsid w:val="7B0E734A"/>
    <w:rsid w:val="7B340F97"/>
    <w:rsid w:val="7B6A318A"/>
    <w:rsid w:val="7B7266CD"/>
    <w:rsid w:val="7BB33D4D"/>
    <w:rsid w:val="7BDC361F"/>
    <w:rsid w:val="7C0434FD"/>
    <w:rsid w:val="7C184A9B"/>
    <w:rsid w:val="7C604E18"/>
    <w:rsid w:val="7C8758ED"/>
    <w:rsid w:val="7C8E19A7"/>
    <w:rsid w:val="7CAE20C4"/>
    <w:rsid w:val="7CE704CD"/>
    <w:rsid w:val="7D362EF0"/>
    <w:rsid w:val="7D5D57CA"/>
    <w:rsid w:val="7D93BAAA"/>
    <w:rsid w:val="7DAC465E"/>
    <w:rsid w:val="7DB04694"/>
    <w:rsid w:val="7DCF3B6C"/>
    <w:rsid w:val="7DD537E0"/>
    <w:rsid w:val="7E033689"/>
    <w:rsid w:val="7E51667A"/>
    <w:rsid w:val="7E570A9C"/>
    <w:rsid w:val="7EDA7A78"/>
    <w:rsid w:val="7EF4220C"/>
    <w:rsid w:val="7F092175"/>
    <w:rsid w:val="7F2A28F3"/>
    <w:rsid w:val="7F3D653D"/>
    <w:rsid w:val="7F6C2F0C"/>
    <w:rsid w:val="7F7D341B"/>
    <w:rsid w:val="7FAA6D06"/>
    <w:rsid w:val="7FAC449D"/>
    <w:rsid w:val="7FCF7997"/>
    <w:rsid w:val="BDA637B4"/>
    <w:rsid w:val="EFBEFF9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locked/>
    <w:uiPriority w:val="0"/>
    <w:pPr>
      <w:spacing w:before="100" w:beforeAutospacing="1" w:after="100" w:afterAutospacing="1"/>
      <w:jc w:val="left"/>
      <w:outlineLvl w:val="1"/>
    </w:pPr>
    <w:rPr>
      <w:rFonts w:hint="eastAsia" w:ascii="宋体" w:hAnsi="宋体"/>
      <w:b/>
      <w:kern w:val="0"/>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9"/>
    <w:semiHidden/>
    <w:unhideWhenUsed/>
    <w:qFormat/>
    <w:uiPriority w:val="99"/>
    <w:pPr>
      <w:jc w:val="left"/>
    </w:pPr>
  </w:style>
  <w:style w:type="paragraph" w:styleId="4">
    <w:name w:val="Body Text"/>
    <w:basedOn w:val="1"/>
    <w:unhideWhenUsed/>
    <w:qFormat/>
    <w:uiPriority w:val="1"/>
    <w:pPr>
      <w:autoSpaceDE w:val="0"/>
      <w:autoSpaceDN w:val="0"/>
      <w:adjustRightInd w:val="0"/>
      <w:jc w:val="left"/>
    </w:pPr>
    <w:rPr>
      <w:rFonts w:ascii="宋体" w:hAnsi="宋体" w:cs="宋体"/>
      <w:kern w:val="0"/>
      <w:sz w:val="23"/>
      <w:szCs w:val="23"/>
    </w:rPr>
  </w:style>
  <w:style w:type="paragraph" w:styleId="5">
    <w:name w:val="Date"/>
    <w:basedOn w:val="1"/>
    <w:next w:val="1"/>
    <w:link w:val="23"/>
    <w:semiHidden/>
    <w:qFormat/>
    <w:uiPriority w:val="99"/>
    <w:pPr>
      <w:ind w:left="100" w:leftChars="2500"/>
    </w:pPr>
  </w:style>
  <w:style w:type="paragraph" w:styleId="6">
    <w:name w:val="Balloon Text"/>
    <w:basedOn w:val="1"/>
    <w:link w:val="22"/>
    <w:semiHidden/>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24"/>
    <w:qFormat/>
    <w:uiPriority w:val="99"/>
    <w:pPr>
      <w:widowControl/>
      <w:spacing w:before="240" w:after="60"/>
      <w:jc w:val="center"/>
      <w:outlineLvl w:val="0"/>
    </w:pPr>
    <w:rPr>
      <w:rFonts w:ascii="Cambria" w:hAnsi="Cambria"/>
      <w:b/>
      <w:bCs/>
      <w:sz w:val="32"/>
      <w:szCs w:val="32"/>
    </w:rPr>
  </w:style>
  <w:style w:type="paragraph" w:styleId="10">
    <w:name w:val="annotation subject"/>
    <w:basedOn w:val="3"/>
    <w:next w:val="3"/>
    <w:link w:val="30"/>
    <w:semiHidden/>
    <w:unhideWhenUsed/>
    <w:qFormat/>
    <w:uiPriority w:val="99"/>
    <w:rPr>
      <w:b/>
      <w:bCs/>
    </w:rPr>
  </w:style>
  <w:style w:type="character" w:styleId="13">
    <w:name w:val="page number"/>
    <w:qFormat/>
    <w:uiPriority w:val="99"/>
    <w:rPr>
      <w:rFonts w:cs="Times New Roman"/>
    </w:rPr>
  </w:style>
  <w:style w:type="character" w:styleId="14">
    <w:name w:val="FollowedHyperlink"/>
    <w:basedOn w:val="12"/>
    <w:semiHidden/>
    <w:unhideWhenUsed/>
    <w:qFormat/>
    <w:uiPriority w:val="99"/>
    <w:rPr>
      <w:color w:val="00007E"/>
      <w:u w:val="none"/>
    </w:rPr>
  </w:style>
  <w:style w:type="character" w:styleId="15">
    <w:name w:val="line number"/>
    <w:basedOn w:val="12"/>
    <w:semiHidden/>
    <w:unhideWhenUsed/>
    <w:qFormat/>
    <w:uiPriority w:val="99"/>
  </w:style>
  <w:style w:type="character" w:styleId="16">
    <w:name w:val="Hyperlink"/>
    <w:qFormat/>
    <w:uiPriority w:val="99"/>
    <w:rPr>
      <w:rFonts w:cs="Times New Roman"/>
      <w:color w:val="0000FF"/>
      <w:u w:val="single"/>
    </w:rPr>
  </w:style>
  <w:style w:type="character" w:styleId="17">
    <w:name w:val="annotation reference"/>
    <w:semiHidden/>
    <w:unhideWhenUsed/>
    <w:qFormat/>
    <w:uiPriority w:val="99"/>
    <w:rPr>
      <w:sz w:val="21"/>
      <w:szCs w:val="21"/>
    </w:rPr>
  </w:style>
  <w:style w:type="paragraph" w:styleId="18">
    <w:name w:val="No Spacing"/>
    <w:qFormat/>
    <w:uiPriority w:val="0"/>
    <w:pPr>
      <w:adjustRightInd w:val="0"/>
      <w:snapToGrid w:val="0"/>
    </w:pPr>
    <w:rPr>
      <w:rFonts w:ascii="Tahoma" w:hAnsi="Tahoma" w:eastAsia="微软雅黑" w:cs="Times New Roman"/>
      <w:sz w:val="22"/>
      <w:szCs w:val="22"/>
      <w:lang w:val="en-US" w:eastAsia="zh-CN" w:bidi="ar-SA"/>
    </w:rPr>
  </w:style>
  <w:style w:type="character" w:customStyle="1" w:styleId="19">
    <w:name w:val="页眉 字符"/>
    <w:link w:val="8"/>
    <w:qFormat/>
    <w:locked/>
    <w:uiPriority w:val="99"/>
    <w:rPr>
      <w:rFonts w:cs="Times New Roman"/>
      <w:sz w:val="18"/>
      <w:szCs w:val="18"/>
    </w:rPr>
  </w:style>
  <w:style w:type="character" w:customStyle="1" w:styleId="20">
    <w:name w:val="页脚 字符"/>
    <w:link w:val="7"/>
    <w:qFormat/>
    <w:locked/>
    <w:uiPriority w:val="99"/>
    <w:rPr>
      <w:rFonts w:cs="Times New Roman"/>
      <w:sz w:val="18"/>
      <w:szCs w:val="18"/>
    </w:rPr>
  </w:style>
  <w:style w:type="paragraph" w:styleId="21">
    <w:name w:val="List Paragraph"/>
    <w:basedOn w:val="1"/>
    <w:qFormat/>
    <w:uiPriority w:val="99"/>
    <w:pPr>
      <w:ind w:firstLine="420" w:firstLineChars="200"/>
      <w:jc w:val="left"/>
    </w:pPr>
  </w:style>
  <w:style w:type="character" w:customStyle="1" w:styleId="22">
    <w:name w:val="批注框文本 字符"/>
    <w:link w:val="6"/>
    <w:semiHidden/>
    <w:qFormat/>
    <w:locked/>
    <w:uiPriority w:val="99"/>
    <w:rPr>
      <w:rFonts w:cs="Times New Roman"/>
      <w:sz w:val="18"/>
      <w:szCs w:val="18"/>
    </w:rPr>
  </w:style>
  <w:style w:type="character" w:customStyle="1" w:styleId="23">
    <w:name w:val="日期 字符"/>
    <w:link w:val="5"/>
    <w:semiHidden/>
    <w:qFormat/>
    <w:locked/>
    <w:uiPriority w:val="99"/>
    <w:rPr>
      <w:rFonts w:cs="Times New Roman"/>
    </w:rPr>
  </w:style>
  <w:style w:type="character" w:customStyle="1" w:styleId="24">
    <w:name w:val="标题 字符"/>
    <w:link w:val="9"/>
    <w:qFormat/>
    <w:locked/>
    <w:uiPriority w:val="99"/>
    <w:rPr>
      <w:rFonts w:ascii="Cambria" w:hAnsi="Cambria" w:eastAsia="宋体" w:cs="Times New Roman"/>
      <w:b/>
      <w:bCs/>
      <w:sz w:val="32"/>
      <w:szCs w:val="32"/>
    </w:rPr>
  </w:style>
  <w:style w:type="paragraph" w:customStyle="1" w:styleId="25">
    <w:name w:val="列出段落1"/>
    <w:basedOn w:val="1"/>
    <w:qFormat/>
    <w:uiPriority w:val="99"/>
    <w:pPr>
      <w:widowControl/>
      <w:ind w:left="720"/>
      <w:contextualSpacing/>
      <w:jc w:val="left"/>
    </w:pPr>
    <w:rPr>
      <w:kern w:val="0"/>
      <w:sz w:val="24"/>
      <w:szCs w:val="24"/>
      <w:lang w:eastAsia="en-US"/>
    </w:rPr>
  </w:style>
  <w:style w:type="paragraph" w:customStyle="1" w:styleId="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27">
    <w:name w:val="网格型1"/>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网格型2"/>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
    <w:name w:val="批注文字 字符"/>
    <w:link w:val="3"/>
    <w:semiHidden/>
    <w:qFormat/>
    <w:uiPriority w:val="99"/>
    <w:rPr>
      <w:kern w:val="2"/>
      <w:sz w:val="21"/>
      <w:szCs w:val="22"/>
    </w:rPr>
  </w:style>
  <w:style w:type="character" w:customStyle="1" w:styleId="30">
    <w:name w:val="批注主题 字符"/>
    <w:link w:val="10"/>
    <w:semiHidden/>
    <w:qFormat/>
    <w:uiPriority w:val="99"/>
    <w:rPr>
      <w:b/>
      <w:bCs/>
      <w:kern w:val="2"/>
      <w:sz w:val="21"/>
      <w:szCs w:val="22"/>
    </w:rPr>
  </w:style>
  <w:style w:type="paragraph" w:customStyle="1" w:styleId="31">
    <w:name w:val="_Style 11"/>
    <w:basedOn w:val="1"/>
    <w:next w:val="21"/>
    <w:qFormat/>
    <w:uiPriority w:val="0"/>
    <w:pPr>
      <w:ind w:firstLine="420" w:firstLineChars="200"/>
    </w:pPr>
  </w:style>
  <w:style w:type="character" w:customStyle="1" w:styleId="32">
    <w:name w:val="font51"/>
    <w:basedOn w:val="12"/>
    <w:qFormat/>
    <w:uiPriority w:val="0"/>
    <w:rPr>
      <w:rFonts w:hint="eastAsia" w:ascii="宋体" w:hAnsi="宋体" w:eastAsia="宋体" w:cs="宋体"/>
      <w:color w:val="000000"/>
      <w:sz w:val="24"/>
      <w:szCs w:val="24"/>
      <w:u w:val="none"/>
    </w:rPr>
  </w:style>
  <w:style w:type="character" w:customStyle="1" w:styleId="33">
    <w:name w:val="font41"/>
    <w:basedOn w:val="12"/>
    <w:qFormat/>
    <w:uiPriority w:val="0"/>
    <w:rPr>
      <w:rFonts w:hint="default" w:ascii="Times New Roman" w:hAnsi="Times New Roman" w:cs="Times New Roman"/>
      <w:color w:val="000000"/>
      <w:sz w:val="24"/>
      <w:szCs w:val="24"/>
      <w:u w:val="none"/>
    </w:rPr>
  </w:style>
  <w:style w:type="paragraph" w:customStyle="1" w:styleId="34">
    <w:name w:val="无间隔1"/>
    <w:qFormat/>
    <w:uiPriority w:val="0"/>
    <w:pPr>
      <w:adjustRightInd w:val="0"/>
      <w:snapToGrid w:val="0"/>
    </w:pPr>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SNB</Company>
  <Pages>21</Pages>
  <Words>9916</Words>
  <Characters>10563</Characters>
  <Lines>80</Lines>
  <Paragraphs>22</Paragraphs>
  <TotalTime>17</TotalTime>
  <ScaleCrop>false</ScaleCrop>
  <LinksUpToDate>false</LinksUpToDate>
  <CharactersWithSpaces>10598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2021-07-21T14:25:00Z</dcterms:created>
  <dc:creator>qhtf</dc:creator>
  <cp:lastModifiedBy>I See You</cp:lastModifiedBy>
  <cp:lastPrinted>2022-09-16T02:38:00Z</cp:lastPrinted>
  <dcterms:modified xsi:type="dcterms:W3CDTF">2026-08-07T07:46:14Z</dcterms:modified>
  <dc:title>附件4</dc:title>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4ACDB9DC292F4F67884C4163B4229355_13</vt:lpwstr>
  </property>
  <property fmtid="{D5CDD505-2E9C-101B-9397-08002B2CF9AE}" pid="4" name="KSOTemplateDocerSaveRecord">
    <vt:lpwstr>eyJoZGlkIjoiODM2ZWZhMDllMGZlYzI2ZTkwY2EzNDEwNDFlNzRmNzAiLCJ1c2VySWQiOiIyNTY3NzU1NDIifQ==</vt:lpwstr>
  </property>
</Properties>
</file>