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LineNumbers w:val="0"/>
        <w:spacing w:line="520" w:lineRule="exact"/>
        <w:ind w:right="-67" w:rightChars="-32"/>
        <w:jc w:val="center"/>
        <w:rPr>
          <w:rFonts w:hint="default" w:ascii="Times New Roman" w:hAnsi="Times New Roman" w:eastAsia="方正小标宋简体" w:cs="Times New Roman"/>
          <w:spacing w:val="-6"/>
          <w:sz w:val="44"/>
          <w:szCs w:val="44"/>
        </w:rPr>
      </w:pPr>
      <w:r>
        <w:rPr>
          <w:rFonts w:hint="default" w:ascii="Times New Roman" w:hAnsi="Times New Roman" w:eastAsia="方正小标宋简体" w:cs="Times New Roman"/>
          <w:spacing w:val="-6"/>
          <w:sz w:val="44"/>
          <w:szCs w:val="44"/>
        </w:rPr>
        <w:t>甲状腺球蛋白测定试剂注册审查</w:t>
      </w:r>
    </w:p>
    <w:p>
      <w:pPr>
        <w:suppressLineNumbers w:val="0"/>
        <w:spacing w:line="520" w:lineRule="exact"/>
        <w:ind w:right="-67" w:rightChars="-32"/>
        <w:jc w:val="center"/>
        <w:rPr>
          <w:rFonts w:hint="default" w:ascii="Times New Roman" w:hAnsi="Times New Roman" w:cs="Times New Roman"/>
        </w:rPr>
      </w:pPr>
      <w:r>
        <w:rPr>
          <w:rFonts w:hint="default" w:ascii="Times New Roman" w:hAnsi="Times New Roman" w:eastAsia="方正小标宋简体" w:cs="Times New Roman"/>
          <w:spacing w:val="-6"/>
          <w:sz w:val="44"/>
          <w:szCs w:val="44"/>
        </w:rPr>
        <w:t>指导原则</w:t>
      </w:r>
      <w:r>
        <w:rPr>
          <w:rFonts w:hint="eastAsia" w:ascii="Times New Roman" w:hAnsi="Times New Roman" w:eastAsia="方正小标宋简体" w:cs="Times New Roman"/>
          <w:spacing w:val="-6"/>
          <w:sz w:val="44"/>
          <w:szCs w:val="44"/>
          <w:lang w:eastAsia="zh-CN"/>
        </w:rPr>
        <w:t>（</w:t>
      </w:r>
      <w:r>
        <w:rPr>
          <w:rFonts w:hint="eastAsia" w:ascii="Times New Roman" w:hAnsi="Times New Roman" w:eastAsia="方正小标宋简体" w:cs="Times New Roman"/>
          <w:spacing w:val="-6"/>
          <w:sz w:val="44"/>
          <w:szCs w:val="44"/>
          <w:lang w:val="en-US" w:eastAsia="zh-CN"/>
        </w:rPr>
        <w:t>征求意见稿</w:t>
      </w:r>
      <w:r>
        <w:rPr>
          <w:rFonts w:hint="eastAsia" w:ascii="Times New Roman" w:hAnsi="Times New Roman" w:eastAsia="方正小标宋简体" w:cs="Times New Roman"/>
          <w:spacing w:val="-6"/>
          <w:sz w:val="44"/>
          <w:szCs w:val="44"/>
          <w:lang w:eastAsia="zh-CN"/>
        </w:rPr>
        <w:t>）</w:t>
      </w:r>
    </w:p>
    <w:p>
      <w:pPr>
        <w:suppressLineNumbers/>
        <w:rPr>
          <w:rFonts w:hint="default" w:ascii="Times New Roman" w:hAnsi="Times New Roman" w:cs="Times New Roman"/>
        </w:rPr>
      </w:pP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本指导原则旨在指导注册申请人对甲状腺球蛋白测定试剂注册申报资料的准备及撰写，同时也为技术审评部门审评注册申报资料提供参考。</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导原则是对甲状腺球蛋白测定试剂的一般要求，申请人应依据产品的具体特性确定其中的具体内容是否适用，若不适用，需具体阐述理由及相应的科学依据，并依据产品的具体特征对注册申报资料的内容进行充实和细化。</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导原则是供申请人和审查人员使用的指导文件，不涉及注册审批等行政事项，亦不作为法规强制执行，如果有能够满足相关法规要求的其他方法，也可以采用，但应提供详细的研究资料和验证资料。应在遵循相关法规、国家标准、行业标准的前提下使用本指导原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本指导原则是在现行法规、标准体系及当前认知水平下制定的，随着法规、标准体系的不断完善和科学技术的不断发展，本指导原则相关内容也将适时进行调整。</w:t>
      </w:r>
    </w:p>
    <w:p>
      <w:pPr>
        <w:pStyle w:val="3"/>
        <w:spacing w:before="0" w:after="0" w:line="520" w:lineRule="exact"/>
        <w:ind w:firstLine="640" w:firstLineChars="200"/>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一、适用范围</w:t>
      </w:r>
    </w:p>
    <w:p>
      <w:pPr>
        <w:spacing w:line="520" w:lineRule="exact"/>
        <w:ind w:firstLine="640" w:firstLineChars="200"/>
        <w:rPr>
          <w:rFonts w:eastAsia="仿宋_GB2312"/>
          <w:bCs/>
          <w:color w:val="000000"/>
          <w:sz w:val="32"/>
          <w:szCs w:val="32"/>
        </w:rPr>
      </w:pPr>
      <w:r>
        <w:rPr>
          <w:rFonts w:hint="default" w:ascii="Times New Roman" w:hAnsi="Times New Roman" w:eastAsia="仿宋_GB2312" w:cs="Times New Roman"/>
          <w:sz w:val="32"/>
          <w:szCs w:val="32"/>
        </w:rPr>
        <w:t>甲状腺球蛋白</w:t>
      </w:r>
      <w:r>
        <w:rPr>
          <w:rFonts w:eastAsia="仿宋_GB2312"/>
          <w:bCs/>
          <w:color w:val="000000"/>
          <w:sz w:val="32"/>
          <w:szCs w:val="32"/>
          <w:lang w:val="en"/>
        </w:rPr>
        <w:t>测定试剂</w:t>
      </w:r>
      <w:r>
        <w:rPr>
          <w:rFonts w:eastAsia="仿宋_GB2312"/>
          <w:bCs/>
          <w:color w:val="000000"/>
          <w:sz w:val="32"/>
          <w:szCs w:val="32"/>
        </w:rPr>
        <w:t>是指利用抗原抗体反应的免疫学方法对人</w:t>
      </w:r>
      <w:r>
        <w:rPr>
          <w:rFonts w:hint="default" w:ascii="Times New Roman" w:hAnsi="Times New Roman" w:eastAsia="仿宋_GB2312" w:cs="Times New Roman"/>
          <w:sz w:val="32"/>
          <w:szCs w:val="32"/>
        </w:rPr>
        <w:t>血清和/或血浆中</w:t>
      </w:r>
      <w:r>
        <w:rPr>
          <w:rFonts w:eastAsia="仿宋_GB2312"/>
          <w:bCs/>
          <w:color w:val="000000"/>
          <w:sz w:val="32"/>
          <w:szCs w:val="32"/>
        </w:rPr>
        <w:t>的</w:t>
      </w:r>
      <w:r>
        <w:rPr>
          <w:rFonts w:hint="default" w:ascii="Times New Roman" w:hAnsi="Times New Roman" w:eastAsia="仿宋_GB2312" w:cs="Times New Roman"/>
          <w:sz w:val="32"/>
          <w:szCs w:val="32"/>
        </w:rPr>
        <w:t>甲状腺球蛋白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Thyroglobulin,TG</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含量</w:t>
      </w:r>
      <w:r>
        <w:rPr>
          <w:rFonts w:eastAsia="仿宋_GB2312"/>
          <w:bCs/>
          <w:color w:val="000000"/>
          <w:sz w:val="32"/>
          <w:szCs w:val="32"/>
        </w:rPr>
        <w:t>进行体外定量检测的试剂。</w:t>
      </w:r>
    </w:p>
    <w:p>
      <w:pPr>
        <w:spacing w:line="520" w:lineRule="exact"/>
        <w:ind w:firstLine="640" w:firstLineChars="200"/>
        <w:rPr>
          <w:rFonts w:hint="default" w:ascii="Times New Roman" w:hAnsi="Times New Roman" w:eastAsia="仿宋_GB2312" w:cs="Times New Roman"/>
          <w:sz w:val="32"/>
          <w:szCs w:val="32"/>
        </w:rPr>
      </w:pPr>
      <w:r>
        <w:rPr>
          <w:rFonts w:eastAsia="仿宋_GB2312"/>
          <w:bCs/>
          <w:color w:val="000000"/>
          <w:sz w:val="32"/>
          <w:szCs w:val="32"/>
        </w:rPr>
        <w:t>本指导原则适用于以酶标记、（电）化学发光标记、（时间分辨）荧光标记等标记方法为捕获抗体，以微孔板、管、磁颗粒、微珠和塑料珠等为载体包被抗体，定量检测</w:t>
      </w:r>
      <w:r>
        <w:rPr>
          <w:rFonts w:hint="default" w:ascii="Times New Roman" w:hAnsi="Times New Roman" w:eastAsia="仿宋_GB2312" w:cs="Times New Roman"/>
          <w:sz w:val="32"/>
          <w:szCs w:val="32"/>
        </w:rPr>
        <w:t>TG</w:t>
      </w:r>
      <w:r>
        <w:rPr>
          <w:rFonts w:eastAsia="仿宋_GB2312"/>
          <w:bCs/>
          <w:color w:val="000000"/>
          <w:sz w:val="32"/>
          <w:szCs w:val="32"/>
        </w:rPr>
        <w:t>的免疫分析试剂</w:t>
      </w:r>
      <w:r>
        <w:rPr>
          <w:rFonts w:hint="eastAsia" w:eastAsia="仿宋_GB2312"/>
          <w:bCs/>
          <w:color w:val="000000"/>
          <w:sz w:val="32"/>
          <w:szCs w:val="32"/>
        </w:rPr>
        <w:t>，</w:t>
      </w:r>
      <w:r>
        <w:rPr>
          <w:rFonts w:hint="eastAsia" w:eastAsia="仿宋_GB2312"/>
          <w:bCs/>
          <w:color w:val="000000"/>
          <w:sz w:val="32"/>
          <w:szCs w:val="32"/>
          <w:lang w:val="en-US" w:eastAsia="zh-CN"/>
        </w:rPr>
        <w:t>不适用于以各类胶体金标记的检测试纸和以</w:t>
      </w:r>
      <w:r>
        <w:rPr>
          <w:rFonts w:hint="eastAsia" w:ascii="Times New Roman" w:hAnsi="Times New Roman" w:eastAsia="仿宋_GB2312" w:cs="Times New Roman"/>
          <w:sz w:val="32"/>
          <w:szCs w:val="32"/>
          <w:lang w:val="en-US" w:eastAsia="zh-CN"/>
        </w:rPr>
        <w:t>I125等</w:t>
      </w:r>
      <w:r>
        <w:rPr>
          <w:rFonts w:hint="eastAsia" w:eastAsia="仿宋_GB2312"/>
          <w:bCs/>
          <w:color w:val="000000"/>
          <w:sz w:val="32"/>
          <w:szCs w:val="32"/>
          <w:lang w:val="en-US" w:eastAsia="zh-CN"/>
        </w:rPr>
        <w:t>放射性同位素标记的各类放射免疫或免疫放射试剂。</w:t>
      </w:r>
      <w:r>
        <w:rPr>
          <w:rFonts w:hint="default" w:ascii="Times New Roman" w:hAnsi="Times New Roman" w:eastAsia="仿宋_GB2312" w:cs="Times New Roman"/>
          <w:sz w:val="32"/>
          <w:szCs w:val="32"/>
        </w:rPr>
        <w:t>对基于其他方法学的试剂，可能部分要求不完全适用或本文所述内容不够全面，申请人可以参照本指导原则，根据产品特性对适用部分进行评价或补充其他的评价资料进行相应验证。</w:t>
      </w:r>
    </w:p>
    <w:p>
      <w:pPr>
        <w:pStyle w:val="3"/>
        <w:spacing w:before="0" w:after="0" w:line="520" w:lineRule="exact"/>
        <w:ind w:firstLine="640" w:firstLineChars="200"/>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二、注册审查要点</w:t>
      </w:r>
    </w:p>
    <w:p>
      <w:pPr>
        <w:tabs>
          <w:tab w:val="left" w:pos="6720"/>
        </w:tabs>
        <w:spacing w:line="52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（一）监管信息</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1.产品及分类编码</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产品名称应符合《体外诊断试剂注册与备案管理办法》及相关法规的要求。一般由三部分组成。第一部分：被测物名称为甲状腺球蛋白；第二部分：用途，如测定试剂；第三部分：方法或者原</w:t>
      </w:r>
      <w:r>
        <w:rPr>
          <w:rFonts w:hint="default" w:ascii="Times New Roman" w:hAnsi="Times New Roman" w:eastAsia="仿宋_GB2312" w:cs="Times New Roman"/>
          <w:color w:val="auto"/>
          <w:sz w:val="32"/>
          <w:szCs w:val="32"/>
        </w:rPr>
        <w:t>理，如化学发光免疫分析法、磁</w:t>
      </w:r>
      <w:r>
        <w:rPr>
          <w:rFonts w:hint="default" w:ascii="Times New Roman" w:hAnsi="Times New Roman" w:eastAsia="仿宋_GB2312" w:cs="Times New Roman"/>
          <w:sz w:val="32"/>
          <w:szCs w:val="32"/>
        </w:rPr>
        <w:t>微粒化学发光法、电化学发光法等。根据《体外诊断试剂分类规则》《体外诊断试剂分类目录》，该产品按照第二类体外诊断试剂管理，产品分类为10035，用于激素检测的试剂，分类编码为6840。</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2.其他信息还包括产品列表、关联文件、申报前与监管机构的联系情况和沟通记录以及符合性声明等文件。</w:t>
      </w:r>
    </w:p>
    <w:p>
      <w:pPr>
        <w:tabs>
          <w:tab w:val="left" w:pos="6720"/>
        </w:tabs>
        <w:spacing w:line="52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（二）综述资料</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主要包括概述、产品描述、预期用途、申报产品上市历史及其他需说明的内容。</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1.概述</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描述甲状腺球蛋白测定试剂名称及其确定依据；明确所属产品类别（如一级产品类别为用于激素检测试剂，二级产品类别为甲状腺球蛋白检测试剂）；描述申报产品预期用途；描述有关申报产品的背景信息概述或特别细节（如适用），如：申报产品的历史概述、历次提交的信息，与其他经批准上市产品的关系等。</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2.产品描述</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描述产品所采用的技术原理，产品组成，原材料的来源及制备方法，主要生产工艺，检验方法，质控品的制备方法及赋值情况</w:t>
      </w:r>
      <w:r>
        <w:rPr>
          <w:rFonts w:hint="eastAsia" w:ascii="Times New Roman" w:hAnsi="Times New Roman" w:eastAsia="仿宋_GB2312" w:cs="Times New Roman"/>
          <w:sz w:val="32"/>
          <w:szCs w:val="32"/>
        </w:rPr>
        <w:t>（如适用）</w:t>
      </w:r>
      <w:r>
        <w:rPr>
          <w:rFonts w:hint="default" w:ascii="Times New Roman" w:hAnsi="Times New Roman" w:eastAsia="仿宋_GB2312" w:cs="Times New Roman"/>
          <w:sz w:val="32"/>
          <w:szCs w:val="32"/>
        </w:rPr>
        <w:t>，校准品的制备方法及溯源情况</w:t>
      </w:r>
      <w:r>
        <w:rPr>
          <w:rFonts w:hint="eastAsia" w:ascii="Times New Roman" w:hAnsi="Times New Roman" w:eastAsia="仿宋_GB2312" w:cs="Times New Roman"/>
          <w:sz w:val="32"/>
          <w:szCs w:val="32"/>
        </w:rPr>
        <w:t>（如适用）</w:t>
      </w:r>
      <w:r>
        <w:rPr>
          <w:rFonts w:hint="default" w:ascii="Times New Roman" w:hAnsi="Times New Roman" w:eastAsia="仿宋_GB2312" w:cs="Times New Roman"/>
          <w:sz w:val="32"/>
          <w:szCs w:val="32"/>
        </w:rPr>
        <w:t>等。技术原理包括反应原理，方法学（如化学发光免疫法），测量方法，信号处理方法，数据获取和解读方式，分析前处理步骤等。</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描述产品主要研究结果的总结和评价，包括分析性能评估、参考区间、稳定性以及临床评价等。应注意描述内容与相应的研究结果保持一致。</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描述不同包装规格之间的差异。</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提供产品中使用的生物材料或衍生物（如适用），包括生物学来源（如人、动物、病原体、重组或发酵产物）和组织来源（如血液）。人源性材料须对</w:t>
      </w:r>
      <w:r>
        <w:rPr>
          <w:rFonts w:hint="default" w:ascii="Times New Roman" w:hAnsi="Times New Roman" w:eastAsia="仿宋_GB2312" w:cs="Times New Roman"/>
          <w:color w:val="auto"/>
          <w:sz w:val="32"/>
          <w:szCs w:val="32"/>
        </w:rPr>
        <w:t>有关传染病（HIV、HBV、HCV等）病原体检测予以说明；其他</w:t>
      </w:r>
      <w:r>
        <w:rPr>
          <w:rFonts w:hint="default" w:ascii="Times New Roman" w:hAnsi="Times New Roman" w:eastAsia="仿宋_GB2312" w:cs="Times New Roman"/>
          <w:sz w:val="32"/>
          <w:szCs w:val="32"/>
        </w:rPr>
        <w:t>动物源及微生物来源的材料，应当说明其在产品运输、使用过程中对使用者和环境是安全的，并提供相关的文件。</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提供有关产品包装信息，包括包装形状和材料等。</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阐述申请注册产品的研发背景和目的。如有参考的同类产品或前代产品，应当提供同类产品和/或前代产品的信息，并说明选择其作为研发参考的原因。</w:t>
      </w:r>
      <w:r>
        <w:rPr>
          <w:rFonts w:hint="eastAsia" w:ascii="Times New Roman" w:hAnsi="Times New Roman" w:eastAsia="仿宋_GB2312" w:cs="Times New Roman"/>
          <w:sz w:val="32"/>
          <w:szCs w:val="32"/>
        </w:rPr>
        <w:t>若境内、外尚无同类产品上市，或申报产品改变常规预期用途并具有新的临床意义，申请人需提供分析物与预期临床适应证之间关系的文献资料，包括临床研究文献综述、相关临床诊疗指南文件、行业公认的共识性文件等。</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与同类和/或前代产品的比较，应着重从预期用途、主要组成成分、技术原理、溯源情况、主要性能指标、参考区间等方面阐述申报产品与已上市同类产品和/或前代产品之间的主要异同。</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3.预期用途</w:t>
      </w:r>
    </w:p>
    <w:p>
      <w:pPr>
        <w:tabs>
          <w:tab w:val="left" w:pos="6720"/>
        </w:tabs>
        <w:spacing w:line="520" w:lineRule="exact"/>
        <w:ind w:firstLine="640" w:firstLineChars="200"/>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3.1预期用途</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用于体外定量测定人体血清、血浆中甲状腺球蛋白的含量。应明确适用仪器及使用方法（自动/半自动）,样本采集及保存装置和/或添加剂（如抗凝剂）使用情况。适用的样本类型应结合分析性能研究及临床研究情况进行确认。</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3.2临床适应证</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eastAsia" w:ascii="Times New Roman" w:hAnsi="Times New Roman" w:eastAsia="仿宋_GB2312" w:cs="Times New Roman"/>
          <w:color w:val="auto"/>
          <w:sz w:val="32"/>
          <w:szCs w:val="32"/>
          <w:lang w:val="en-US" w:eastAsia="zh-CN"/>
        </w:rPr>
        <w:t>详细</w:t>
      </w:r>
      <w:r>
        <w:rPr>
          <w:rFonts w:hint="default" w:ascii="Times New Roman" w:hAnsi="Times New Roman" w:eastAsia="仿宋_GB2312" w:cs="Times New Roman"/>
          <w:sz w:val="32"/>
          <w:szCs w:val="32"/>
        </w:rPr>
        <w:t>临床适应证的发生率、易感人群、分析物的详细介绍及与临床适应证的关系，相关的临床或实验室诊断方法。</w:t>
      </w:r>
    </w:p>
    <w:p>
      <w:pPr>
        <w:tabs>
          <w:tab w:val="left" w:pos="6720"/>
        </w:tabs>
        <w:spacing w:line="520" w:lineRule="exact"/>
        <w:ind w:firstLine="640" w:firstLineChars="200"/>
        <w:jc w:val="left"/>
        <w:outlineLvl w:val="0"/>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甲状腺球蛋白（T</w:t>
      </w:r>
      <w:r>
        <w:rPr>
          <w:rFonts w:hint="eastAsia" w:ascii="Times New Roman" w:hAnsi="Times New Roman" w:eastAsia="仿宋_GB2312" w:cs="Times New Roman"/>
          <w:sz w:val="32"/>
          <w:szCs w:val="32"/>
          <w:lang w:val="en-US" w:eastAsia="zh-CN"/>
        </w:rPr>
        <w:t>G</w:t>
      </w:r>
      <w:r>
        <w:rPr>
          <w:rFonts w:ascii="Times New Roman" w:hAnsi="Times New Roman" w:eastAsia="仿宋_GB2312" w:cs="Times New Roman"/>
          <w:sz w:val="32"/>
          <w:szCs w:val="32"/>
        </w:rPr>
        <w:t>）是由甲状腺滤泡上皮细胞合成的大分子糖蛋白</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分子量约为660kDa，其合成后储存于细胞分泌囊泡内，在TSH刺激下释放至滤泡腔并储存，作为甲状腺激素合成的前体蛋白和骨架。T</w:t>
      </w:r>
      <w:r>
        <w:rPr>
          <w:rFonts w:hint="eastAsia" w:ascii="Times New Roman" w:hAnsi="Times New Roman" w:eastAsia="仿宋_GB2312" w:cs="Times New Roman"/>
          <w:sz w:val="32"/>
          <w:szCs w:val="32"/>
          <w:lang w:val="en-US" w:eastAsia="zh-CN"/>
        </w:rPr>
        <w:t>G</w:t>
      </w:r>
      <w:r>
        <w:rPr>
          <w:rFonts w:ascii="Times New Roman" w:hAnsi="Times New Roman" w:eastAsia="仿宋_GB2312" w:cs="Times New Roman"/>
          <w:sz w:val="32"/>
          <w:szCs w:val="32"/>
        </w:rPr>
        <w:t>是甲状腺组织特有的功能标志物，在排除甲状腺球蛋白抗体（TgAb）干扰的前提下，血清T</w:t>
      </w:r>
      <w:r>
        <w:rPr>
          <w:rFonts w:hint="eastAsia" w:ascii="Times New Roman" w:hAnsi="Times New Roman" w:eastAsia="仿宋_GB2312" w:cs="Times New Roman"/>
          <w:sz w:val="32"/>
          <w:szCs w:val="32"/>
          <w:lang w:val="en-US" w:eastAsia="zh-CN"/>
        </w:rPr>
        <w:t>G</w:t>
      </w:r>
      <w:r>
        <w:rPr>
          <w:rFonts w:ascii="Times New Roman" w:hAnsi="Times New Roman" w:eastAsia="仿宋_GB2312" w:cs="Times New Roman"/>
          <w:sz w:val="32"/>
          <w:szCs w:val="32"/>
        </w:rPr>
        <w:t>水平可反映甲状腺组织的质量、完整性与活性。T</w:t>
      </w:r>
      <w:r>
        <w:rPr>
          <w:rFonts w:hint="eastAsia" w:ascii="Times New Roman" w:hAnsi="Times New Roman" w:eastAsia="仿宋_GB2312" w:cs="Times New Roman"/>
          <w:sz w:val="32"/>
          <w:szCs w:val="32"/>
          <w:lang w:val="en-US" w:eastAsia="zh-CN"/>
        </w:rPr>
        <w:t>G</w:t>
      </w:r>
      <w:r>
        <w:rPr>
          <w:rFonts w:ascii="Times New Roman" w:hAnsi="Times New Roman" w:eastAsia="仿宋_GB2312" w:cs="Times New Roman"/>
          <w:sz w:val="32"/>
          <w:szCs w:val="32"/>
        </w:rPr>
        <w:t>升高常见于</w:t>
      </w:r>
      <w:r>
        <w:rPr>
          <w:rFonts w:hint="eastAsia" w:ascii="Times New Roman" w:hAnsi="Times New Roman" w:eastAsia="仿宋_GB2312" w:cs="Times New Roman"/>
          <w:sz w:val="32"/>
          <w:szCs w:val="32"/>
        </w:rPr>
        <w:t>甲状腺肿大、甲状腺良性结节、甲状腺腺瘤、多结节性甲状腺肿、甲状腺毒症和处于毒性期的甲状腺炎</w:t>
      </w:r>
      <w:r>
        <w:rPr>
          <w:rFonts w:ascii="Times New Roman" w:hAnsi="Times New Roman" w:eastAsia="仿宋_GB2312" w:cs="Times New Roman"/>
          <w:sz w:val="32"/>
          <w:szCs w:val="32"/>
        </w:rPr>
        <w:t>等；降低多见于甲状腺全切术后、先天性无甲状腺症、严重甲状腺萎缩、晚期桥本甲状腺炎，以及接受TSH抑制治疗者。临床上甲状腺球蛋白检测用于甲状</w:t>
      </w:r>
      <w:r>
        <w:rPr>
          <w:rFonts w:hint="eastAsia" w:ascii="Times New Roman" w:hAnsi="Times New Roman" w:eastAsia="仿宋_GB2312" w:cs="Times New Roman"/>
          <w:sz w:val="32"/>
          <w:szCs w:val="32"/>
        </w:rPr>
        <w:t>腺疾病的辅助诊断及治疗监测。</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3.3适用人群</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目标患者/人群的信息</w:t>
      </w:r>
      <w:r>
        <w:rPr>
          <w:rFonts w:hint="eastAsia" w:ascii="Times New Roman" w:hAnsi="Times New Roman" w:eastAsia="仿宋_GB2312" w:cs="Times New Roman"/>
          <w:sz w:val="32"/>
          <w:szCs w:val="32"/>
          <w:highlight w:val="none"/>
        </w:rPr>
        <w:t>，对于适用人群包含儿童或新生儿的情况，应进行明确</w:t>
      </w:r>
      <w:r>
        <w:rPr>
          <w:rFonts w:hint="default" w:ascii="Times New Roman" w:hAnsi="Times New Roman" w:eastAsia="仿宋_GB2312" w:cs="Times New Roman"/>
          <w:sz w:val="32"/>
          <w:szCs w:val="32"/>
        </w:rPr>
        <w:t>。</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3.4预期使用者</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经过专业培训的医务人员或实验室专业技术人员。</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3.5预期使用环境</w:t>
      </w:r>
    </w:p>
    <w:p>
      <w:pPr>
        <w:tabs>
          <w:tab w:val="left" w:pos="6720"/>
        </w:tabs>
        <w:spacing w:line="520" w:lineRule="exact"/>
        <w:ind w:firstLine="640" w:firstLineChars="200"/>
        <w:outlineLvl w:val="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rPr>
        <w:t>预期使用地点为医学检验实验室或医院、医疗/临床实验室，其检测过程中的环境条件应符合适用仪器正常工作环境条件，并且试剂储存需满足说明书规定的储存条件及有效期。</w:t>
      </w:r>
      <w:r>
        <w:rPr>
          <w:rFonts w:hint="default" w:ascii="Times New Roman" w:hAnsi="Times New Roman" w:eastAsia="仿宋_GB2312" w:cs="Times New Roman"/>
          <w:sz w:val="32"/>
          <w:szCs w:val="32"/>
        </w:rPr>
        <w:t>4.提供申报产品上市历史情况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如适用</w:t>
      </w:r>
      <w:r>
        <w:rPr>
          <w:rFonts w:hint="default" w:ascii="Times New Roman" w:hAnsi="Times New Roman" w:eastAsia="仿宋_GB2312" w:cs="Times New Roman"/>
          <w:sz w:val="32"/>
          <w:szCs w:val="32"/>
          <w:lang w:eastAsia="zh-CN"/>
        </w:rPr>
        <w:t>）。</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.其他</w:t>
      </w:r>
    </w:p>
    <w:p>
      <w:pPr>
        <w:tabs>
          <w:tab w:val="left" w:pos="6720"/>
        </w:tabs>
        <w:spacing w:line="52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除申报产品外，检测系统的其他组成部分，包括但不限于：样本</w:t>
      </w:r>
      <w:r>
        <w:rPr>
          <w:rFonts w:hint="default" w:ascii="Times New Roman" w:hAnsi="Times New Roman" w:eastAsia="仿宋_GB2312" w:cs="Times New Roman"/>
          <w:color w:val="auto"/>
          <w:sz w:val="32"/>
          <w:szCs w:val="32"/>
        </w:rPr>
        <w:t>处理用试剂（如适用）、</w:t>
      </w:r>
      <w:r>
        <w:rPr>
          <w:rFonts w:hint="default" w:ascii="Times New Roman" w:hAnsi="Times New Roman" w:eastAsia="仿宋_GB2312" w:cs="Times New Roman"/>
          <w:sz w:val="32"/>
          <w:szCs w:val="32"/>
        </w:rPr>
        <w:t>校准品（如适用）、质控品（如适用）、适用仪器等基本信息，及其在检测中发挥的作用，必要时应提交相应的说明书。</w:t>
      </w:r>
    </w:p>
    <w:p>
      <w:pPr>
        <w:tabs>
          <w:tab w:val="left" w:pos="6720"/>
        </w:tabs>
        <w:spacing w:line="520" w:lineRule="exact"/>
        <w:ind w:firstLine="640" w:firstLineChars="200"/>
        <w:outlineLvl w:val="0"/>
        <w:rPr>
          <w:rFonts w:hint="default" w:ascii="Times New Roman" w:hAnsi="Times New Roman" w:eastAsia="仿宋_GB2312" w:cs="Times New Roman"/>
          <w:color w:val="0000FF"/>
          <w:sz w:val="32"/>
          <w:szCs w:val="32"/>
        </w:rPr>
      </w:pPr>
      <w:r>
        <w:rPr>
          <w:rFonts w:hint="default" w:ascii="Times New Roman" w:hAnsi="Times New Roman" w:eastAsia="仿宋_GB2312" w:cs="Times New Roman"/>
          <w:sz w:val="32"/>
          <w:szCs w:val="32"/>
        </w:rPr>
        <w:t>对于已获得批准的检测系统的其他组成部分</w:t>
      </w:r>
      <w:r>
        <w:rPr>
          <w:rFonts w:hint="default" w:ascii="Times New Roman" w:hAnsi="Times New Roman" w:eastAsia="仿宋_GB2312" w:cs="Times New Roman"/>
          <w:color w:val="auto"/>
          <w:sz w:val="32"/>
          <w:szCs w:val="32"/>
        </w:rPr>
        <w:t>，应当提供备案号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注册证编号和国家药监局官方网站公布的备案信息</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z w:val="32"/>
          <w:szCs w:val="32"/>
        </w:rPr>
        <w:t>注册证信息</w:t>
      </w:r>
      <w:r>
        <w:rPr>
          <w:rFonts w:hint="default" w:ascii="Times New Roman" w:hAnsi="Times New Roman" w:eastAsia="仿宋_GB2312" w:cs="Times New Roman"/>
          <w:color w:val="auto"/>
          <w:sz w:val="32"/>
          <w:szCs w:val="32"/>
        </w:rPr>
        <w:t>。</w:t>
      </w:r>
    </w:p>
    <w:p>
      <w:pPr>
        <w:tabs>
          <w:tab w:val="left" w:pos="6720"/>
        </w:tabs>
        <w:spacing w:line="52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(三)非临床资料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1.产品风险管理资料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风险管理资料应符合GB/T 42062《医疗器械</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风险管理对医疗器械的应用》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YY/T1437</w:t>
      </w:r>
      <w:r>
        <w:rPr>
          <w:rFonts w:hint="eastAsia" w:ascii="Times New Roman" w:hAnsi="Times New Roman" w:eastAsia="仿宋_GB2312" w:cs="Times New Roman"/>
          <w:sz w:val="32"/>
          <w:szCs w:val="32"/>
          <w:lang w:eastAsia="zh-CN"/>
        </w:rPr>
        <w:t>《医疗器械 GB/T 42062应用指南》</w:t>
      </w:r>
      <w:r>
        <w:rPr>
          <w:rFonts w:hint="default" w:ascii="Times New Roman" w:hAnsi="Times New Roman" w:eastAsia="仿宋_GB2312" w:cs="Times New Roman"/>
          <w:sz w:val="32"/>
          <w:szCs w:val="32"/>
        </w:rPr>
        <w:t>的要求。申请人应考虑产品生命周期的各个环节，从产品设计开发、原材料的采购控制、生产、预期用途、可能的使用错误、与安全性有关的特征、已知和可预见的危害等方面的判定以及对患者风险的估计进行风险分析、风险评价和相应的风险控制基础上，综合评价产品风险可接受程度，形成风险管理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风险管理资料至少应包括风险管理人员及其职责分工、风险可接受准则、风险评价、风险控制和风险控制措施、综合剩余风险的可接受性评价、风险控制措施验证、风险管理评审结论。</w:t>
      </w:r>
    </w:p>
    <w:p>
      <w:pPr>
        <w:spacing w:line="52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rPr>
        <w:t>常见风险分析项包括：</w:t>
      </w:r>
      <w:r>
        <w:rPr>
          <w:rFonts w:hint="default" w:ascii="Times New Roman" w:hAnsi="Times New Roman" w:eastAsia="仿宋_GB2312" w:cs="Times New Roman"/>
          <w:sz w:val="32"/>
          <w:szCs w:val="32"/>
        </w:rPr>
        <w:t>性能特征失效包括：精密度失效，准确度失效，非特异性，稳定性失效，测量范围失效，校准失效；可能的生产错误包括：配方错误，采购的原料未能达到设计要求的性能，原材料储存条件不正确，使用了过期的原材料，反应体系不正确，试剂与包装材料不相容，生产者未按照生产流程操作，检验者未按照原料、半成品、成品检验标准操作，装配过程组分、标签、说明书等漏装或误装；可能的使用错误包括：成品储存或运输不当，客户未参照产品说明书设置参数或使用。与安全性有关的特征包括：有毒化学试剂的化学污染、样本的潜在生物污染、不可回收包装或塑料的环境污染。</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行风险分析时，应识别出产品的其它特定风险，并对风险分析方法进行描述。如果可以选择使用其它方法来解决所识别出的特定风险，或已识别出不同于本指南中风险的其它风险，应提供详细信息来支持所采用的、解决该风险的方法。</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2.体外诊断试剂安全和性能基本原则清单</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说明产品符合《体外诊断试剂安全和性能基本原则清单》各项适用要求所采用的方法，以及证明其符合性的文件。对于其中不适用的各项要求，应当说明理由。</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3.产品技术要求及检验标准</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产品技术要求应根据注册申请人产品研制等结果，依据国家标准、行业标准及有关文献等，按照《关于发布医疗器械产品技术要求编写指导原则的通告》的有关要求，编写产品技术要求，内容主要包含产品性能指标和检验方法。</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3.1适用的产品标准</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YY/T 1817《甲状腺球蛋白测定试剂盒（化学发光免疫分析法）》</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注：以上标准使用最新版本。</w:t>
      </w:r>
    </w:p>
    <w:p>
      <w:pPr>
        <w:spacing w:line="52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该行业标准为推荐性标准，</w:t>
      </w:r>
      <w:r>
        <w:rPr>
          <w:rFonts w:hint="eastAsia" w:ascii="Times New Roman" w:hAnsi="Times New Roman" w:eastAsia="仿宋_GB2312" w:cs="Times New Roman"/>
          <w:sz w:val="32"/>
          <w:szCs w:val="32"/>
          <w:lang w:val="en-US" w:eastAsia="zh-CN"/>
        </w:rPr>
        <w:t>仅供</w:t>
      </w:r>
      <w:r>
        <w:rPr>
          <w:rFonts w:hint="eastAsia" w:ascii="Times New Roman" w:hAnsi="Times New Roman" w:eastAsia="仿宋_GB2312" w:cs="Times New Roman"/>
          <w:sz w:val="32"/>
          <w:szCs w:val="32"/>
        </w:rPr>
        <w:t>参考。</w:t>
      </w:r>
      <w:r>
        <w:rPr>
          <w:rFonts w:hint="default" w:ascii="Times New Roman" w:hAnsi="Times New Roman" w:eastAsia="仿宋_GB2312" w:cs="Times New Roman"/>
          <w:sz w:val="32"/>
          <w:szCs w:val="32"/>
        </w:rPr>
        <w:t>注册申请人应关注相关国家标准和行业标准的有效性。申请人亦可根据自身产品的特点补充引用其他标准。</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3.2产品技术要求</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该产品作为定量检测试剂主要包括以下性能指标：外观、</w:t>
      </w:r>
      <w:r>
        <w:rPr>
          <w:rFonts w:hint="eastAsia" w:ascii="Times New Roman" w:hAnsi="Times New Roman" w:eastAsia="仿宋_GB2312" w:cs="Times New Roman"/>
          <w:color w:val="auto"/>
          <w:sz w:val="32"/>
          <w:szCs w:val="32"/>
          <w:lang w:val="en-US" w:eastAsia="zh-CN"/>
        </w:rPr>
        <w:t>装量（液体试剂适用）、</w:t>
      </w:r>
      <w:r>
        <w:rPr>
          <w:rFonts w:hint="default" w:ascii="Times New Roman" w:hAnsi="Times New Roman" w:eastAsia="仿宋_GB2312" w:cs="Times New Roman"/>
          <w:sz w:val="32"/>
          <w:szCs w:val="32"/>
        </w:rPr>
        <w:t>线性、准确度、检出限、重复性、批间差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溯源性</w:t>
      </w:r>
      <w:r>
        <w:rPr>
          <w:rFonts w:hint="default" w:ascii="Times New Roman" w:hAnsi="Times New Roman" w:eastAsia="仿宋_GB2312" w:cs="Times New Roman"/>
          <w:sz w:val="32"/>
          <w:szCs w:val="32"/>
        </w:rPr>
        <w:t>等。</w:t>
      </w:r>
    </w:p>
    <w:p>
      <w:pPr>
        <w:spacing w:line="52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如注册单元中包含校准品/质控品，其性能指标至少应包含</w:t>
      </w:r>
      <w:r>
        <w:rPr>
          <w:rFonts w:hint="eastAsia" w:ascii="Times New Roman" w:hAnsi="Times New Roman" w:eastAsia="仿宋_GB2312" w:cs="Times New Roman"/>
          <w:sz w:val="32"/>
          <w:szCs w:val="32"/>
          <w:highlight w:val="none"/>
          <w:lang w:val="en-US" w:eastAsia="zh-CN"/>
        </w:rPr>
        <w:t>均匀性</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批内瓶间差、</w:t>
      </w:r>
      <w:r>
        <w:rPr>
          <w:rFonts w:hint="default" w:ascii="Times New Roman" w:hAnsi="Times New Roman" w:eastAsia="仿宋_GB2312" w:cs="Times New Roman"/>
          <w:sz w:val="32"/>
          <w:szCs w:val="32"/>
          <w:lang w:val="en-US" w:eastAsia="zh-CN"/>
        </w:rPr>
        <w:t>水分含量（</w:t>
      </w:r>
      <w:r>
        <w:rPr>
          <w:rFonts w:hint="eastAsia" w:ascii="Times New Roman" w:hAnsi="Times New Roman" w:eastAsia="仿宋_GB2312" w:cs="Times New Roman"/>
          <w:sz w:val="32"/>
          <w:szCs w:val="32"/>
          <w:lang w:val="en-US" w:eastAsia="zh-CN"/>
        </w:rPr>
        <w:t>冻干品</w:t>
      </w:r>
      <w:r>
        <w:rPr>
          <w:rFonts w:hint="default" w:ascii="Times New Roman" w:hAnsi="Times New Roman" w:eastAsia="仿宋_GB2312" w:cs="Times New Roman"/>
          <w:sz w:val="32"/>
          <w:szCs w:val="32"/>
          <w:lang w:val="en-US" w:eastAsia="zh-CN"/>
        </w:rPr>
        <w:t>适用）</w:t>
      </w:r>
      <w:r>
        <w:rPr>
          <w:rFonts w:hint="default" w:ascii="Times New Roman" w:hAnsi="Times New Roman" w:eastAsia="仿宋_GB2312" w:cs="Times New Roman"/>
          <w:sz w:val="32"/>
          <w:szCs w:val="32"/>
        </w:rPr>
        <w:t>。</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其他指标可依据产品的具体情况进行设置。</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如有适用的强制性国家/行业标准</w:t>
      </w:r>
      <w:r>
        <w:rPr>
          <w:rFonts w:hint="eastAsia" w:ascii="Times New Roman" w:hAnsi="Times New Roman" w:eastAsia="仿宋_GB2312" w:cs="Times New Roman"/>
          <w:sz w:val="32"/>
          <w:szCs w:val="32"/>
          <w:lang w:val="en-US" w:eastAsia="zh-CN"/>
        </w:rPr>
        <w:t>/国家标准品</w:t>
      </w:r>
      <w:r>
        <w:rPr>
          <w:rFonts w:hint="default" w:ascii="Times New Roman" w:hAnsi="Times New Roman" w:eastAsia="仿宋_GB2312" w:cs="Times New Roman"/>
          <w:sz w:val="32"/>
          <w:szCs w:val="32"/>
        </w:rPr>
        <w:t>发布或更新，则产品技术要求不低于其相关要求。</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3.3产品检验报告</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保证产品原材料和生产工艺稳定可靠的基础上，采用在符合医疗器械质量管理体系相关要求的条件下生产的产品进行检验，提交符合产品技术要求的全项目检验报告。如有适用的国家标准品，应当使用国家标准品对产品进行检验。可提交以下任一形式的检验报告：</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3.3.1具有自检能力的注册申请人出具的自检报告。</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3.3.2委托有资质的医疗器械检验机构出具的检验报告。</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如提交自检报告，注册申请人还需按照《医疗器械注册自检管理规定》的要求提交相应资料。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4.分析性能评估</w:t>
      </w:r>
    </w:p>
    <w:p>
      <w:pPr>
        <w:spacing w:line="52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申请人应提交在符合质量管理体系的生产环境下生产的试剂的所有</w:t>
      </w:r>
      <w:r>
        <w:rPr>
          <w:rFonts w:hint="eastAsia" w:ascii="Times New Roman" w:hAnsi="Times New Roman" w:eastAsia="仿宋_GB2312" w:cs="Times New Roman"/>
          <w:sz w:val="32"/>
          <w:szCs w:val="32"/>
          <w:lang w:val="en-US" w:eastAsia="zh-CN"/>
        </w:rPr>
        <w:t>分析</w:t>
      </w:r>
      <w:r>
        <w:rPr>
          <w:rFonts w:hint="default" w:ascii="Times New Roman" w:hAnsi="Times New Roman" w:eastAsia="仿宋_GB2312" w:cs="Times New Roman"/>
          <w:sz w:val="32"/>
          <w:szCs w:val="32"/>
        </w:rPr>
        <w:t>性能评估资料。分析性能研究的试验方法，可参照《定量检测体外诊断试剂分析性能评估注册审查指导</w:t>
      </w:r>
      <w:r>
        <w:rPr>
          <w:rFonts w:hint="default" w:ascii="Times New Roman" w:hAnsi="Times New Roman" w:eastAsia="仿宋_GB2312" w:cs="Times New Roman"/>
          <w:sz w:val="32"/>
          <w:szCs w:val="32"/>
          <w:highlight w:val="none"/>
        </w:rPr>
        <w:t>原则》、YY/T</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1789《体外诊</w:t>
      </w:r>
      <w:r>
        <w:rPr>
          <w:rFonts w:hint="default" w:ascii="Times New Roman" w:hAnsi="Times New Roman" w:eastAsia="仿宋_GB2312" w:cs="Times New Roman"/>
          <w:sz w:val="32"/>
          <w:szCs w:val="32"/>
        </w:rPr>
        <w:t>断检验系统</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性能评价方法》或相关标准。</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对于每项分析性能的评估都应包括具体研究方法</w:t>
      </w:r>
      <w:r>
        <w:rPr>
          <w:rFonts w:hint="default" w:ascii="Times New Roman" w:hAnsi="Times New Roman" w:eastAsia="仿宋_GB2312" w:cs="Times New Roman"/>
          <w:color w:val="auto"/>
          <w:sz w:val="32"/>
          <w:szCs w:val="32"/>
          <w:highlight w:val="none"/>
        </w:rPr>
        <w:t>、研究方法选择的理由、可接受标准、统计分析方法、试</w:t>
      </w:r>
      <w:r>
        <w:rPr>
          <w:rFonts w:hint="default" w:ascii="Times New Roman" w:hAnsi="Times New Roman" w:eastAsia="仿宋_GB2312" w:cs="Times New Roman"/>
          <w:sz w:val="32"/>
          <w:szCs w:val="32"/>
        </w:rPr>
        <w:t>验数据、统计分析结果、研究结论等。有关分析性能评估的背景信息也应在申报资料中有所体现，包括试验时间、地点、检验人员、使用仪器型号、试剂规格和批号、校准品的规格和批号、质控品的规格和批号、临床样本类型及来源、样本的量值及确认方法等。用于分析性能评估的样本，应尽量与预期适用的真实临床样本一致，并按照说明书描述的方式进行样本采集、处理、运输和保存。</w:t>
      </w:r>
    </w:p>
    <w:p>
      <w:pPr>
        <w:spacing w:line="52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如申报产品适用不同的机型，需要在不同机型上分别进行分析性能评估。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对某一检测项目的某一分析性能存在差异，应针对该差异采用不同机型进行充分的分析性能</w:t>
      </w:r>
      <w:bookmarkStart w:id="0" w:name="_GoBack"/>
      <w:bookmarkEnd w:id="0"/>
      <w:r>
        <w:rPr>
          <w:rFonts w:hint="default" w:ascii="Times New Roman" w:hAnsi="Times New Roman" w:eastAsia="仿宋_GB2312" w:cs="Times New Roman"/>
          <w:sz w:val="32"/>
          <w:szCs w:val="32"/>
        </w:rPr>
        <w:t>建立研究</w:t>
      </w:r>
      <w:r>
        <w:rPr>
          <w:rFonts w:hint="default" w:ascii="Times New Roman" w:hAnsi="Times New Roman" w:eastAsia="仿宋_GB2312" w:cs="Times New Roman"/>
          <w:color w:val="auto"/>
          <w:sz w:val="32"/>
          <w:szCs w:val="32"/>
        </w:rPr>
        <w:t>。</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如不同规格间存在性能差异，需采用每个包装规格产品进行分析性能评估；如不同规格间不存在性能差异，需要详细说明各规格间的差别及可能产生的影响，采用具有代表性的包装规格进行分析性能评估。</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分析性能研究应能支持说明书中相应的声称内容。</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4.1样本要求</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4.1.1样本稳定性</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申请人应充分考虑实际使用过程中样本采集、处理、运输、储存等各个阶段的条件，对不同类型样本的稳定性分别进行评价并提交研究资料。内容包括建议的保存条件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如温度等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及其期限、添加剂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如抗凝剂等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和运输条件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如涉及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等。对于冷冻保存的样本还应对冻融次数进行评价。</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研究结果应在说明书【样本要求】中详细描述。</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4.1.2适用的样本类型</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果试剂适用于多种样本类型，应采用合理方法对每种样本类型及添加剂（如抗凝剂）进行适用性的研究确认。对具有可比性的样本类型，如产品适用于血清、血浆，可选择具有统计学意义数量的样本进行样本一致性的同源比对研究。</w:t>
      </w:r>
      <w:r>
        <w:rPr>
          <w:rFonts w:hint="eastAsia" w:ascii="Times New Roman" w:hAnsi="Times New Roman" w:eastAsia="仿宋_GB2312" w:cs="Times New Roman"/>
          <w:sz w:val="32"/>
          <w:szCs w:val="32"/>
        </w:rPr>
        <w:t>如适用于全血样本，应具体明确为末梢血或静脉血等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采用抗凝剂时，应说明抗凝剂对样本检测结果的影响。样本量选择应体现一定的统计学意义，说明样本的来源及制备方法。</w:t>
      </w:r>
    </w:p>
    <w:p>
      <w:pPr>
        <w:spacing w:line="52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4.2校准品的量值溯源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如适用</w:t>
      </w:r>
      <w:r>
        <w:rPr>
          <w:rFonts w:hint="eastAsia" w:ascii="Times New Roman" w:hAnsi="Times New Roman" w:eastAsia="仿宋_GB2312" w:cs="Times New Roman"/>
          <w:sz w:val="32"/>
          <w:szCs w:val="32"/>
          <w:lang w:eastAsia="zh-CN"/>
        </w:rPr>
        <w:t>）</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申请人应明确检测系统适用的校准品。</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如申报产品包括校准品，应当提交量值溯源资料。</w:t>
      </w:r>
    </w:p>
    <w:p>
      <w:pPr>
        <w:spacing w:line="520" w:lineRule="exact"/>
        <w:ind w:left="319" w:leftChars="152" w:firstLine="32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校准品溯源定值可参考GB/T 21415</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体外诊断医疗器械 建立校准品、正确度控制物质和人体样品赋值的计量溯源性要求</w:t>
      </w:r>
      <w:r>
        <w:rPr>
          <w:rFonts w:ascii="Times New Roman" w:hAnsi="Times New Roman" w:eastAsia="仿宋_GB2312"/>
          <w:sz w:val="32"/>
          <w:szCs w:val="32"/>
          <w:highlight w:val="none"/>
        </w:rPr>
        <w:t>》</w:t>
      </w:r>
      <w:r>
        <w:rPr>
          <w:rFonts w:hint="default" w:ascii="Times New Roman" w:hAnsi="Times New Roman" w:eastAsia="仿宋_GB2312" w:cs="Times New Roman"/>
          <w:sz w:val="32"/>
          <w:szCs w:val="32"/>
        </w:rPr>
        <w:t>的要求进行研究；如校准品的基质与临床样本存在差异，还应提交互换性研究资料。基质效应可参考WS/T 356</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sz w:val="32"/>
          <w:szCs w:val="32"/>
          <w:highlight w:val="none"/>
          <w:lang w:val="en-US" w:eastAsia="zh-CN"/>
        </w:rPr>
        <w:t>参考物质互换性评估指南》、</w:t>
      </w:r>
      <w:r>
        <w:rPr>
          <w:rFonts w:hint="eastAsia" w:ascii="Times New Roman" w:hAnsi="Times New Roman" w:eastAsia="仿宋_GB2312" w:cs="Times New Roman"/>
          <w:sz w:val="32"/>
          <w:szCs w:val="32"/>
        </w:rPr>
        <w:t>JJF 2155-2024《检验医学标准物质互换性评估要求》</w:t>
      </w:r>
      <w:r>
        <w:rPr>
          <w:rFonts w:hint="default" w:ascii="Times New Roman" w:hAnsi="Times New Roman" w:eastAsia="仿宋_GB2312" w:cs="Times New Roman"/>
          <w:sz w:val="32"/>
          <w:szCs w:val="32"/>
        </w:rPr>
        <w:t>进行研究；不确定度计算可参照YY/T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1709《体外诊断试剂用校准物测量不确定度评定》进行研究。</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校准品定值应关注溯源图、定值程序、定值方法、不确定度计算公式和最终定值结果。若产品包含主校准曲线，同上述要求一致，并有相应校准品溯源定值资料。</w:t>
      </w:r>
    </w:p>
    <w:p>
      <w:pPr>
        <w:spacing w:line="520" w:lineRule="exact"/>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同时，至少应对</w:t>
      </w:r>
      <w:r>
        <w:rPr>
          <w:rFonts w:hint="eastAsia" w:ascii="Times New Roman" w:hAnsi="Times New Roman" w:eastAsia="仿宋_GB2312" w:cs="Times New Roman"/>
          <w:sz w:val="32"/>
          <w:szCs w:val="32"/>
          <w:lang w:val="en-US" w:eastAsia="zh-CN"/>
        </w:rPr>
        <w:t>校准品</w:t>
      </w:r>
      <w:r>
        <w:rPr>
          <w:rFonts w:hint="default" w:ascii="Times New Roman" w:hAnsi="Times New Roman" w:eastAsia="仿宋_GB2312" w:cs="Times New Roman"/>
          <w:sz w:val="32"/>
          <w:szCs w:val="32"/>
        </w:rPr>
        <w:t>的均</w:t>
      </w:r>
      <w:r>
        <w:rPr>
          <w:rFonts w:hint="eastAsia" w:ascii="Times New Roman" w:hAnsi="Times New Roman" w:eastAsia="仿宋_GB2312" w:cs="Times New Roman"/>
          <w:sz w:val="32"/>
          <w:szCs w:val="32"/>
          <w:lang w:val="en-US" w:eastAsia="zh-CN"/>
        </w:rPr>
        <w:t>匀</w:t>
      </w:r>
      <w:r>
        <w:rPr>
          <w:rFonts w:hint="default" w:ascii="Times New Roman" w:hAnsi="Times New Roman" w:eastAsia="仿宋_GB2312" w:cs="Times New Roman"/>
          <w:sz w:val="32"/>
          <w:szCs w:val="32"/>
        </w:rPr>
        <w:t>性进行评估。</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4.3质控品的赋值(如适用)</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申请人应明确检测系统适用的质控品。</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如申报产品包括质控品，应当提交在所有适用机型上进行赋值和</w:t>
      </w:r>
      <w:r>
        <w:rPr>
          <w:rFonts w:hint="eastAsia" w:ascii="Times New Roman" w:hAnsi="Times New Roman" w:eastAsia="仿宋_GB2312"/>
          <w:sz w:val="32"/>
          <w:szCs w:val="32"/>
        </w:rPr>
        <w:t>及其质控范围</w:t>
      </w:r>
      <w:r>
        <w:rPr>
          <w:rFonts w:hint="eastAsia" w:ascii="Times New Roman" w:hAnsi="Times New Roman" w:eastAsia="仿宋_GB2312"/>
          <w:sz w:val="32"/>
          <w:szCs w:val="32"/>
          <w:lang w:val="en-US" w:eastAsia="zh-CN"/>
        </w:rPr>
        <w:t>确定的</w:t>
      </w:r>
      <w:r>
        <w:rPr>
          <w:rFonts w:hint="default" w:ascii="Times New Roman" w:hAnsi="Times New Roman" w:eastAsia="仿宋_GB2312" w:cs="Times New Roman"/>
          <w:sz w:val="32"/>
          <w:szCs w:val="32"/>
        </w:rPr>
        <w:t>验证的资料。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质控品可参考《质控品注册审查指导原则——质控品赋值研究》的要求提交在所有适用机型上进行的赋值及其质控范围确定的相关资料。</w:t>
      </w:r>
    </w:p>
    <w:p>
      <w:pPr>
        <w:spacing w:line="52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同时，至少应对质控品的可接受区间/值（预期结果）、均</w:t>
      </w:r>
      <w:r>
        <w:rPr>
          <w:rFonts w:hint="default" w:ascii="Times New Roman" w:hAnsi="Times New Roman" w:eastAsia="仿宋_GB2312" w:cs="Times New Roman"/>
          <w:sz w:val="32"/>
          <w:szCs w:val="32"/>
          <w:lang w:val="en-US" w:eastAsia="zh-CN"/>
        </w:rPr>
        <w:t>匀</w:t>
      </w:r>
      <w:r>
        <w:rPr>
          <w:rFonts w:hint="default" w:ascii="Times New Roman" w:hAnsi="Times New Roman" w:eastAsia="仿宋_GB2312" w:cs="Times New Roman"/>
          <w:sz w:val="32"/>
          <w:szCs w:val="32"/>
        </w:rPr>
        <w:t>性进行评估。</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4.4正确度</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对测量正确度的评价，可采用相对偏差法（参考物质检测）、方法学比对、回收试验方法，申请人可根据实际情况选择合理方法进行研究。</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4.4.1使用参考物质的正确度评价</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推荐的参考物质包括：具有互换性的有证参考物质，公认的参考</w:t>
      </w:r>
      <w:r>
        <w:rPr>
          <w:rFonts w:hint="eastAsia" w:ascii="Times New Roman" w:hAnsi="Times New Roman" w:eastAsia="仿宋_GB2312" w:cs="Times New Roman"/>
          <w:sz w:val="32"/>
          <w:szCs w:val="32"/>
          <w:lang w:val="en-US" w:eastAsia="zh-CN"/>
        </w:rPr>
        <w:t>物质</w:t>
      </w:r>
      <w:r>
        <w:rPr>
          <w:rFonts w:hint="default" w:ascii="Times New Roman" w:hAnsi="Times New Roman" w:eastAsia="仿宋_GB2312" w:cs="Times New Roman"/>
          <w:sz w:val="32"/>
          <w:szCs w:val="32"/>
        </w:rPr>
        <w:t>、标准品，参考测量程序赋值的临床样本。不可采用产品校准品、质控品进行正确度评价。</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采用至少两个水平的参考物质，代表试剂测量范围的不同浓度，进行重复检测至少3次，根据检测结果平均值与参考量值计算偏倚。</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4.4.2方法学比对</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用参考测量程序或国内普遍认为质量较好的已上市同类试剂作为参比方法，与拟申报试剂同时测定同一批临床样本，样本浓度应覆盖申报试剂的测量区间。在性能建立时，建议对每个样本重复检测，以平均值或中位数进行回归分析，并评价医学决定水平或参考区间上/下限浓度的偏倚。比较两种方法之间的偏倚，如果偏倚在申请人给定的允许误差范围内，说明两测定系统对样本的测定结果基本相符。拟申报试剂与比对试剂相比，对同一份临床样本的医学解释不会产生差异结果。</w:t>
      </w:r>
    </w:p>
    <w:p>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实施方法学比对前，应分别对拟申报试剂和比对试剂进行初步评估，只有在确认两者都分别符合各自相关的质量标准后方可进行比对试验。方法学比对时应注意适用机型、质量控制、样本类型、浓度分布范围并对结果进行合理的统计学分析。</w:t>
      </w:r>
    </w:p>
    <w:p>
      <w:pPr>
        <w:overflowPunct w:val="0"/>
        <w:snapToGrid w:val="0"/>
        <w:spacing w:line="520" w:lineRule="exact"/>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sz w:val="32"/>
          <w:szCs w:val="28"/>
        </w:rPr>
        <w:t>如条件允许，建议与具有相同溯源性的分析系统作比对。</w:t>
      </w:r>
      <w:r>
        <w:rPr>
          <w:rFonts w:hint="eastAsia" w:ascii="Times New Roman" w:hAnsi="Times New Roman" w:eastAsia="仿宋_GB2312"/>
          <w:sz w:val="32"/>
          <w:szCs w:val="28"/>
          <w:highlight w:val="none"/>
        </w:rPr>
        <w:t>样本尽可能使用新鲜样本。</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4.4.3回收试验</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可获得标准溶液、标准物质或分析物纯品的试剂，可采用回收试验进行正确度评价。将标准溶液、标准物质或分析物纯品加入临床样本中，配制成回收样品，进行检测。标准溶液、标准物质的体积与临床样本的体积比应不会产生基质的变化，一般加入体积不超过总体积的10%。</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检测至少3个水平的回收样品，代表试剂测量区间内的高、中、低浓度，其中应包括医学决定水平或参考区间上/下限附近的浓度。每个浓度应进行多次重复检测，采用检测结果平均值计算回收率。</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4.5空白限（LoB）、检出限（LoD）和定量限（LoQ）</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空白限、检出限和定量限是对样本浓度下限的检出能力指标，其研究包括建立和验证两个过程，</w:t>
      </w:r>
      <w:r>
        <w:rPr>
          <w:rFonts w:hint="eastAsia" w:ascii="Times New Roman" w:hAnsi="Times New Roman" w:eastAsia="仿宋_GB2312" w:cs="Times New Roman"/>
          <w:sz w:val="32"/>
          <w:szCs w:val="32"/>
          <w:lang w:val="en-US" w:eastAsia="zh-CN"/>
        </w:rPr>
        <w:t>至少</w:t>
      </w:r>
      <w:r>
        <w:rPr>
          <w:rFonts w:hint="default" w:ascii="Times New Roman" w:hAnsi="Times New Roman" w:eastAsia="仿宋_GB2312" w:cs="Times New Roman"/>
          <w:sz w:val="32"/>
          <w:szCs w:val="32"/>
        </w:rPr>
        <w:t>采用</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个批次试剂进行研究。</w:t>
      </w:r>
    </w:p>
    <w:p>
      <w:pPr>
        <w:spacing w:line="520" w:lineRule="exact"/>
        <w:ind w:firstLine="640" w:firstLineChars="200"/>
        <w:rPr>
          <w:rFonts w:hint="default"/>
        </w:rPr>
      </w:pPr>
      <w:r>
        <w:rPr>
          <w:rFonts w:hint="eastAsia" w:ascii="Times New Roman" w:hAnsi="Times New Roman" w:eastAsia="仿宋_GB2312" w:cs="Times New Roman"/>
          <w:sz w:val="32"/>
          <w:szCs w:val="32"/>
        </w:rPr>
        <w:t>研究方法参考YYT 1789.3《体外诊断检验系统 性能评价方法 第3部分：检出限与定量限》。</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4.6精密度</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应根据各测量条件对检测结果影响程度的分析，设计合理的精密度试验方案进行评价，可采用平衡嵌套设计，将各相关因素整合在一起设计精密度试验，包括重复性、中间精密度和再现性。</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精密度研究用样本一般为临床实际检测样本或其混合物。样本浓度一般包括测量区间高、中、低在内的3～5个水平，应有医学决定水平或参考区间上/下限浓度附近的样本。精密度研究可能涉及多天、多地点检测，应确保样本的稳定性和一致性，可将样本等分保存。</w:t>
      </w:r>
    </w:p>
    <w:p>
      <w:pPr>
        <w:spacing w:line="52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研究方案举例：</w:t>
      </w:r>
      <w:r>
        <w:rPr>
          <w:rFonts w:hint="eastAsia" w:ascii="Times New Roman" w:hAnsi="Times New Roman" w:eastAsia="仿宋_GB2312"/>
          <w:sz w:val="32"/>
          <w:szCs w:val="32"/>
          <w:highlight w:val="none"/>
        </w:rPr>
        <w:t>根据各测量条件对</w:t>
      </w:r>
      <w:r>
        <w:rPr>
          <w:rFonts w:ascii="Times New Roman" w:hAnsi="Times New Roman" w:eastAsia="仿宋_GB2312"/>
          <w:sz w:val="32"/>
          <w:szCs w:val="32"/>
          <w:highlight w:val="none"/>
        </w:rPr>
        <w:t>检测结果影响</w:t>
      </w:r>
      <w:r>
        <w:rPr>
          <w:rFonts w:hint="eastAsia" w:ascii="Times New Roman" w:hAnsi="Times New Roman" w:eastAsia="仿宋_GB2312"/>
          <w:sz w:val="32"/>
          <w:szCs w:val="32"/>
          <w:highlight w:val="none"/>
        </w:rPr>
        <w:t>程度的分析，设计</w:t>
      </w:r>
      <w:r>
        <w:rPr>
          <w:rFonts w:ascii="Times New Roman" w:hAnsi="Times New Roman" w:eastAsia="仿宋_GB2312"/>
          <w:sz w:val="32"/>
          <w:szCs w:val="32"/>
          <w:highlight w:val="none"/>
        </w:rPr>
        <w:t>合理的精密度试验方案</w:t>
      </w:r>
      <w:r>
        <w:rPr>
          <w:rFonts w:hint="eastAsia" w:ascii="Times New Roman" w:hAnsi="Times New Roman" w:eastAsia="仿宋_GB2312"/>
          <w:sz w:val="32"/>
          <w:szCs w:val="32"/>
          <w:highlight w:val="none"/>
        </w:rPr>
        <w:t>进行</w:t>
      </w:r>
      <w:r>
        <w:rPr>
          <w:rFonts w:ascii="Times New Roman" w:hAnsi="Times New Roman" w:eastAsia="仿宋_GB2312"/>
          <w:sz w:val="32"/>
          <w:szCs w:val="32"/>
          <w:highlight w:val="none"/>
        </w:rPr>
        <w:t>评价</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重复性和实验室内精密度评价设计</w:t>
      </w:r>
      <w:r>
        <w:rPr>
          <w:rFonts w:hint="eastAsia" w:ascii="Times New Roman" w:hAnsi="Times New Roman" w:eastAsia="仿宋_GB2312"/>
          <w:sz w:val="32"/>
          <w:szCs w:val="32"/>
          <w:highlight w:val="none"/>
          <w:lang w:val="en-US" w:eastAsia="zh-CN"/>
        </w:rPr>
        <w:t>可采用</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在同一个条件下</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如同一个实验室，同一台仪器</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进行20天</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可为非连续天</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测试，每天2个分析批，每批重复测量2次，即20</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2试验设计。实验室间精密度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批间差</w:t>
      </w:r>
      <w:r>
        <w:rPr>
          <w:rFonts w:hint="eastAsia" w:ascii="Times New Roman" w:hAnsi="Times New Roman" w:eastAsia="仿宋_GB2312"/>
          <w:sz w:val="32"/>
          <w:szCs w:val="32"/>
          <w:highlight w:val="none"/>
        </w:rPr>
        <w:t>评价设计</w:t>
      </w:r>
      <w:r>
        <w:rPr>
          <w:rFonts w:hint="eastAsia" w:ascii="Times New Roman" w:hAnsi="Times New Roman" w:eastAsia="仿宋_GB2312"/>
          <w:sz w:val="32"/>
          <w:szCs w:val="32"/>
          <w:highlight w:val="none"/>
          <w:lang w:val="en-US" w:eastAsia="zh-CN"/>
        </w:rPr>
        <w:t>可采用</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3个实验室，进行5天</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不一定是连续的</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测试，每天1个分析批，每批重复测量5次，即3</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5</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5试验设计。这2种试验方案均采用了双因素方差分析模型。</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4.7分析特异性</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特异性受干扰和交叉反应的影响。申请人应分析待测样本中及试剂使用过程中潜在的干扰物质和交叉反应。可参照《定量检测体外诊断试剂分析性能评估注册审查指导原则》并结合产品实际情况选择适用的干扰物质进行评价。</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4.7.1干扰试验</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干扰物质研究应当考虑常见的内源性干扰、外源性干扰和已有报道的干扰物质等对产品检测结果的影响。</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内源干扰物主要涉及甘油三酯、胆红素、血红蛋白、类风湿因子、生物素</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如涉及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、异嗜性抗体（HAMA）</w:t>
      </w:r>
      <w:r>
        <w:rPr>
          <w:rFonts w:hint="default" w:ascii="Times New Roman" w:hAnsi="Times New Roman" w:eastAsia="仿宋_GB2312" w:cs="Times New Roman"/>
          <w:sz w:val="32"/>
          <w:szCs w:val="32"/>
          <w:highlight w:val="none"/>
        </w:rPr>
        <w:t>等，外源干扰物主要包括常用药物</w:t>
      </w:r>
      <w:r>
        <w:rPr>
          <w:rFonts w:hint="default" w:ascii="Times New Roman" w:hAnsi="Times New Roman" w:eastAsia="仿宋_GB2312" w:cs="Times New Roman"/>
          <w:sz w:val="32"/>
          <w:szCs w:val="32"/>
        </w:rPr>
        <w:t>（如抗甲状腺药物、碘、甲状腺素类药物等）及其他可能引入的干扰物质。干扰物浓度应覆盖临床样本中的最高浓度（最差情形），明确干扰物质影响的最大浓度。待评价的样本浓度建议采用医学决定水平或参考区间上/下限附近样本。</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4.7.2交叉反应</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交叉反应研究需对可能的交叉反应物质进行检测，主要涉及促甲状腺激素（TSH）、三碘甲状腺原氨酸（T3）、甲状腺素（T4）、人IgG、甲胎蛋白（AFP）等。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4.8测量区间及可报告区间</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4.8.1线性区间</w:t>
      </w:r>
      <w:r>
        <w:rPr>
          <w:rFonts w:hint="eastAsia" w:ascii="Times New Roman" w:hAnsi="Times New Roman" w:eastAsia="仿宋_GB2312"/>
          <w:sz w:val="32"/>
          <w:szCs w:val="32"/>
          <w:highlight w:val="none"/>
        </w:rPr>
        <w:t>及测量区间</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线性区间的研究，需采用高值和零浓度/低值样本配制一系列不同浓度的样本，如不适合采用稀释方法获得系列浓度水平样本的待测物，可使用有目标值的多个样本进行线性区间研究，包括建立和验证两个过程。</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建立试剂的线性区间时，需配制较预期线性区间更宽的</w:t>
      </w:r>
      <w:r>
        <w:rPr>
          <w:rFonts w:hint="eastAsia" w:ascii="Times New Roman" w:hAnsi="Times New Roman" w:eastAsia="仿宋_GB2312" w:cs="Times New Roman"/>
          <w:sz w:val="32"/>
          <w:szCs w:val="32"/>
          <w:lang w:val="en-US" w:eastAsia="zh-CN"/>
        </w:rPr>
        <w:t>至少</w:t>
      </w:r>
      <w:r>
        <w:rPr>
          <w:rFonts w:hint="default" w:ascii="Times New Roman" w:hAnsi="Times New Roman" w:eastAsia="仿宋_GB2312" w:cs="Times New Roman"/>
          <w:sz w:val="32"/>
          <w:szCs w:val="32"/>
        </w:rPr>
        <w:t>9个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验证试剂的线性区间时，需配制覆盖整个线性区间的至少5个不同浓度的样本，每个样本至少重复检测2次。检测结果的线性偏差、不精密度和偏倚均在可接受范围内。</w:t>
      </w:r>
    </w:p>
    <w:p>
      <w:pPr>
        <w:spacing w:line="52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测量区间，也称分析测量区间，在该区间内，临床样本在未经稀释、浓缩，或非常规测量程序步骤中的其他前处理情况下，检测结果的线性偏差、不精密度和偏倚均在可接受范围内。测量区间下限为定量限，线性区间包含测量区间。</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4.8.2扩展测量区间和可报告区间（如适用）</w:t>
      </w:r>
    </w:p>
    <w:p>
      <w:pPr>
        <w:spacing w:line="520" w:lineRule="exact"/>
        <w:ind w:firstLine="640" w:firstLineChars="200"/>
        <w:rPr>
          <w:rFonts w:hint="eastAsia" w:ascii="Times New Roman" w:hAnsi="Times New Roman" w:eastAsia="仿宋_GB2312" w:cs="Times New Roman"/>
          <w:color w:val="0000FF"/>
          <w:sz w:val="32"/>
          <w:szCs w:val="32"/>
        </w:rPr>
      </w:pPr>
      <w:r>
        <w:rPr>
          <w:rFonts w:hint="default" w:ascii="Times New Roman" w:hAnsi="Times New Roman" w:eastAsia="仿宋_GB2312" w:cs="Times New Roman"/>
          <w:sz w:val="32"/>
          <w:szCs w:val="32"/>
        </w:rPr>
        <w:t>如对超出测量区间浓度的样本可进行稀释后检测，应研究合适的稀释液和稀释倍数，从而确定试剂的扩展测量区间和可报告区间。两者上限均为测量区间上限×稀释倍数，扩展测量区间的下限为测量区间上限，可报告区间下限为检出限。</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4.9高剂量钩状效应（如适用）</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检测含有极高浓度的待测</w:t>
      </w:r>
      <w:r>
        <w:rPr>
          <w:rFonts w:hint="eastAsia" w:ascii="Times New Roman" w:hAnsi="Times New Roman" w:eastAsia="仿宋_GB2312" w:cs="Times New Roman"/>
          <w:sz w:val="32"/>
          <w:szCs w:val="32"/>
          <w:lang w:val="en-US" w:eastAsia="zh-CN"/>
        </w:rPr>
        <w:t>物</w:t>
      </w:r>
      <w:r>
        <w:rPr>
          <w:rFonts w:hint="default" w:ascii="Times New Roman" w:hAnsi="Times New Roman" w:eastAsia="仿宋_GB2312" w:cs="Times New Roman"/>
          <w:sz w:val="32"/>
          <w:szCs w:val="32"/>
        </w:rPr>
        <w:t>的样本时，饱和反应可能导致检测浓度值低于真实值。建议对至少2个含有高浓度分析物的样本进行梯度稀释后由低浓度至高浓度检测，每个梯度的稀释液重复多份进行检测，明确不产生钩状效应的最高分析物浓度。</w:t>
      </w:r>
    </w:p>
    <w:p>
      <w:pPr>
        <w:spacing w:line="52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5.稳定性研究资料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稳定性研究主要包括实时稳定性、开瓶（复溶）稳定性、溶解后冻存稳定性（如涉及）、机载稳定性（如涉及）、运输稳定性等研究，申请人可根据实际需要选择合理的稳定性研究方案。研究资料应包括研究方法的确定依据、具体的试验方案、过程、详细的研究数据以及结论，结论应能支持说明书中对产品储存条件及时间等声称内容，应注意研究条件是否涵盖了声称的极端情况（如极端温度）。</w:t>
      </w:r>
    </w:p>
    <w:p>
      <w:pPr>
        <w:spacing w:line="520" w:lineRule="exact"/>
        <w:ind w:firstLine="640" w:firstLineChars="200"/>
        <w:contextualSpacing/>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对于实时稳定性研究，提交至少三批申报产品在实际储存条件下保存至成品有效期后</w:t>
      </w:r>
      <w:r>
        <w:rPr>
          <w:rFonts w:hint="eastAsia" w:ascii="Times New Roman" w:hAnsi="Times New Roman" w:eastAsia="仿宋_GB2312" w:cs="Times New Roman"/>
          <w:sz w:val="32"/>
          <w:szCs w:val="32"/>
          <w:lang w:val="en-US" w:eastAsia="zh-CN"/>
        </w:rPr>
        <w:t>1-2个月</w:t>
      </w:r>
      <w:r>
        <w:rPr>
          <w:rFonts w:hint="default" w:ascii="Times New Roman" w:hAnsi="Times New Roman" w:eastAsia="仿宋_GB2312" w:cs="Times New Roman"/>
          <w:sz w:val="32"/>
          <w:szCs w:val="32"/>
        </w:rPr>
        <w:t>的实时稳定性研究资料。内容包括详细描述正确储存的环境条件（如温度、湿度和光照）并明确有效期。</w:t>
      </w:r>
    </w:p>
    <w:p>
      <w:pPr>
        <w:spacing w:line="520" w:lineRule="exact"/>
        <w:ind w:firstLine="640" w:firstLineChars="200"/>
        <w:contextualSpacing/>
        <w:rPr>
          <w:rFonts w:hint="eastAsia" w:ascii="Times New Roman" w:hAnsi="Times New Roman" w:eastAsia="仿宋_GB2312" w:cs="Times New Roman"/>
          <w:sz w:val="32"/>
          <w:szCs w:val="32"/>
          <w:lang w:val="en-US" w:eastAsia="zh-CN"/>
        </w:rPr>
      </w:pPr>
      <w:r>
        <w:rPr>
          <w:rFonts w:hint="eastAsia" w:ascii="Times New Roman" w:hAnsi="Times New Roman" w:eastAsia="仿宋_GB2312"/>
          <w:bCs/>
          <w:sz w:val="32"/>
          <w:szCs w:val="32"/>
          <w:highlight w:val="none"/>
        </w:rPr>
        <w:t>如试剂的储存温度范围过宽，应进行分段研究，并进行最差条件的验证。以试剂的储存条件为4℃-30℃为例，研究过程应包含4℃-10℃、10℃-30℃以及30℃条件下的长期研究。</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使用稳定性研究，提交申报产品实际使用条件下的稳定性研究资料，应包括所有适用组成部分的开瓶稳定性、复溶稳定性（适用于组分为冻干粉的情况）、机载稳定性（适用于自动化仪器）。对于可冻融的组分，应提供最大冻融次数的研究。</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运输稳定性研究，提交申报产品可在特定或者预期的条件下运输的研究资料，应说明产品正确运输的环境条件（如温度、湿度、光照和机械保护等），同时说明所用产品的包装方式以及此前暴露的最差运输条件。</w:t>
      </w:r>
      <w:r>
        <w:rPr>
          <w:rFonts w:hint="eastAsia" w:ascii="Times New Roman" w:hAnsi="Times New Roman" w:eastAsia="仿宋_GB2312" w:cs="Times New Roman"/>
          <w:sz w:val="32"/>
          <w:szCs w:val="32"/>
        </w:rPr>
        <w:t>应提交运输后产品至效期后的稳定性研究资料。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如试剂盒内包含校准品，还应提交校准频率或校准稳定性的研究资料。</w:t>
      </w:r>
    </w:p>
    <w:p>
      <w:pPr>
        <w:spacing w:line="52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如试剂盒内包含质控品，应明确设置质控品测定数据偏倚的可接受水平。</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可参考《体外诊断试剂稳定性研究注册审查指导原则》的要求进行评价。</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6.参考区间</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可参考《体外诊断试剂参考区间确定注册审查指导原则》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建立参考区间或验证参考区间。</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应详细说明参考区间确定的方法或依据，提交确定参考区间所采用样本来源、详细的试验资料、统计方法等，应明确参考人群的纳入、排除标准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甲状腺疾病史、近期碘暴露</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，考虑不同年龄、性别等因素，尽可能考虑样本来源的多样性、代表性，样本例数应符合统计学要求。</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7.其他资料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7.1产品的生产及自检记录。</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提供三批产品生产及自检记录的复印件。</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如产品包含校准品和（或）质控品，还应提供校准品的赋值记录和质控品的定值记录。</w:t>
      </w:r>
    </w:p>
    <w:p>
      <w:pPr>
        <w:spacing w:line="52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7.2证明产品安全性、有效性的其他非临床研究资料。</w:t>
      </w:r>
    </w:p>
    <w:p>
      <w:pPr>
        <w:tabs>
          <w:tab w:val="left" w:pos="6720"/>
        </w:tabs>
        <w:spacing w:line="52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四</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临床评价资料</w:t>
      </w:r>
    </w:p>
    <w:p>
      <w:pPr>
        <w:spacing w:line="520" w:lineRule="exact"/>
        <w:ind w:firstLine="640" w:firstLineChars="200"/>
        <w:rPr>
          <w:rFonts w:eastAsia="仿宋_GB2312"/>
          <w:color w:val="000000"/>
          <w:sz w:val="32"/>
          <w:szCs w:val="32"/>
        </w:rPr>
      </w:pPr>
      <w:r>
        <w:rPr>
          <w:rFonts w:eastAsia="仿宋_GB2312"/>
          <w:color w:val="000000"/>
          <w:sz w:val="32"/>
          <w:szCs w:val="32"/>
        </w:rPr>
        <w:t>该产品列入《免于临床试验体外诊断试剂目录》，申请人应按照《免于临床试验的体外诊断试剂临床评价技术指导原则》提交临床评价资料。</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无法按要求进行临床评价，或预期用途超出豁免目录中的描述，应进行临床试验。开展临床试验的，临床试验的伦理、方案的制定以及报告的撰写等临床试验资料均应符合《关于发布体外诊断试剂临床试验技术指导原则的通告》对临床评价资料的规定，原始数据库、分析数据库、说明性文件等临床试验数据库资料应符合《体外诊断试剂临床试验数据递交要求注册审查指导原则》的要求，相关资料签章应符合《医疗器械临床试验质量管理规范》的要求。</w:t>
      </w:r>
    </w:p>
    <w:p>
      <w:pPr>
        <w:tabs>
          <w:tab w:val="left" w:pos="6720"/>
        </w:tabs>
        <w:spacing w:line="52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（五）产品说明书和标签样稿</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1.产品说明书</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说明书承载了产品预期用途、检验原理、测定结果解释以及注意事项等重要信息，是指导实验室工作人员正确操作、临床医生针对检验结果给出合理医学解释的重要依据，因此，产品说明书是体外诊断试剂注册申报最重要的文件之一。</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产品说明书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以下仅对甲状腺球蛋白测定试剂盒说明书的重点内容进行详细说明，说明书其他内容应根据《体外诊断试剂说明书编写指导原则》要求进行编写。</w:t>
      </w:r>
    </w:p>
    <w:p>
      <w:pPr>
        <w:spacing w:line="520" w:lineRule="exact"/>
        <w:ind w:firstLine="640" w:firstLineChars="200"/>
        <w:rPr>
          <w:rFonts w:eastAsia="仿宋_GB2312"/>
          <w:sz w:val="32"/>
          <w:highlight w:val="none"/>
        </w:rPr>
      </w:pPr>
      <w:r>
        <w:rPr>
          <w:rFonts w:hint="eastAsia" w:ascii="Times New Roman" w:hAnsi="Times New Roman" w:eastAsia="仿宋_GB2312" w:cs="Times New Roman"/>
          <w:sz w:val="32"/>
          <w:szCs w:val="32"/>
          <w:highlight w:val="none"/>
          <w:lang w:val="en-US" w:eastAsia="zh-CN"/>
        </w:rPr>
        <w:t>1.1</w:t>
      </w:r>
      <w:r>
        <w:rPr>
          <w:rFonts w:hint="eastAsia" w:eastAsia="仿宋_GB2312"/>
          <w:sz w:val="32"/>
          <w:highlight w:val="none"/>
        </w:rPr>
        <w:t>【包装规格】</w:t>
      </w:r>
    </w:p>
    <w:p>
      <w:pPr>
        <w:snapToGrid w:val="0"/>
        <w:spacing w:line="520" w:lineRule="exact"/>
        <w:ind w:firstLine="640" w:firstLineChars="200"/>
        <w:rPr>
          <w:rFonts w:eastAsia="仿宋_GB2312"/>
          <w:spacing w:val="-6"/>
          <w:sz w:val="32"/>
          <w:szCs w:val="32"/>
          <w:highlight w:val="none"/>
        </w:rPr>
      </w:pPr>
      <w:r>
        <w:rPr>
          <w:rFonts w:eastAsia="仿宋_GB2312"/>
          <w:sz w:val="32"/>
          <w:szCs w:val="32"/>
          <w:highlight w:val="none"/>
        </w:rPr>
        <w:t>注</w:t>
      </w:r>
      <w:r>
        <w:rPr>
          <w:rFonts w:eastAsia="仿宋_GB2312"/>
          <w:spacing w:val="-6"/>
          <w:sz w:val="32"/>
          <w:szCs w:val="32"/>
          <w:highlight w:val="none"/>
        </w:rPr>
        <w:t>明可测试的样本数或装量，如××测试/盒、××人份/盒、××mL，除国际通用计量单位外，其余内容均应采用中文进行表述。如有货号，可增加货号信息。</w:t>
      </w:r>
    </w:p>
    <w:p>
      <w:pPr>
        <w:spacing w:line="520" w:lineRule="exact"/>
        <w:ind w:firstLine="640" w:firstLineChars="200"/>
        <w:rPr>
          <w:rFonts w:eastAsia="仿宋_GB2312"/>
          <w:bCs/>
          <w:sz w:val="32"/>
          <w:szCs w:val="32"/>
          <w:highlight w:val="none"/>
        </w:rPr>
      </w:pP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rPr>
        <w:t>1</w:t>
      </w:r>
      <w:r>
        <w:rPr>
          <w:rFonts w:eastAsia="仿宋_GB2312"/>
          <w:bCs/>
          <w:sz w:val="32"/>
          <w:szCs w:val="32"/>
          <w:highlight w:val="none"/>
        </w:rPr>
        <w:t>带有校准品或质控品应明确标识；</w:t>
      </w:r>
    </w:p>
    <w:p>
      <w:pPr>
        <w:spacing w:line="520" w:lineRule="exact"/>
        <w:ind w:firstLine="640" w:firstLineChars="200"/>
        <w:rPr>
          <w:rFonts w:eastAsia="仿宋_GB2312"/>
          <w:bCs/>
          <w:sz w:val="32"/>
          <w:szCs w:val="32"/>
          <w:highlight w:val="none"/>
        </w:rPr>
      </w:pP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rPr>
        <w:t>2</w:t>
      </w:r>
      <w:r>
        <w:rPr>
          <w:rFonts w:eastAsia="仿宋_GB2312"/>
          <w:bCs/>
          <w:sz w:val="32"/>
          <w:szCs w:val="32"/>
          <w:highlight w:val="none"/>
        </w:rPr>
        <w:t>与产品技术要求中所列的包装规格一致；</w:t>
      </w:r>
    </w:p>
    <w:p>
      <w:pPr>
        <w:spacing w:line="520" w:lineRule="exact"/>
        <w:ind w:firstLine="640" w:firstLineChars="200"/>
        <w:rPr>
          <w:rFonts w:hint="default" w:eastAsia="仿宋_GB2312"/>
          <w:sz w:val="32"/>
          <w:highlight w:val="none"/>
          <w:lang w:val="en-US"/>
        </w:rPr>
      </w:pP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rPr>
        <w:t>3</w:t>
      </w:r>
      <w:r>
        <w:rPr>
          <w:rFonts w:eastAsia="仿宋_GB2312"/>
          <w:bCs/>
          <w:sz w:val="32"/>
          <w:szCs w:val="32"/>
          <w:highlight w:val="none"/>
        </w:rPr>
        <w:t>如不同包装规格有与之特定对应的机型，应同时明确适用机型</w:t>
      </w:r>
      <w:r>
        <w:rPr>
          <w:rFonts w:hint="eastAsia" w:eastAsia="仿宋_GB2312"/>
          <w:bCs/>
          <w:sz w:val="32"/>
          <w:szCs w:val="32"/>
          <w:highlight w:val="none"/>
          <w:lang w:eastAsia="zh-CN"/>
        </w:rPr>
        <w:t>。</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2</w:t>
      </w:r>
      <w:r>
        <w:rPr>
          <w:rFonts w:hint="default" w:ascii="Times New Roman" w:hAnsi="Times New Roman" w:eastAsia="仿宋_GB2312" w:cs="Times New Roman"/>
          <w:color w:val="0C0C0C"/>
          <w:sz w:val="32"/>
          <w:szCs w:val="32"/>
        </w:rPr>
        <w:t>【预期用途】</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2</w:t>
      </w:r>
      <w:r>
        <w:rPr>
          <w:rFonts w:hint="default" w:ascii="Times New Roman" w:hAnsi="Times New Roman" w:eastAsia="仿宋_GB2312" w:cs="Times New Roman"/>
          <w:color w:val="0C0C0C"/>
          <w:sz w:val="32"/>
          <w:szCs w:val="32"/>
        </w:rPr>
        <w:t>.1说明该产品用于体外定量检测人血清、血浆中甲状腺球蛋白的含量。</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2</w:t>
      </w:r>
      <w:r>
        <w:rPr>
          <w:rFonts w:hint="default" w:ascii="Times New Roman" w:hAnsi="Times New Roman" w:eastAsia="仿宋_GB2312" w:cs="Times New Roman"/>
          <w:color w:val="0C0C0C"/>
          <w:sz w:val="32"/>
          <w:szCs w:val="32"/>
        </w:rPr>
        <w:t>.2应详细说明预期用途。包括适用人群，相关的临床适应证和检测目的等（如临床上用于甲状腺疾病的辅助诊断及治疗监测）。</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2</w:t>
      </w:r>
      <w:r>
        <w:rPr>
          <w:rFonts w:hint="default" w:ascii="Times New Roman" w:hAnsi="Times New Roman" w:eastAsia="仿宋_GB2312" w:cs="Times New Roman"/>
          <w:color w:val="0C0C0C"/>
          <w:sz w:val="32"/>
          <w:szCs w:val="32"/>
        </w:rPr>
        <w:t>.3说明与预期用途相关的临床背景情况；说明被测分析物与临床适应证的关系。说明相关的临床或实验室诊断方法。</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3</w:t>
      </w:r>
      <w:r>
        <w:rPr>
          <w:rFonts w:hint="default" w:ascii="Times New Roman" w:hAnsi="Times New Roman" w:eastAsia="仿宋_GB2312" w:cs="Times New Roman"/>
          <w:color w:val="0C0C0C"/>
          <w:sz w:val="32"/>
          <w:szCs w:val="32"/>
        </w:rPr>
        <w:t>. 【检验原理】</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应结合产品主要成分简要说明检验的原理、方法，必要时可采取图示方法或化学反应方程式表示，检验原理的描述应结合产品主要组成成分、被测物和产物的关系进行描述。</w:t>
      </w:r>
    </w:p>
    <w:p>
      <w:pPr>
        <w:tabs>
          <w:tab w:val="left" w:pos="6720"/>
        </w:tabs>
        <w:spacing w:line="520" w:lineRule="exact"/>
        <w:ind w:firstLine="640" w:firstLineChars="200"/>
        <w:outlineLvl w:val="0"/>
        <w:rPr>
          <w:rFonts w:hint="default"/>
        </w:rPr>
      </w:pPr>
      <w:r>
        <w:rPr>
          <w:rFonts w:hint="eastAsia" w:ascii="Times New Roman" w:hAnsi="Times New Roman" w:eastAsia="仿宋_GB2312" w:cs="Times New Roman"/>
          <w:sz w:val="32"/>
          <w:szCs w:val="32"/>
          <w:lang w:val="en-US" w:eastAsia="zh-CN"/>
        </w:rPr>
        <w:t>技术原理举例：</w:t>
      </w:r>
      <w:r>
        <w:rPr>
          <w:rFonts w:hint="eastAsia" w:ascii="Times New Roman" w:hAnsi="Times New Roman" w:eastAsia="仿宋_GB2312" w:cs="Times New Roman"/>
          <w:sz w:val="32"/>
          <w:szCs w:val="32"/>
        </w:rPr>
        <w:t>试剂盒采用直接化学发光技术的双抗体夹心法，定量测定人血清或血浆样本中TG的含量。TG抗体包被的磁性微球溶液与样本中的TG抗原反应，同时样本中的TG与吖啶酯标记的另一株与之配对的抗体反应，形成夹心复合物；经磁场分离后的复合物中再加入含双氧水的预激发液，使吖啶环与不发光取代基部分分离，加入含氢氧化钠的激发液，吖啶酯在有H</w:t>
      </w:r>
      <w:r>
        <w:rPr>
          <w:rFonts w:hint="eastAsia" w:ascii="Times New Roman" w:hAnsi="Times New Roman" w:eastAsia="仿宋_GB2312" w:cs="Times New Roman"/>
          <w:sz w:val="32"/>
          <w:szCs w:val="32"/>
          <w:vertAlign w:val="subscript"/>
        </w:rPr>
        <w:t>2</w:t>
      </w:r>
      <w:r>
        <w:rPr>
          <w:rFonts w:hint="eastAsia" w:ascii="Times New Roman" w:hAnsi="Times New Roman" w:eastAsia="仿宋_GB2312" w:cs="Times New Roman"/>
          <w:sz w:val="32"/>
          <w:szCs w:val="32"/>
        </w:rPr>
        <w:t>O</w:t>
      </w:r>
      <w:r>
        <w:rPr>
          <w:rFonts w:hint="eastAsia" w:ascii="Times New Roman" w:hAnsi="Times New Roman" w:eastAsia="仿宋_GB2312" w:cs="Times New Roman"/>
          <w:sz w:val="32"/>
          <w:szCs w:val="32"/>
          <w:vertAlign w:val="subscript"/>
        </w:rPr>
        <w:t>2</w:t>
      </w:r>
      <w:r>
        <w:rPr>
          <w:rFonts w:hint="eastAsia" w:ascii="Times New Roman" w:hAnsi="Times New Roman" w:eastAsia="仿宋_GB2312" w:cs="Times New Roman"/>
          <w:sz w:val="32"/>
          <w:szCs w:val="32"/>
        </w:rPr>
        <w:t>的稀碱性溶液中即能发光，读取发光数值，样本中的TG的含量与检测到的发光值成正比。</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4</w:t>
      </w:r>
      <w:r>
        <w:rPr>
          <w:rFonts w:hint="default" w:ascii="Times New Roman" w:hAnsi="Times New Roman" w:eastAsia="仿宋_GB2312" w:cs="Times New Roman"/>
          <w:color w:val="0C0C0C"/>
          <w:sz w:val="32"/>
          <w:szCs w:val="32"/>
        </w:rPr>
        <w:t>. 【主要组成成分】</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4</w:t>
      </w:r>
      <w:r>
        <w:rPr>
          <w:rFonts w:hint="default" w:ascii="Times New Roman" w:hAnsi="Times New Roman" w:eastAsia="仿宋_GB2312" w:cs="Times New Roman"/>
          <w:color w:val="0C0C0C"/>
          <w:sz w:val="32"/>
          <w:szCs w:val="32"/>
        </w:rPr>
        <w:t>.1说明试剂盒包含组分的名称、数量、装量。对于多组分产品，说明不同批号试剂盒中各组分是否可以互换。</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4</w:t>
      </w:r>
      <w:r>
        <w:rPr>
          <w:rFonts w:hint="default" w:ascii="Times New Roman" w:hAnsi="Times New Roman" w:eastAsia="仿宋_GB2312" w:cs="Times New Roman"/>
          <w:color w:val="0C0C0C"/>
          <w:sz w:val="32"/>
          <w:szCs w:val="32"/>
        </w:rPr>
        <w:t>.2说明各组分中的核心反应成分</w:t>
      </w:r>
      <w:r>
        <w:rPr>
          <w:rFonts w:hint="default" w:ascii="Times New Roman" w:hAnsi="Times New Roman" w:eastAsia="仿宋_GB2312" w:cs="Times New Roman"/>
          <w:color w:val="0C0C0C"/>
          <w:sz w:val="32"/>
          <w:szCs w:val="32"/>
          <w:lang w:val="en-US" w:eastAsia="zh-CN"/>
        </w:rPr>
        <w:t>（</w:t>
      </w:r>
      <w:r>
        <w:rPr>
          <w:rFonts w:hint="default" w:ascii="Times New Roman" w:hAnsi="Times New Roman" w:eastAsia="仿宋_GB2312" w:cs="Times New Roman"/>
          <w:color w:val="0C0C0C"/>
          <w:sz w:val="32"/>
          <w:szCs w:val="32"/>
        </w:rPr>
        <w:t>如抗体、抗原、酶等</w:t>
      </w:r>
      <w:r>
        <w:rPr>
          <w:rFonts w:hint="default" w:ascii="Times New Roman" w:hAnsi="Times New Roman" w:eastAsia="仿宋_GB2312" w:cs="Times New Roman"/>
          <w:color w:val="0C0C0C"/>
          <w:sz w:val="32"/>
          <w:szCs w:val="32"/>
          <w:lang w:val="en-US" w:eastAsia="zh-CN"/>
        </w:rPr>
        <w:t>）</w:t>
      </w:r>
      <w:r>
        <w:rPr>
          <w:rFonts w:hint="default" w:ascii="Times New Roman" w:hAnsi="Times New Roman" w:eastAsia="仿宋_GB2312" w:cs="Times New Roman"/>
          <w:color w:val="0C0C0C"/>
          <w:sz w:val="32"/>
          <w:szCs w:val="32"/>
        </w:rPr>
        <w:t>、其他生物活性材料</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如抗生物素抗体、抗体阻断剂、链霉亲和素等</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、固相载体</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如磁微粒等</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、显色/发光物质</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如吖啶酯等</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、基质、防腐剂</w:t>
      </w:r>
      <w:r>
        <w:rPr>
          <w:rFonts w:hint="eastAsia" w:ascii="Times New Roman" w:hAnsi="Times New Roman" w:eastAsia="仿宋_GB2312" w:cs="Times New Roman"/>
          <w:color w:val="0C0C0C"/>
          <w:sz w:val="32"/>
          <w:szCs w:val="32"/>
          <w:lang w:eastAsia="zh-CN"/>
        </w:rPr>
        <w:t>等</w:t>
      </w:r>
      <w:r>
        <w:rPr>
          <w:rFonts w:hint="default" w:ascii="Times New Roman" w:hAnsi="Times New Roman" w:eastAsia="仿宋_GB2312" w:cs="Times New Roman"/>
          <w:color w:val="0C0C0C"/>
          <w:sz w:val="32"/>
          <w:szCs w:val="32"/>
        </w:rPr>
        <w:t>。抗原/抗体等生物活性材料应提供其生物学来源和特性。必要时，明确组分在基质中的浓度、比例等信息。</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4</w:t>
      </w:r>
      <w:r>
        <w:rPr>
          <w:rFonts w:hint="default" w:ascii="Times New Roman" w:hAnsi="Times New Roman" w:eastAsia="仿宋_GB2312" w:cs="Times New Roman"/>
          <w:color w:val="0C0C0C"/>
          <w:sz w:val="32"/>
          <w:szCs w:val="32"/>
        </w:rPr>
        <w:t>.3产品如包含校准品、质控品，应说明浓度水平、核心反应成分及其生物学来源，明确基质、防腐剂等。此外，校准品应注明定值</w:t>
      </w:r>
      <w:r>
        <w:rPr>
          <w:rFonts w:hint="eastAsia"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溯源性</w:t>
      </w:r>
      <w:r>
        <w:rPr>
          <w:rFonts w:hint="eastAsia" w:ascii="Times New Roman" w:hAnsi="Times New Roman" w:eastAsia="仿宋_GB2312" w:cs="Times New Roman"/>
          <w:color w:val="0C0C0C"/>
          <w:sz w:val="32"/>
          <w:szCs w:val="32"/>
          <w:lang w:eastAsia="zh-CN"/>
        </w:rPr>
        <w:t>、</w:t>
      </w:r>
      <w:r>
        <w:rPr>
          <w:rFonts w:hint="eastAsia" w:ascii="Times New Roman" w:hAnsi="Times New Roman" w:eastAsia="仿宋_GB2312" w:cs="Times New Roman"/>
          <w:color w:val="0C0C0C"/>
          <w:sz w:val="32"/>
          <w:szCs w:val="32"/>
          <w:lang w:val="en-US" w:eastAsia="zh-CN"/>
        </w:rPr>
        <w:t>不确定度</w:t>
      </w:r>
      <w:r>
        <w:rPr>
          <w:rFonts w:hint="default" w:ascii="Times New Roman" w:hAnsi="Times New Roman" w:eastAsia="仿宋_GB2312" w:cs="Times New Roman"/>
          <w:color w:val="0C0C0C"/>
          <w:sz w:val="32"/>
          <w:szCs w:val="32"/>
        </w:rPr>
        <w:t>，质控品应</w:t>
      </w:r>
      <w:r>
        <w:rPr>
          <w:rFonts w:hint="default" w:ascii="Times New Roman" w:hAnsi="Times New Roman" w:eastAsia="仿宋_GB2312" w:cs="Times New Roman"/>
          <w:color w:val="auto"/>
          <w:sz w:val="32"/>
          <w:szCs w:val="32"/>
        </w:rPr>
        <w:t>注明靶值</w:t>
      </w:r>
      <w:r>
        <w:rPr>
          <w:rFonts w:hint="default" w:ascii="Times New Roman" w:hAnsi="Times New Roman" w:eastAsia="仿宋_GB2312" w:cs="Times New Roman"/>
          <w:color w:val="0C0C0C"/>
          <w:sz w:val="32"/>
          <w:szCs w:val="32"/>
        </w:rPr>
        <w:t>和靶值范围。如校准品或质控品的值为批特异，可注明批特异，并附单独的靶值单。</w:t>
      </w:r>
    </w:p>
    <w:p>
      <w:pPr>
        <w:snapToGrid/>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4</w:t>
      </w:r>
      <w:r>
        <w:rPr>
          <w:rFonts w:hint="default" w:ascii="Times New Roman" w:hAnsi="Times New Roman" w:eastAsia="仿宋_GB2312" w:cs="Times New Roman"/>
          <w:color w:val="0C0C0C"/>
          <w:sz w:val="32"/>
          <w:szCs w:val="32"/>
        </w:rPr>
        <w:t>.4对于产品中不包含但对检测必需的试剂、单独注册的校准品/质控品、样本保存液等应列明各试剂的产品名称。</w:t>
      </w:r>
      <w:r>
        <w:rPr>
          <w:rFonts w:hint="eastAsia" w:eastAsia="仿宋_GB2312"/>
          <w:sz w:val="32"/>
          <w:szCs w:val="32"/>
          <w:highlight w:val="none"/>
        </w:rPr>
        <w:t>如该试剂已取得注册证编号/备案编号，需注明“</w:t>
      </w:r>
      <w:r>
        <w:rPr>
          <w:rFonts w:eastAsia="仿宋_GB2312"/>
          <w:sz w:val="32"/>
          <w:szCs w:val="32"/>
          <w:highlight w:val="none"/>
        </w:rPr>
        <w:t>注册证</w:t>
      </w:r>
      <w:r>
        <w:rPr>
          <w:rFonts w:hint="eastAsia" w:eastAsia="仿宋_GB2312"/>
          <w:sz w:val="32"/>
          <w:szCs w:val="32"/>
          <w:highlight w:val="none"/>
        </w:rPr>
        <w:t>编</w:t>
      </w:r>
      <w:r>
        <w:rPr>
          <w:rFonts w:eastAsia="仿宋_GB2312"/>
          <w:sz w:val="32"/>
          <w:szCs w:val="32"/>
          <w:highlight w:val="none"/>
        </w:rPr>
        <w:t>号/备案</w:t>
      </w:r>
      <w:r>
        <w:rPr>
          <w:rFonts w:hint="eastAsia" w:eastAsia="仿宋_GB2312"/>
          <w:sz w:val="32"/>
          <w:szCs w:val="32"/>
          <w:highlight w:val="none"/>
        </w:rPr>
        <w:t>编</w:t>
      </w:r>
      <w:r>
        <w:rPr>
          <w:rFonts w:eastAsia="仿宋_GB2312"/>
          <w:sz w:val="32"/>
          <w:szCs w:val="32"/>
          <w:highlight w:val="none"/>
        </w:rPr>
        <w:t>号及货号</w:t>
      </w:r>
      <w:r>
        <w:rPr>
          <w:rFonts w:hint="eastAsia" w:eastAsia="仿宋_GB2312"/>
          <w:sz w:val="32"/>
          <w:szCs w:val="32"/>
          <w:highlight w:val="none"/>
        </w:rPr>
        <w:t>”；如该试剂正处于注册/备案阶段，</w:t>
      </w:r>
      <w:r>
        <w:rPr>
          <w:rFonts w:eastAsia="仿宋_GB2312"/>
          <w:sz w:val="32"/>
          <w:szCs w:val="32"/>
          <w:highlight w:val="none"/>
        </w:rPr>
        <w:t>需注明“货号及注册证</w:t>
      </w:r>
      <w:r>
        <w:rPr>
          <w:rFonts w:hint="eastAsia" w:eastAsia="仿宋_GB2312"/>
          <w:sz w:val="32"/>
          <w:szCs w:val="32"/>
          <w:highlight w:val="none"/>
        </w:rPr>
        <w:t>编</w:t>
      </w:r>
      <w:r>
        <w:rPr>
          <w:rFonts w:eastAsia="仿宋_GB2312"/>
          <w:sz w:val="32"/>
          <w:szCs w:val="32"/>
          <w:highlight w:val="none"/>
        </w:rPr>
        <w:t>号:（留空）/备案</w:t>
      </w:r>
      <w:r>
        <w:rPr>
          <w:rFonts w:hint="eastAsia" w:eastAsia="仿宋_GB2312"/>
          <w:sz w:val="32"/>
          <w:szCs w:val="32"/>
          <w:highlight w:val="none"/>
        </w:rPr>
        <w:t>编</w:t>
      </w:r>
      <w:r>
        <w:rPr>
          <w:rFonts w:eastAsia="仿宋_GB2312"/>
          <w:sz w:val="32"/>
          <w:szCs w:val="32"/>
          <w:highlight w:val="none"/>
        </w:rPr>
        <w:t>号:（留空）”</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5</w:t>
      </w:r>
      <w:r>
        <w:rPr>
          <w:rFonts w:hint="default" w:ascii="Times New Roman" w:hAnsi="Times New Roman" w:eastAsia="仿宋_GB2312" w:cs="Times New Roman"/>
          <w:color w:val="0C0C0C"/>
          <w:sz w:val="32"/>
          <w:szCs w:val="32"/>
        </w:rPr>
        <w:t>. 【储存条件及有效期】</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5</w:t>
      </w:r>
      <w:r>
        <w:rPr>
          <w:rFonts w:hint="default" w:ascii="Times New Roman" w:hAnsi="Times New Roman" w:eastAsia="仿宋_GB2312" w:cs="Times New Roman"/>
          <w:color w:val="0C0C0C"/>
          <w:sz w:val="32"/>
          <w:szCs w:val="32"/>
        </w:rPr>
        <w:t>.1</w:t>
      </w:r>
      <w:r>
        <w:rPr>
          <w:rFonts w:hint="eastAsia" w:eastAsia="仿宋_GB2312"/>
          <w:sz w:val="32"/>
          <w:szCs w:val="32"/>
        </w:rPr>
        <w:t>首段明确货架保存条件和有效</w:t>
      </w:r>
      <w:r>
        <w:rPr>
          <w:rFonts w:hint="default" w:ascii="Times New Roman" w:hAnsi="Times New Roman" w:eastAsia="仿宋_GB2312" w:cs="Times New Roman"/>
          <w:sz w:val="32"/>
          <w:szCs w:val="32"/>
        </w:rPr>
        <w:t>期，如2~8℃保存</w:t>
      </w:r>
      <w:r>
        <w:rPr>
          <w:rFonts w:hint="eastAsia" w:eastAsia="仿宋_GB2312"/>
          <w:sz w:val="32"/>
          <w:szCs w:val="32"/>
        </w:rPr>
        <w:t>，有效</w:t>
      </w:r>
      <w:r>
        <w:rPr>
          <w:rFonts w:hint="default" w:ascii="Times New Roman" w:hAnsi="Times New Roman" w:eastAsia="仿宋_GB2312" w:cs="Times New Roman"/>
          <w:sz w:val="32"/>
          <w:szCs w:val="32"/>
        </w:rPr>
        <w:t>期12个月。同时明确特殊保存条件，如禁止冷冻、光线和湿度要求等。</w:t>
      </w:r>
      <w:r>
        <w:rPr>
          <w:rFonts w:hint="default" w:ascii="Times New Roman" w:hAnsi="Times New Roman" w:eastAsia="仿宋_GB2312" w:cs="Times New Roman"/>
          <w:color w:val="0C0C0C"/>
          <w:sz w:val="32"/>
          <w:szCs w:val="32"/>
        </w:rPr>
        <w:t>如注册单元含校准品或质控品且其形态为干粉（包含试剂为冻干粉状态），则应对复溶后的储存条件、稳定性做详细介绍。</w:t>
      </w:r>
    </w:p>
    <w:p>
      <w:pPr>
        <w:spacing w:line="520" w:lineRule="exact"/>
        <w:ind w:firstLine="640" w:firstLineChars="200"/>
        <w:rPr>
          <w:rFonts w:eastAsia="仿宋_GB2312"/>
          <w:sz w:val="32"/>
          <w:szCs w:val="32"/>
        </w:rPr>
      </w:pPr>
      <w:r>
        <w:rPr>
          <w:rFonts w:hint="default" w:ascii="Times New Roman" w:hAnsi="Times New Roman" w:eastAsia="仿宋_GB2312" w:cs="Times New Roman"/>
          <w:sz w:val="32"/>
          <w:szCs w:val="32"/>
        </w:rPr>
        <w:t>其他段落描述</w:t>
      </w:r>
      <w:r>
        <w:rPr>
          <w:rFonts w:hint="eastAsia" w:eastAsia="仿宋_GB2312"/>
          <w:sz w:val="32"/>
          <w:szCs w:val="32"/>
        </w:rPr>
        <w:t>以下内容：</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5</w:t>
      </w:r>
      <w:r>
        <w:rPr>
          <w:rFonts w:hint="default" w:ascii="Times New Roman" w:hAnsi="Times New Roman" w:eastAsia="仿宋_GB2312" w:cs="Times New Roman"/>
          <w:color w:val="0C0C0C"/>
          <w:sz w:val="32"/>
          <w:szCs w:val="32"/>
        </w:rPr>
        <w:t>.2如各组分的保存条件不同时，应分别描述。</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5</w:t>
      </w:r>
      <w:r>
        <w:rPr>
          <w:rFonts w:hint="default" w:ascii="Times New Roman" w:hAnsi="Times New Roman" w:eastAsia="仿宋_GB2312" w:cs="Times New Roman"/>
          <w:color w:val="0C0C0C"/>
          <w:sz w:val="32"/>
          <w:szCs w:val="32"/>
        </w:rPr>
        <w:t>.3如各组分的有效期不同，则试剂盒的有效期为最短保存时间。</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.4</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0C0C0C"/>
          <w:sz w:val="32"/>
          <w:szCs w:val="32"/>
        </w:rPr>
        <w:t>注明生产日期、使用期限/失效日期/有效期至见标签。</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注：保存条件不应有模糊表述，如“室温”，应明确</w:t>
      </w:r>
      <w:r>
        <w:rPr>
          <w:rFonts w:hint="eastAsia" w:ascii="Times New Roman" w:hAnsi="Times New Roman" w:eastAsia="仿宋_GB2312" w:cs="Times New Roman"/>
          <w:color w:val="0C0C0C"/>
          <w:sz w:val="32"/>
          <w:szCs w:val="32"/>
          <w:lang w:val="en-US" w:eastAsia="zh-CN"/>
        </w:rPr>
        <w:t>储</w:t>
      </w:r>
      <w:r>
        <w:rPr>
          <w:rFonts w:hint="default" w:ascii="Times New Roman" w:hAnsi="Times New Roman" w:eastAsia="仿宋_GB2312" w:cs="Times New Roman"/>
          <w:color w:val="0C0C0C"/>
          <w:sz w:val="32"/>
          <w:szCs w:val="32"/>
        </w:rPr>
        <w:t>存温度。</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6</w:t>
      </w:r>
      <w:r>
        <w:rPr>
          <w:rFonts w:hint="default" w:ascii="Times New Roman" w:hAnsi="Times New Roman" w:eastAsia="仿宋_GB2312" w:cs="Times New Roman"/>
          <w:color w:val="0C0C0C"/>
          <w:sz w:val="32"/>
          <w:szCs w:val="32"/>
        </w:rPr>
        <w:t>【适用仪器】</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简述对适用仪器的具体要求，如仪器</w:t>
      </w:r>
      <w:r>
        <w:rPr>
          <w:rFonts w:hint="eastAsia" w:ascii="Times New Roman" w:hAnsi="Times New Roman" w:eastAsia="仿宋_GB2312" w:cs="Times New Roman"/>
          <w:color w:val="0C0C0C"/>
          <w:sz w:val="32"/>
          <w:szCs w:val="32"/>
          <w:lang w:val="en-US" w:eastAsia="zh-CN"/>
        </w:rPr>
        <w:t>厂家、</w:t>
      </w:r>
      <w:r>
        <w:rPr>
          <w:rFonts w:hint="default" w:ascii="Times New Roman" w:hAnsi="Times New Roman" w:eastAsia="仿宋_GB2312" w:cs="Times New Roman"/>
          <w:color w:val="0C0C0C"/>
          <w:sz w:val="32"/>
          <w:szCs w:val="32"/>
        </w:rPr>
        <w:t>名称及型号等。如不同规格适用不同机型也应说明，且与分析性能评估资料一致。</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7</w:t>
      </w:r>
      <w:r>
        <w:rPr>
          <w:rFonts w:hint="default" w:ascii="Times New Roman" w:hAnsi="Times New Roman" w:eastAsia="仿宋_GB2312" w:cs="Times New Roman"/>
          <w:color w:val="0C0C0C"/>
          <w:sz w:val="32"/>
          <w:szCs w:val="32"/>
        </w:rPr>
        <w:t>【样本要求】</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重点明确以下内容：</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7</w:t>
      </w:r>
      <w:r>
        <w:rPr>
          <w:rFonts w:hint="default" w:ascii="Times New Roman" w:hAnsi="Times New Roman" w:eastAsia="仿宋_GB2312" w:cs="Times New Roman"/>
          <w:color w:val="0C0C0C"/>
          <w:sz w:val="32"/>
          <w:szCs w:val="32"/>
        </w:rPr>
        <w:t>.1样本采集：说明采集方法及样本类型，如有血浆样本，应注明对抗凝剂的要求。</w:t>
      </w:r>
    </w:p>
    <w:p>
      <w:pPr>
        <w:snapToGrid w:val="0"/>
        <w:spacing w:line="520" w:lineRule="exact"/>
        <w:ind w:firstLine="640" w:firstLineChars="200"/>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7</w:t>
      </w:r>
      <w:r>
        <w:rPr>
          <w:rFonts w:hint="default" w:ascii="Times New Roman" w:hAnsi="Times New Roman" w:eastAsia="仿宋_GB2312" w:cs="Times New Roman"/>
          <w:color w:val="0C0C0C"/>
          <w:sz w:val="32"/>
          <w:szCs w:val="32"/>
        </w:rPr>
        <w:t>.2样本处理及保存：样本处理方法、保存条件及期限、运输条件（如适用）等。冷藏/冷冻样本检测前是否须恢复室温，如需冻存，应明确冻存条件和冻融次数。对储存样本的添加剂要求等，应与样本稳定性的研究一致。</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 xml:space="preserve"> 【检验方法】</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详细说明试验操作的各个步骤，包括：</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.1样本的处理。详细描述样本的处理方式和步骤，需要稀释的样本应明确稀释液种类及稀释比例。若处理后样本无法即刻进行检测，还应明确处理后样本的保存条件和时间。</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.2试剂配制。各试剂组分的稀释、混合及其他必要的程序。</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.3反应步骤、反应体系和参数设置。详细描述反应步骤和各反应步骤所需试验条件，如pH值、时间、温度、波长等。明确样本和检测过程中各组分的用量体积。</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.4明确样本检测的操作步骤。</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.5校准程序。详细描述校准品的准备和使用、校准曲线的绘制过程，明确校准周期。</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.6质量控制程序。详细描述质控品的使用、质量控制方法。对质控结果的必要解释以及推荐的质控周期等。</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8</w:t>
      </w:r>
      <w:r>
        <w:rPr>
          <w:rFonts w:hint="default" w:ascii="Times New Roman" w:hAnsi="Times New Roman" w:eastAsia="仿宋_GB2312" w:cs="Times New Roman"/>
          <w:color w:val="0C0C0C"/>
          <w:sz w:val="32"/>
          <w:szCs w:val="32"/>
        </w:rPr>
        <w:t>.7试验结果的计算或读取。包括对每个系数及对每个计算步骤的解释。</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9</w:t>
      </w:r>
      <w:r>
        <w:rPr>
          <w:rFonts w:hint="default" w:ascii="Times New Roman" w:hAnsi="Times New Roman" w:eastAsia="仿宋_GB2312" w:cs="Times New Roman"/>
          <w:color w:val="0C0C0C"/>
          <w:sz w:val="32"/>
          <w:szCs w:val="32"/>
        </w:rPr>
        <w:t>. 【参考区间】</w:t>
      </w:r>
    </w:p>
    <w:p>
      <w:pPr>
        <w:snapToGrid w:val="0"/>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C0C0C"/>
          <w:sz w:val="32"/>
          <w:szCs w:val="32"/>
        </w:rPr>
        <w:t>应注明参考区间，并简要说明建立或验证参考区间的基本信息，包括：样本量、人群特征</w:t>
      </w:r>
      <w:r>
        <w:rPr>
          <w:rFonts w:hint="eastAsia"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如性别、年龄、种族等</w:t>
      </w:r>
      <w:r>
        <w:rPr>
          <w:rFonts w:hint="eastAsia"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和采用的统计学方法。</w:t>
      </w:r>
      <w:r>
        <w:rPr>
          <w:rFonts w:hint="default" w:ascii="Times New Roman" w:hAnsi="Times New Roman" w:eastAsia="仿宋_GB2312" w:cs="Times New Roman"/>
          <w:color w:val="auto"/>
          <w:sz w:val="32"/>
          <w:szCs w:val="32"/>
        </w:rPr>
        <w:t>若针对不同样本类型或人群制定了各自的参考区间，应分别阐述，并与参考区间研究资料一致。</w:t>
      </w:r>
    </w:p>
    <w:p>
      <w:pPr>
        <w:snapToGrid w:val="0"/>
        <w:spacing w:line="520" w:lineRule="exact"/>
        <w:ind w:firstLine="640" w:firstLineChars="200"/>
        <w:rPr>
          <w:rFonts w:hint="default" w:ascii="Times New Roman" w:hAnsi="Times New Roman" w:eastAsia="仿宋_GB2312" w:cs="Times New Roman"/>
          <w:color w:val="0C0C0C"/>
          <w:sz w:val="32"/>
          <w:szCs w:val="32"/>
          <w:lang w:val="en-US" w:eastAsia="zh-CN"/>
        </w:rPr>
      </w:pPr>
      <w:r>
        <w:rPr>
          <w:rFonts w:hint="eastAsia" w:ascii="Times New Roman" w:hAnsi="Times New Roman" w:eastAsia="仿宋_GB2312" w:cs="Times New Roman"/>
          <w:color w:val="auto"/>
          <w:sz w:val="32"/>
          <w:szCs w:val="32"/>
          <w:lang w:val="en-US" w:eastAsia="zh-CN"/>
        </w:rPr>
        <w:t>纳入的表观健康参考个体应排除可能导致甲状腺球蛋白含量增加或减少的人群（如3个月内服用影响甲状腺球蛋白药物的人群等）。</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建议注明</w:t>
      </w:r>
      <w:r>
        <w:rPr>
          <w:rFonts w:hint="eastAsia"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由于地理、人种、性别和年龄等差异，建议各实验室建立自己的参考区间</w:t>
      </w:r>
      <w:r>
        <w:rPr>
          <w:rFonts w:hint="eastAsia"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10</w:t>
      </w:r>
      <w:r>
        <w:rPr>
          <w:rFonts w:hint="default" w:ascii="Times New Roman" w:hAnsi="Times New Roman" w:eastAsia="仿宋_GB2312" w:cs="Times New Roman"/>
          <w:color w:val="0C0C0C"/>
          <w:sz w:val="32"/>
          <w:szCs w:val="32"/>
        </w:rPr>
        <w:t>【检验结果的解释】</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10</w:t>
      </w:r>
      <w:r>
        <w:rPr>
          <w:rFonts w:hint="default" w:ascii="Times New Roman" w:hAnsi="Times New Roman" w:eastAsia="仿宋_GB2312" w:cs="Times New Roman"/>
          <w:color w:val="0C0C0C"/>
          <w:sz w:val="32"/>
          <w:szCs w:val="32"/>
        </w:rPr>
        <w:t>.1依据参考区间对检测结果进行解释说明，必要时可采用图示的方法进行说明。</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10</w:t>
      </w:r>
      <w:r>
        <w:rPr>
          <w:rFonts w:hint="default" w:ascii="Times New Roman" w:hAnsi="Times New Roman" w:eastAsia="仿宋_GB2312" w:cs="Times New Roman"/>
          <w:color w:val="0C0C0C"/>
          <w:sz w:val="32"/>
          <w:szCs w:val="32"/>
        </w:rPr>
        <w:t>.2说明检测结果仅供临床参考，对患者的临床诊治应结合其症状/体征、病史、其他实验室检查等情况综合考虑。</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10</w:t>
      </w:r>
      <w:r>
        <w:rPr>
          <w:rFonts w:hint="default" w:ascii="Times New Roman" w:hAnsi="Times New Roman" w:eastAsia="仿宋_GB2312" w:cs="Times New Roman"/>
          <w:color w:val="0C0C0C"/>
          <w:sz w:val="32"/>
          <w:szCs w:val="32"/>
        </w:rPr>
        <w:t>.3说明在何种情况下需要进行复测或确认试验。</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w:t>
      </w:r>
      <w:r>
        <w:rPr>
          <w:rFonts w:hint="eastAsia" w:ascii="Times New Roman" w:hAnsi="Times New Roman" w:eastAsia="仿宋_GB2312" w:cs="Times New Roman"/>
          <w:color w:val="0C0C0C"/>
          <w:sz w:val="32"/>
          <w:szCs w:val="32"/>
          <w:lang w:val="en-US" w:eastAsia="zh-CN"/>
        </w:rPr>
        <w:t>10</w:t>
      </w:r>
      <w:r>
        <w:rPr>
          <w:rFonts w:hint="default" w:ascii="Times New Roman" w:hAnsi="Times New Roman" w:eastAsia="仿宋_GB2312" w:cs="Times New Roman"/>
          <w:color w:val="0C0C0C"/>
          <w:sz w:val="32"/>
          <w:szCs w:val="32"/>
        </w:rPr>
        <w:t>.4明确当检测结果超过线性区间时是否适用稀释后再检测。如不适用，应说明。如适用，根据相应的研究结果，说明适用的稀释液及最大稀释倍数信息，应与分析性能评估资料一致。</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1</w:t>
      </w:r>
      <w:r>
        <w:rPr>
          <w:rFonts w:hint="default" w:ascii="Times New Roman" w:hAnsi="Times New Roman" w:eastAsia="仿宋_GB2312" w:cs="Times New Roman"/>
          <w:color w:val="0C0C0C"/>
          <w:sz w:val="32"/>
          <w:szCs w:val="32"/>
        </w:rPr>
        <w:t>【检验方法的局限性】</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综合产品的预期用途、临床背景、检测方法等信息，对可能出现的局限性进行相关说明，申请人选择适用的条款在产品说明书中予以阐述。</w:t>
      </w:r>
      <w:r>
        <w:rPr>
          <w:rFonts w:hint="eastAsia" w:ascii="Times New Roman" w:hAnsi="Times New Roman" w:eastAsia="仿宋_GB2312" w:cs="Times New Roman"/>
          <w:color w:val="0C0C0C"/>
          <w:sz w:val="32"/>
          <w:szCs w:val="32"/>
          <w:lang w:val="en-US" w:eastAsia="zh-CN"/>
        </w:rPr>
        <w:t>例如：</w:t>
      </w:r>
      <w:r>
        <w:rPr>
          <w:rFonts w:hint="eastAsia" w:ascii="Times New Roman" w:hAnsi="Times New Roman" w:eastAsia="仿宋_GB2312" w:cs="Times New Roman"/>
          <w:sz w:val="32"/>
          <w:szCs w:val="32"/>
          <w:highlight w:val="none"/>
          <w:lang w:val="en-US" w:eastAsia="zh-CN"/>
        </w:rPr>
        <w:t>体内</w:t>
      </w:r>
      <w:r>
        <w:rPr>
          <w:rFonts w:hint="default" w:ascii="Times New Roman" w:hAnsi="Times New Roman" w:eastAsia="仿宋_GB2312" w:cs="Times New Roman"/>
          <w:sz w:val="32"/>
          <w:szCs w:val="32"/>
          <w:highlight w:val="none"/>
        </w:rPr>
        <w:t>甲状腺球蛋白抗体（TgAb）</w:t>
      </w:r>
      <w:r>
        <w:rPr>
          <w:rFonts w:hint="eastAsia" w:ascii="Times New Roman" w:hAnsi="Times New Roman" w:eastAsia="仿宋_GB2312" w:cs="Times New Roman"/>
          <w:sz w:val="32"/>
          <w:szCs w:val="32"/>
          <w:highlight w:val="none"/>
          <w:lang w:val="en-US" w:eastAsia="zh-CN"/>
        </w:rPr>
        <w:t>的存在可能会导致检测结果假性降低，产生内源性干扰。</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1</w:t>
      </w:r>
      <w:r>
        <w:rPr>
          <w:rFonts w:hint="default" w:ascii="Times New Roman" w:hAnsi="Times New Roman" w:eastAsia="仿宋_GB2312" w:cs="Times New Roman"/>
          <w:color w:val="0C0C0C"/>
          <w:sz w:val="32"/>
          <w:szCs w:val="32"/>
        </w:rPr>
        <w:t>.1本产品检测结果仅供临床参考，不应作为临床诊治的唯一依据，应结合患者性别、年龄、病史及其他实验室指标等信息综合考虑。当检验结果出现与临床不符甚至相悖的情况，应分析查找原因并重新确认等。</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1</w:t>
      </w:r>
      <w:r>
        <w:rPr>
          <w:rFonts w:hint="default" w:ascii="Times New Roman" w:hAnsi="Times New Roman" w:eastAsia="仿宋_GB2312" w:cs="Times New Roman"/>
          <w:color w:val="0C0C0C"/>
          <w:sz w:val="32"/>
          <w:szCs w:val="32"/>
        </w:rPr>
        <w:t>.2其他可能存在的问题。</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2</w:t>
      </w:r>
      <w:r>
        <w:rPr>
          <w:rFonts w:hint="default" w:ascii="Times New Roman" w:hAnsi="Times New Roman" w:eastAsia="仿宋_GB2312" w:cs="Times New Roman"/>
          <w:color w:val="0C0C0C"/>
          <w:sz w:val="32"/>
          <w:szCs w:val="32"/>
        </w:rPr>
        <w:t>. 【产品性能指标】</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此项内容为分析性能研究资料和临床评价资料的总结。</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2</w:t>
      </w:r>
      <w:r>
        <w:rPr>
          <w:rFonts w:hint="default" w:ascii="Times New Roman" w:hAnsi="Times New Roman" w:eastAsia="仿宋_GB2312" w:cs="Times New Roman"/>
          <w:color w:val="0C0C0C"/>
          <w:sz w:val="32"/>
          <w:szCs w:val="32"/>
        </w:rPr>
        <w:t>.1概括描述准确度/正确度、精密度、空白限、检出限、定量限、线性区间及测量区间、分析特异性、高剂量钩状效应、校准品/质控品性能</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如适用</w:t>
      </w:r>
      <w:r>
        <w:rPr>
          <w:rFonts w:hint="default" w:ascii="Times New Roman" w:hAnsi="Times New Roman" w:eastAsia="仿宋_GB2312" w:cs="Times New Roman"/>
          <w:color w:val="0C0C0C"/>
          <w:sz w:val="32"/>
          <w:szCs w:val="32"/>
          <w:lang w:eastAsia="zh-CN"/>
        </w:rPr>
        <w:t>）</w:t>
      </w:r>
      <w:r>
        <w:rPr>
          <w:rFonts w:hint="default" w:ascii="Times New Roman" w:hAnsi="Times New Roman" w:eastAsia="仿宋_GB2312" w:cs="Times New Roman"/>
          <w:color w:val="0C0C0C"/>
          <w:sz w:val="32"/>
          <w:szCs w:val="32"/>
        </w:rPr>
        <w:t>等的研究方法和结果。</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2</w:t>
      </w:r>
      <w:r>
        <w:rPr>
          <w:rFonts w:hint="default" w:ascii="Times New Roman" w:hAnsi="Times New Roman" w:eastAsia="仿宋_GB2312" w:cs="Times New Roman"/>
          <w:color w:val="0C0C0C"/>
          <w:sz w:val="32"/>
          <w:szCs w:val="32"/>
        </w:rPr>
        <w:t>.2根据产品的临床评价情况，概括描述免于临床试验的临床评价或临床试验的方法和结果。</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3</w:t>
      </w:r>
      <w:r>
        <w:rPr>
          <w:rFonts w:hint="default" w:ascii="Times New Roman" w:hAnsi="Times New Roman" w:eastAsia="仿宋_GB2312" w:cs="Times New Roman"/>
          <w:color w:val="0C0C0C"/>
          <w:sz w:val="32"/>
          <w:szCs w:val="32"/>
        </w:rPr>
        <w:t>. 【注意事项】</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应至少包括以下内容：</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3</w:t>
      </w:r>
      <w:r>
        <w:rPr>
          <w:rFonts w:hint="default" w:ascii="Times New Roman" w:hAnsi="Times New Roman" w:eastAsia="仿宋_GB2312" w:cs="Times New Roman"/>
          <w:color w:val="0C0C0C"/>
          <w:sz w:val="32"/>
          <w:szCs w:val="32"/>
        </w:rPr>
        <w:t>.1产品仅用于体外诊断。检测结果仅供临床参考，对患者的临床诊治应结合其症状/体征、病史、其他实验室检查及治疗反应等情况综合考虑。</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3</w:t>
      </w:r>
      <w:r>
        <w:rPr>
          <w:rFonts w:hint="default" w:ascii="Times New Roman" w:hAnsi="Times New Roman" w:eastAsia="仿宋_GB2312" w:cs="Times New Roman"/>
          <w:color w:val="0C0C0C"/>
          <w:sz w:val="32"/>
          <w:szCs w:val="32"/>
        </w:rPr>
        <w:t>.2由于方法学或抗体特异性等原因，使用不同生产商的试剂对同一份样本进行检测可能会得到不同的测试结果，因此，用不同试剂检测所得结果不应直接相互比较，以免造成错误的医学解释，建议实验室在发给临床医生的检测报告中注明所用试剂特征。</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3</w:t>
      </w:r>
      <w:r>
        <w:rPr>
          <w:rFonts w:hint="default" w:ascii="Times New Roman" w:hAnsi="Times New Roman" w:eastAsia="仿宋_GB2312" w:cs="Times New Roman"/>
          <w:color w:val="0C0C0C"/>
          <w:sz w:val="32"/>
          <w:szCs w:val="32"/>
        </w:rPr>
        <w:t>.3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3</w:t>
      </w:r>
      <w:r>
        <w:rPr>
          <w:rFonts w:hint="default" w:ascii="Times New Roman" w:hAnsi="Times New Roman" w:eastAsia="仿宋_GB2312" w:cs="Times New Roman"/>
          <w:color w:val="0C0C0C"/>
          <w:sz w:val="32"/>
          <w:szCs w:val="32"/>
        </w:rPr>
        <w:t>.4试剂中含有的化学成分如接触人体后会产生不良的影响，应明确给予提示。</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3</w:t>
      </w:r>
      <w:r>
        <w:rPr>
          <w:rFonts w:hint="default" w:ascii="Times New Roman" w:hAnsi="Times New Roman" w:eastAsia="仿宋_GB2312" w:cs="Times New Roman"/>
          <w:color w:val="0C0C0C"/>
          <w:sz w:val="32"/>
          <w:szCs w:val="32"/>
        </w:rPr>
        <w:t>.5其他有关的注意事项。</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4</w:t>
      </w:r>
      <w:r>
        <w:rPr>
          <w:rFonts w:hint="default" w:ascii="Times New Roman" w:hAnsi="Times New Roman" w:eastAsia="仿宋_GB2312" w:cs="Times New Roman"/>
          <w:color w:val="0C0C0C"/>
          <w:sz w:val="32"/>
          <w:szCs w:val="32"/>
        </w:rPr>
        <w:t>【参考文献】</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列明引用参考文献，其书写应清楚、易查询且格式规范统一。</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1.1</w:t>
      </w:r>
      <w:r>
        <w:rPr>
          <w:rFonts w:hint="eastAsia" w:ascii="Times New Roman" w:hAnsi="Times New Roman" w:eastAsia="仿宋_GB2312" w:cs="Times New Roman"/>
          <w:color w:val="0C0C0C"/>
          <w:sz w:val="32"/>
          <w:szCs w:val="32"/>
          <w:lang w:val="en-US" w:eastAsia="zh-CN"/>
        </w:rPr>
        <w:t>5</w:t>
      </w:r>
      <w:r>
        <w:rPr>
          <w:rFonts w:hint="default" w:ascii="Times New Roman" w:hAnsi="Times New Roman" w:eastAsia="仿宋_GB2312" w:cs="Times New Roman"/>
          <w:color w:val="0C0C0C"/>
          <w:sz w:val="32"/>
          <w:szCs w:val="32"/>
        </w:rPr>
        <w:t>【基本信息】</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符合《体外诊断试剂说明书编写指导原则》对基本信息的要求。</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2.标签样稿</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应符合《医疗器械说明书和标签管理规定》的要求。</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产品外包装上的标签必须包括产品通用名称、规格、注册人名称、生产地址、产品批号、注意事项、储存条件及有效期等。</w:t>
      </w:r>
    </w:p>
    <w:p>
      <w:pPr>
        <w:snapToGrid w:val="0"/>
        <w:spacing w:line="520" w:lineRule="exact"/>
        <w:ind w:firstLine="640" w:firstLineChars="200"/>
        <w:rPr>
          <w:rFonts w:hint="default" w:ascii="Times New Roman" w:hAnsi="Times New Roman" w:eastAsia="仿宋_GB2312" w:cs="Times New Roman"/>
          <w:color w:val="0C0C0C"/>
          <w:sz w:val="32"/>
          <w:szCs w:val="32"/>
        </w:rPr>
      </w:pPr>
      <w:r>
        <w:rPr>
          <w:rFonts w:hint="default" w:ascii="Times New Roman" w:hAnsi="Times New Roman" w:eastAsia="仿宋_GB2312" w:cs="Times New Roman"/>
          <w:color w:val="0C0C0C"/>
          <w:sz w:val="32"/>
          <w:szCs w:val="32"/>
        </w:rPr>
        <w:t>进口产品应当提交境外政府主管部门批准或者认可的标签及其中文译本，并依据上述要求提交中文标签样稿。</w:t>
      </w:r>
    </w:p>
    <w:p>
      <w:pPr>
        <w:pStyle w:val="4"/>
        <w:spacing w:before="0" w:after="0" w:line="520" w:lineRule="exact"/>
        <w:ind w:left="420" w:leftChars="200"/>
        <w:rPr>
          <w:rFonts w:hint="default" w:ascii="Times New Roman" w:hAnsi="Times New Roman" w:eastAsia="楷体_GB2312" w:cs="Times New Roman"/>
          <w:b w:val="0"/>
          <w:bCs w:val="0"/>
        </w:rPr>
      </w:pPr>
      <w:r>
        <w:rPr>
          <w:rFonts w:hint="default" w:ascii="Times New Roman" w:hAnsi="Times New Roman" w:eastAsia="楷体_GB2312" w:cs="Times New Roman"/>
          <w:b w:val="0"/>
          <w:bCs w:val="0"/>
        </w:rPr>
        <w:t>（六）质量管理体系文件</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质量管理体系文件主要包括综述、章节目录、生产制造信息、质量管理体系程序、管理职责程序、资源管理程序、产品实现程序、质量管理体系的测量、分析和改进程序、其他质量体系程序信息、质量管理体系核查信息等内容，应符合《体外诊断试剂注册与备案管理办法》和《体外诊断试剂注册申报资料要求和批准证明文件格式》的相关要求。</w:t>
      </w:r>
    </w:p>
    <w:p>
      <w:pPr>
        <w:pStyle w:val="3"/>
        <w:spacing w:before="0" w:after="0" w:line="520" w:lineRule="exact"/>
        <w:ind w:firstLine="640" w:firstLineChars="200"/>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三 、参考文献</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[1]中华人民共和国国务院.医疗器械监督管理条例:中华人民共和国国务院令第739号[Z].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[2]国家市场监督管理</w:t>
      </w:r>
      <w:r>
        <w:rPr>
          <w:rFonts w:hint="eastAsia" w:ascii="Times New Roman" w:hAnsi="Times New Roman" w:eastAsia="仿宋_GB2312" w:cs="Times New Roman"/>
          <w:sz w:val="32"/>
          <w:szCs w:val="32"/>
          <w:lang w:val="en-US" w:eastAsia="zh-CN"/>
        </w:rPr>
        <w:t>总</w:t>
      </w:r>
      <w:r>
        <w:rPr>
          <w:rFonts w:hint="default" w:ascii="Times New Roman" w:hAnsi="Times New Roman" w:eastAsia="仿宋_GB2312" w:cs="Times New Roman"/>
          <w:sz w:val="32"/>
          <w:szCs w:val="32"/>
          <w:lang w:val="en"/>
        </w:rPr>
        <w:t>局.体外诊断试剂注册与备案管理办法：国家市场监督管理总局令第48号[Z].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[3]国家药品监督管理局.体外诊断试剂分类目录：国家药监局公告2024年第58号[Z].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[4]国家药品监督管理局.体外诊断试剂分类规则：国家药监局公告2021年第129号[Z].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[5]国家药品监督管理局.体外诊断试剂安全和性能基本原则清单：国家药监局公告2021年第122号[Z].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[6]国家药品监督管理局.医疗器械产品技术要求编写指导原则</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国家药监局公告2022年第8号[Z].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
        </w:rPr>
        <w:t>]国家药品监督管理局.免于进行临床试验体外诊断试剂目录(2025年)</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国家药监局通告2025年第23号[Z].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
        </w:rPr>
        <w:t>]国家药品监督管理局.免于临床试验的体外诊断试剂临床评价技术指导原则</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国家药监局通告2021年第74号[Z].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
        </w:rPr>
        <w:t>]国家药品监督管理局.医疗器械注册自检管理规定：国家药监局公告2021年第126号[Z].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
        </w:rPr>
        <w:t>]国家药品监督管理局医疗器械技术审评中心.定量检测体外诊断试剂分析性能评估注册审查指导原则：国家药监局器审中心通告2022年第32号[Z].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
        </w:rPr>
        <w:t>]国家药品监督管理局医疗器械技术审评中心.体外诊断试剂参考区间确定注册审查指导原则：国家药监局器审中心通告2022年第36号[Z].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
        </w:rPr>
        <w:t>]国家药品监督管理局医疗器械技术审评中心.体外诊断试剂说明书编写指导原则（2023年修订版）</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国家药监局器审中心通告2024年第1号[Z].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
        </w:rPr>
        <w:t>]国家药品监督管理局医疗器械技术审评中心.质控品注册审查指导原则</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
        </w:rPr>
        <w:t>质控品赋值研究：国家药监局器审中心通告2022年第36号[Z].</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
        </w:rPr>
        <w:t>]GB/T 42062</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医疗器械风险管理对医疗器械的应用[S].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
        </w:rPr>
        <w:t>]YY/T 1817,《甲状腺球蛋白测定试剂盒（化学发光免疫分析法）》</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
        </w:rPr>
        <w:t>]GB/T 21415，</w:t>
      </w:r>
      <w:r>
        <w:rPr>
          <w:rFonts w:hint="eastAsia" w:ascii="Times New Roman" w:hAnsi="Times New Roman" w:eastAsia="仿宋_GB2312" w:cs="Times New Roman"/>
          <w:sz w:val="32"/>
          <w:szCs w:val="32"/>
          <w:lang w:val="en-US" w:eastAsia="zh-CN"/>
        </w:rPr>
        <w:t>体外诊断医疗器械 建立校准品、正确度控制物质和人体样品赋值的计量溯源性要求</w:t>
      </w:r>
      <w:r>
        <w:rPr>
          <w:rFonts w:hint="default" w:ascii="Times New Roman" w:hAnsi="Times New Roman" w:eastAsia="仿宋_GB2312" w:cs="Times New Roman"/>
          <w:sz w:val="32"/>
          <w:szCs w:val="32"/>
          <w:lang w:val="en"/>
        </w:rPr>
        <w:t>[S].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
        </w:rPr>
        <w:t>]YY/T 1579</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体外诊断医疗器械体外诊断试剂稳定性评价[S].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
        </w:rPr>
        <w:t>]YY/T 0466.1,医疗器械 用于制造商提供信息的符号 第1部分：通用要求[S].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[19]WS/T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
        </w:rPr>
        <w:t>356-2024</w:t>
      </w:r>
      <w:r>
        <w:rPr>
          <w:rFonts w:hint="default" w:ascii="Times New Roman" w:hAnsi="Times New Roman" w:eastAsia="仿宋_GB2312" w:cs="Times New Roman"/>
          <w:sz w:val="32"/>
          <w:szCs w:val="32"/>
          <w:lang w:val="en" w:eastAsia="zh-CN"/>
        </w:rPr>
        <w:t>，</w:t>
      </w:r>
      <w:r>
        <w:rPr>
          <w:rFonts w:hint="default" w:ascii="Times New Roman" w:hAnsi="Times New Roman" w:eastAsia="仿宋_GB2312" w:cs="Times New Roman"/>
          <w:sz w:val="32"/>
          <w:szCs w:val="32"/>
          <w:lang w:val="en"/>
        </w:rPr>
        <w:t>参考物质互换性评估指南[S].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[20]YY/T 1789.1-2021</w:t>
      </w:r>
      <w:r>
        <w:rPr>
          <w:rFonts w:hint="default" w:ascii="Times New Roman" w:hAnsi="Times New Roman" w:eastAsia="仿宋_GB2312" w:cs="Times New Roman"/>
          <w:sz w:val="32"/>
          <w:szCs w:val="32"/>
          <w:lang w:val="en" w:eastAsia="zh-CN"/>
        </w:rPr>
        <w:t>，</w:t>
      </w:r>
      <w:r>
        <w:rPr>
          <w:rFonts w:ascii="Times New Roman" w:hAnsi="Times New Roman" w:eastAsia="仿宋_GB2312" w:cs="Times New Roman"/>
          <w:i w:val="0"/>
          <w:iCs w:val="0"/>
          <w:caps w:val="0"/>
          <w:spacing w:val="0"/>
          <w:sz w:val="32"/>
          <w:szCs w:val="32"/>
          <w:shd w:val="clear"/>
          <w:lang w:val="en"/>
        </w:rPr>
        <w:t>体外诊断检验系统 性能评价方法 第1部分：精密度</w:t>
      </w:r>
      <w:r>
        <w:rPr>
          <w:rFonts w:hint="default" w:ascii="Times New Roman" w:hAnsi="Times New Roman" w:eastAsia="仿宋_GB2312" w:cs="Times New Roman"/>
          <w:sz w:val="32"/>
          <w:szCs w:val="32"/>
          <w:lang w:val="en"/>
        </w:rPr>
        <w:t>[S].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[21]YY/T 1789.2-2021</w:t>
      </w:r>
      <w:r>
        <w:rPr>
          <w:rFonts w:hint="default" w:ascii="Times New Roman" w:hAnsi="Times New Roman" w:eastAsia="仿宋_GB2312" w:cs="Times New Roman"/>
          <w:sz w:val="32"/>
          <w:szCs w:val="32"/>
          <w:lang w:val="en" w:eastAsia="zh-CN"/>
        </w:rPr>
        <w:t>，</w:t>
      </w:r>
      <w:r>
        <w:rPr>
          <w:rFonts w:ascii="Times New Roman" w:hAnsi="Times New Roman" w:eastAsia="仿宋_GB2312" w:cs="Times New Roman"/>
          <w:i w:val="0"/>
          <w:iCs w:val="0"/>
          <w:caps w:val="0"/>
          <w:spacing w:val="0"/>
          <w:sz w:val="32"/>
          <w:szCs w:val="32"/>
          <w:shd w:val="clear"/>
          <w:lang w:val="en"/>
        </w:rPr>
        <w:t>体外诊断检验系统 性能评价方法 第2部分：正确度</w:t>
      </w:r>
      <w:r>
        <w:rPr>
          <w:rFonts w:hint="default" w:ascii="Times New Roman" w:hAnsi="Times New Roman" w:eastAsia="仿宋_GB2312" w:cs="Times New Roman"/>
          <w:sz w:val="32"/>
          <w:szCs w:val="32"/>
          <w:lang w:val="en"/>
        </w:rPr>
        <w:t>[S].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[22]YY/T 1789.3-2022</w:t>
      </w:r>
      <w:r>
        <w:rPr>
          <w:rFonts w:hint="default" w:ascii="Times New Roman" w:hAnsi="Times New Roman" w:eastAsia="仿宋_GB2312" w:cs="Times New Roman"/>
          <w:sz w:val="32"/>
          <w:szCs w:val="32"/>
          <w:lang w:val="en" w:eastAsia="zh-CN"/>
        </w:rPr>
        <w:t>，</w:t>
      </w:r>
      <w:r>
        <w:rPr>
          <w:rFonts w:ascii="Times New Roman" w:hAnsi="Times New Roman" w:eastAsia="仿宋_GB2312" w:cs="Times New Roman"/>
          <w:i w:val="0"/>
          <w:iCs w:val="0"/>
          <w:caps w:val="0"/>
          <w:spacing w:val="0"/>
          <w:sz w:val="32"/>
          <w:szCs w:val="32"/>
          <w:shd w:val="clear"/>
          <w:lang w:val="en"/>
        </w:rPr>
        <w:t>体外诊断检验系统 性能评价方法 第3部分：检出限与定量限</w:t>
      </w:r>
      <w:r>
        <w:rPr>
          <w:rFonts w:hint="default" w:ascii="Times New Roman" w:hAnsi="Times New Roman" w:eastAsia="仿宋_GB2312" w:cs="Times New Roman"/>
          <w:sz w:val="32"/>
          <w:szCs w:val="32"/>
          <w:lang w:val="en"/>
        </w:rPr>
        <w:t>[S].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[23]YY/T 1789.4-2022</w:t>
      </w:r>
      <w:r>
        <w:rPr>
          <w:rFonts w:hint="default" w:ascii="Times New Roman" w:hAnsi="Times New Roman" w:eastAsia="仿宋_GB2312" w:cs="Times New Roman"/>
          <w:sz w:val="32"/>
          <w:szCs w:val="32"/>
          <w:lang w:val="en" w:eastAsia="zh-CN"/>
        </w:rPr>
        <w:t>，</w:t>
      </w:r>
      <w:r>
        <w:rPr>
          <w:rFonts w:ascii="Times New Roman" w:hAnsi="Times New Roman" w:eastAsia="仿宋_GB2312" w:cs="Times New Roman"/>
          <w:i w:val="0"/>
          <w:iCs w:val="0"/>
          <w:caps w:val="0"/>
          <w:spacing w:val="0"/>
          <w:sz w:val="32"/>
          <w:szCs w:val="32"/>
          <w:shd w:val="clear"/>
          <w:lang w:val="en"/>
        </w:rPr>
        <w:t>体外诊断检验系统 性能评价方法 第4部分：线性区间与可报告区间</w:t>
      </w:r>
      <w:r>
        <w:rPr>
          <w:rFonts w:hint="default" w:ascii="Times New Roman" w:hAnsi="Times New Roman" w:eastAsia="仿宋_GB2312" w:cs="Times New Roman"/>
          <w:sz w:val="32"/>
          <w:szCs w:val="32"/>
          <w:lang w:val="en"/>
        </w:rPr>
        <w:t>[S].</w:t>
      </w:r>
    </w:p>
    <w:p>
      <w:pPr>
        <w:pStyle w:val="2"/>
        <w:spacing w:line="520" w:lineRule="exact"/>
        <w:ind w:firstLine="640" w:firstLineChars="200"/>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[24]YY/T 1789.5-2023</w:t>
      </w:r>
      <w:r>
        <w:rPr>
          <w:rFonts w:hint="default" w:ascii="Times New Roman" w:hAnsi="Times New Roman" w:eastAsia="仿宋_GB2312" w:cs="Times New Roman"/>
          <w:sz w:val="32"/>
          <w:szCs w:val="32"/>
          <w:lang w:val="en" w:eastAsia="zh-CN"/>
        </w:rPr>
        <w:t>，</w:t>
      </w:r>
      <w:r>
        <w:rPr>
          <w:rFonts w:ascii="Times New Roman" w:hAnsi="Times New Roman" w:eastAsia="仿宋_GB2312" w:cs="Times New Roman"/>
          <w:i w:val="0"/>
          <w:iCs w:val="0"/>
          <w:caps w:val="0"/>
          <w:spacing w:val="0"/>
          <w:sz w:val="32"/>
          <w:szCs w:val="32"/>
          <w:shd w:val="clear"/>
          <w:lang w:val="en"/>
        </w:rPr>
        <w:t>体外诊断检验系统 性能评价方法 第5部分：分析特异性</w:t>
      </w:r>
      <w:r>
        <w:rPr>
          <w:rFonts w:hint="default" w:ascii="Times New Roman" w:hAnsi="Times New Roman" w:eastAsia="仿宋_GB2312" w:cs="Times New Roman"/>
          <w:sz w:val="32"/>
          <w:szCs w:val="32"/>
          <w:lang w:val="en"/>
        </w:rPr>
        <w:t>[S].</w:t>
      </w:r>
    </w:p>
    <w:p>
      <w:pPr>
        <w:pStyle w:val="2"/>
        <w:spacing w:line="52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
        </w:rPr>
        <w:t>[25]尚红, 王毓三, 申子瑜. 全国临床检验操作规程: 5版[M]. 北京: 人民军医出版社, 2025</w:t>
      </w:r>
    </w:p>
    <w:p>
      <w:pPr>
        <w:rPr>
          <w:rFonts w:hint="default" w:ascii="Times New Roman" w:hAnsi="Times New Roman" w:cs="Times New Roman"/>
        </w:rPr>
      </w:pPr>
    </w:p>
    <w:sectPr>
      <w:footerReference r:id="rId3" w:type="default"/>
      <w:pgSz w:w="11906" w:h="16838"/>
      <w:pgMar w:top="1440" w:right="1800" w:bottom="1440" w:left="1800" w:header="851" w:footer="992" w:gutter="0"/>
      <w:lnNumType w:countBy="1"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Droid Sans Fallback"/>
    <w:panose1 w:val="02010600030101010101"/>
    <w:charset w:val="88"/>
    <w:family w:val="swiss"/>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Droid Sans Fallbac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Calibri Light">
    <w:altName w:val="DejaVu Sans"/>
    <w:panose1 w:val="020F0302020204030204"/>
    <w:charset w:val="00"/>
    <w:family w:val="swiss"/>
    <w:pitch w:val="default"/>
    <w:sig w:usb0="00000000" w:usb1="00000000" w:usb2="00000009" w:usb3="00000000" w:csb0="200001FF" w:csb1="00000000"/>
  </w:font>
  <w:font w:name="Tahoma">
    <w:altName w:val="DejaVu Sans"/>
    <w:panose1 w:val="020B0604030504040204"/>
    <w:charset w:val="00"/>
    <w:family w:val="auto"/>
    <w:pitch w:val="default"/>
    <w:sig w:usb0="00000000" w:usb1="00000000" w:usb2="00000029" w:usb3="00000000" w:csb0="200101FF" w:csb1="20280000"/>
  </w:font>
  <w:font w:name="微软雅黑">
    <w:altName w:val="Droid Sans Fallback"/>
    <w:panose1 w:val="020B0503020204020204"/>
    <w:charset w:val="86"/>
    <w:family w:val="auto"/>
    <w:pitch w:val="default"/>
    <w:sig w:usb0="00000000" w:usb1="00000000" w:usb2="00000016" w:usb3="00000000" w:csb0="0004001F" w:csb1="00000000"/>
  </w:font>
  <w:font w:name="方正小标宋简体">
    <w:altName w:val="华文仿宋"/>
    <w:panose1 w:val="03000509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Droid Sans Fallback"/>
    <w:panose1 w:val="02010609030101010101"/>
    <w:charset w:val="86"/>
    <w:family w:val="modern"/>
    <w:pitch w:val="default"/>
    <w:sig w:usb0="00000000" w:usb1="00000000" w:usb2="00000000" w:usb3="00000000" w:csb0="00040000" w:csb1="00000000"/>
  </w:font>
  <w:font w:name="楷体_GB2312">
    <w:altName w:val="Droid Sans Fallbac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twMAAF9yZWxzLy5yZWxzUEsBAhQAFAAAAAgAh07iQH7m5SD3AAAA4QEAABMAAAAAAAAAAQAgAAAA&#10;sQQAAFtDb250ZW50X1R5cGVzXS54bWxQSwECFAAKAAAAAACHTuJAAAAAAAAAAAAAAAAABgAAAAAA&#10;AAAAABAAAACTAwAAX3JlbHMvUEsBAhQAFAAAAAgAh07iQOGA044yAgAAYQ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6"/>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762F1B"/>
    <w:rsid w:val="0006370A"/>
    <w:rsid w:val="008322BB"/>
    <w:rsid w:val="00906786"/>
    <w:rsid w:val="01E0373D"/>
    <w:rsid w:val="023A4BFB"/>
    <w:rsid w:val="024737BC"/>
    <w:rsid w:val="035241C7"/>
    <w:rsid w:val="041D2A27"/>
    <w:rsid w:val="046E3282"/>
    <w:rsid w:val="049A5E25"/>
    <w:rsid w:val="058C5071"/>
    <w:rsid w:val="05C729E2"/>
    <w:rsid w:val="05ED3F87"/>
    <w:rsid w:val="060C4B01"/>
    <w:rsid w:val="064249C6"/>
    <w:rsid w:val="0708176C"/>
    <w:rsid w:val="072D2F81"/>
    <w:rsid w:val="07576AE2"/>
    <w:rsid w:val="07CE2E09"/>
    <w:rsid w:val="07F25A76"/>
    <w:rsid w:val="08A37A10"/>
    <w:rsid w:val="08E25E9D"/>
    <w:rsid w:val="0C8F1FE8"/>
    <w:rsid w:val="0D7D4536"/>
    <w:rsid w:val="0DDC125D"/>
    <w:rsid w:val="0DFC545B"/>
    <w:rsid w:val="0EC87A33"/>
    <w:rsid w:val="0F2B249C"/>
    <w:rsid w:val="0FBA737B"/>
    <w:rsid w:val="10366B17"/>
    <w:rsid w:val="10480E2B"/>
    <w:rsid w:val="10E36DA6"/>
    <w:rsid w:val="11A6405B"/>
    <w:rsid w:val="11C95F9C"/>
    <w:rsid w:val="11CB3AC2"/>
    <w:rsid w:val="11CC15E8"/>
    <w:rsid w:val="12307E01"/>
    <w:rsid w:val="127A53FE"/>
    <w:rsid w:val="12BE3627"/>
    <w:rsid w:val="139A6975"/>
    <w:rsid w:val="13C20EF5"/>
    <w:rsid w:val="13FA068E"/>
    <w:rsid w:val="15571597"/>
    <w:rsid w:val="16165F18"/>
    <w:rsid w:val="166D15EC"/>
    <w:rsid w:val="16A36DBB"/>
    <w:rsid w:val="16FC5AE8"/>
    <w:rsid w:val="173E2BCB"/>
    <w:rsid w:val="17FA1DF6"/>
    <w:rsid w:val="18371EB1"/>
    <w:rsid w:val="187A7D80"/>
    <w:rsid w:val="18FA2EDF"/>
    <w:rsid w:val="19600F94"/>
    <w:rsid w:val="1A1A55E6"/>
    <w:rsid w:val="1A9119E0"/>
    <w:rsid w:val="1A98650B"/>
    <w:rsid w:val="1ACD7E07"/>
    <w:rsid w:val="1B5E7755"/>
    <w:rsid w:val="1BBD2E67"/>
    <w:rsid w:val="1BC872C4"/>
    <w:rsid w:val="1CF46CED"/>
    <w:rsid w:val="1EB41931"/>
    <w:rsid w:val="1ED61CF8"/>
    <w:rsid w:val="1F9F20EA"/>
    <w:rsid w:val="1FCB42EF"/>
    <w:rsid w:val="1FD955FC"/>
    <w:rsid w:val="1FF14898"/>
    <w:rsid w:val="201A2574"/>
    <w:rsid w:val="21423675"/>
    <w:rsid w:val="218D2B42"/>
    <w:rsid w:val="21E62252"/>
    <w:rsid w:val="21F273B2"/>
    <w:rsid w:val="22121299"/>
    <w:rsid w:val="22715FC0"/>
    <w:rsid w:val="234E6301"/>
    <w:rsid w:val="242E2942"/>
    <w:rsid w:val="250F6119"/>
    <w:rsid w:val="254C2D14"/>
    <w:rsid w:val="25BD32CA"/>
    <w:rsid w:val="25D725DE"/>
    <w:rsid w:val="26F62F37"/>
    <w:rsid w:val="27042C3A"/>
    <w:rsid w:val="27AF651B"/>
    <w:rsid w:val="27C60B5C"/>
    <w:rsid w:val="284C00F1"/>
    <w:rsid w:val="285C326E"/>
    <w:rsid w:val="28FB4835"/>
    <w:rsid w:val="28FC235B"/>
    <w:rsid w:val="290851A4"/>
    <w:rsid w:val="2B7F799F"/>
    <w:rsid w:val="2BDF20AB"/>
    <w:rsid w:val="2C0954BB"/>
    <w:rsid w:val="2C300C99"/>
    <w:rsid w:val="2C302A48"/>
    <w:rsid w:val="2CD535EF"/>
    <w:rsid w:val="2CEE4374"/>
    <w:rsid w:val="2D8D3ECA"/>
    <w:rsid w:val="2E4427DA"/>
    <w:rsid w:val="2F0F2DE8"/>
    <w:rsid w:val="2FD8767E"/>
    <w:rsid w:val="301309E2"/>
    <w:rsid w:val="301B756B"/>
    <w:rsid w:val="30393E95"/>
    <w:rsid w:val="30964A19"/>
    <w:rsid w:val="30B8300C"/>
    <w:rsid w:val="3303652C"/>
    <w:rsid w:val="334358FC"/>
    <w:rsid w:val="34014CC9"/>
    <w:rsid w:val="35904557"/>
    <w:rsid w:val="35F5260C"/>
    <w:rsid w:val="36363350"/>
    <w:rsid w:val="37117919"/>
    <w:rsid w:val="371A4A20"/>
    <w:rsid w:val="386A108F"/>
    <w:rsid w:val="388A1731"/>
    <w:rsid w:val="38A327F3"/>
    <w:rsid w:val="3905700A"/>
    <w:rsid w:val="3A192D6D"/>
    <w:rsid w:val="3AB90F0B"/>
    <w:rsid w:val="3B514788"/>
    <w:rsid w:val="3C272A8D"/>
    <w:rsid w:val="3CA10D21"/>
    <w:rsid w:val="3D11534D"/>
    <w:rsid w:val="3D98044D"/>
    <w:rsid w:val="3E155F41"/>
    <w:rsid w:val="3E7A2248"/>
    <w:rsid w:val="3F182351"/>
    <w:rsid w:val="3F5900B0"/>
    <w:rsid w:val="3F9E5AC2"/>
    <w:rsid w:val="40E85247"/>
    <w:rsid w:val="40F57964"/>
    <w:rsid w:val="412A5860"/>
    <w:rsid w:val="413B5469"/>
    <w:rsid w:val="417D3AFD"/>
    <w:rsid w:val="41943621"/>
    <w:rsid w:val="4198167F"/>
    <w:rsid w:val="41F079A8"/>
    <w:rsid w:val="42350960"/>
    <w:rsid w:val="428E7F40"/>
    <w:rsid w:val="43FB7987"/>
    <w:rsid w:val="446948F1"/>
    <w:rsid w:val="44921D2E"/>
    <w:rsid w:val="44B71A34"/>
    <w:rsid w:val="455C26A8"/>
    <w:rsid w:val="457E3A30"/>
    <w:rsid w:val="46DB35F5"/>
    <w:rsid w:val="47CD5094"/>
    <w:rsid w:val="47D91483"/>
    <w:rsid w:val="485A1120"/>
    <w:rsid w:val="48D16790"/>
    <w:rsid w:val="48EA3B26"/>
    <w:rsid w:val="495F0B5E"/>
    <w:rsid w:val="4A0D3F70"/>
    <w:rsid w:val="4B8D7117"/>
    <w:rsid w:val="4BCB666C"/>
    <w:rsid w:val="4CE511D4"/>
    <w:rsid w:val="4DDA66D5"/>
    <w:rsid w:val="4F8603C8"/>
    <w:rsid w:val="4FC74BC1"/>
    <w:rsid w:val="4FDD1C15"/>
    <w:rsid w:val="4FFF6109"/>
    <w:rsid w:val="502913D8"/>
    <w:rsid w:val="50704645"/>
    <w:rsid w:val="50D03E52"/>
    <w:rsid w:val="51383FC9"/>
    <w:rsid w:val="51A2659D"/>
    <w:rsid w:val="51BF1FF4"/>
    <w:rsid w:val="528E48AC"/>
    <w:rsid w:val="531B76FE"/>
    <w:rsid w:val="53653E80"/>
    <w:rsid w:val="53E36D11"/>
    <w:rsid w:val="54752E3E"/>
    <w:rsid w:val="55286102"/>
    <w:rsid w:val="575925A3"/>
    <w:rsid w:val="57655010"/>
    <w:rsid w:val="58490869"/>
    <w:rsid w:val="597E4543"/>
    <w:rsid w:val="59C7413C"/>
    <w:rsid w:val="59DB1995"/>
    <w:rsid w:val="5A582FE6"/>
    <w:rsid w:val="5B0B1E06"/>
    <w:rsid w:val="5BAB5397"/>
    <w:rsid w:val="5BBA55DA"/>
    <w:rsid w:val="5C4D42F1"/>
    <w:rsid w:val="5C593045"/>
    <w:rsid w:val="5F3D09FC"/>
    <w:rsid w:val="5F57386C"/>
    <w:rsid w:val="5F97010C"/>
    <w:rsid w:val="60266D2E"/>
    <w:rsid w:val="613A3445"/>
    <w:rsid w:val="61A22D98"/>
    <w:rsid w:val="623954AB"/>
    <w:rsid w:val="635F42CD"/>
    <w:rsid w:val="63762F1B"/>
    <w:rsid w:val="6388493C"/>
    <w:rsid w:val="639130C5"/>
    <w:rsid w:val="63D47B81"/>
    <w:rsid w:val="657447EF"/>
    <w:rsid w:val="65B37C6A"/>
    <w:rsid w:val="65BB6B23"/>
    <w:rsid w:val="65E25E59"/>
    <w:rsid w:val="65F8742B"/>
    <w:rsid w:val="662270C4"/>
    <w:rsid w:val="66442670"/>
    <w:rsid w:val="67177D85"/>
    <w:rsid w:val="68541CB5"/>
    <w:rsid w:val="68790CF7"/>
    <w:rsid w:val="68BB130F"/>
    <w:rsid w:val="6AA560DB"/>
    <w:rsid w:val="6B96396E"/>
    <w:rsid w:val="6BD91AAD"/>
    <w:rsid w:val="6BF87B65"/>
    <w:rsid w:val="6D196605"/>
    <w:rsid w:val="6DA93E2C"/>
    <w:rsid w:val="6E7361C9"/>
    <w:rsid w:val="6E8E6BB1"/>
    <w:rsid w:val="6E9A3775"/>
    <w:rsid w:val="6ED8604B"/>
    <w:rsid w:val="6F045092"/>
    <w:rsid w:val="6F282B2F"/>
    <w:rsid w:val="6F405DFC"/>
    <w:rsid w:val="6F63625D"/>
    <w:rsid w:val="713C4FB8"/>
    <w:rsid w:val="7258197D"/>
    <w:rsid w:val="72E262CE"/>
    <w:rsid w:val="73CB43D1"/>
    <w:rsid w:val="76375D4D"/>
    <w:rsid w:val="78A04FA1"/>
    <w:rsid w:val="790740FD"/>
    <w:rsid w:val="79DD09BA"/>
    <w:rsid w:val="7A0B3779"/>
    <w:rsid w:val="7A680BCB"/>
    <w:rsid w:val="7AEE7323"/>
    <w:rsid w:val="7AFE508C"/>
    <w:rsid w:val="7CF404F4"/>
    <w:rsid w:val="7D0F532E"/>
    <w:rsid w:val="7D9341B1"/>
    <w:rsid w:val="7D9A72EE"/>
    <w:rsid w:val="7DB008BF"/>
    <w:rsid w:val="7DBD5588"/>
    <w:rsid w:val="7EE747B5"/>
    <w:rsid w:val="7F46479C"/>
    <w:rsid w:val="ADF73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13609</Words>
  <Characters>14393</Characters>
  <Lines>0</Lines>
  <Paragraphs>0</Paragraphs>
  <TotalTime>7</TotalTime>
  <ScaleCrop>false</ScaleCrop>
  <LinksUpToDate>false</LinksUpToDate>
  <CharactersWithSpaces>14448</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2026-05-29T14:13:00Z</dcterms:created>
  <dc:creator>敬</dc:creator>
  <cp:lastModifiedBy>user</cp:lastModifiedBy>
  <dcterms:modified xsi:type="dcterms:W3CDTF">2026-08-12T09:50:30Z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9C1AF9ABFE3D431991425AF76DB3FA63_13</vt:lpwstr>
  </property>
  <property fmtid="{D5CDD505-2E9C-101B-9397-08002B2CF9AE}" pid="4" name="KSOTemplateDocerSaveRecord">
    <vt:lpwstr>eyJoZGlkIjoiN2E3YTQ0Y2YzNmFiYmZlN2Y0ZTAyMDYwZGFjMDExMjciLCJ1c2VySWQiOiI0MjA2NzY5NDEifQ==</vt:lpwstr>
  </property>
</Properties>
</file>