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C88B0D">
      <w:pPr>
        <w:autoSpaceDE w:val="0"/>
        <w:autoSpaceDN w:val="0"/>
        <w:spacing w:line="52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性激素结合球蛋白测定试剂</w:t>
      </w:r>
    </w:p>
    <w:p w14:paraId="468B5082">
      <w:pPr>
        <w:autoSpaceDE w:val="0"/>
        <w:autoSpaceDN w:val="0"/>
        <w:spacing w:line="52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注册审查指导原则</w:t>
      </w:r>
    </w:p>
    <w:p w14:paraId="699C5C72">
      <w:pPr>
        <w:pStyle w:val="2"/>
        <w:jc w:val="center"/>
        <w:rPr>
          <w:rFonts w:eastAsia="方正小标宋简体"/>
        </w:rPr>
      </w:pPr>
      <w:r>
        <w:rPr>
          <w:rFonts w:hint="eastAsia" w:ascii="Times New Roman" w:hAnsi="Times New Roman" w:eastAsia="方正小标宋简体"/>
          <w:sz w:val="44"/>
          <w:szCs w:val="44"/>
        </w:rPr>
        <w:t>（征求意见稿）</w:t>
      </w:r>
    </w:p>
    <w:p w14:paraId="2E937DB9">
      <w:pPr>
        <w:spacing w:line="520" w:lineRule="exact"/>
        <w:ind w:firstLine="640" w:firstLineChars="200"/>
        <w:rPr>
          <w:rFonts w:ascii="Times New Roman" w:hAnsi="Times New Roman" w:eastAsia="仿宋_GB2312" w:cs="仿宋_GB2312"/>
          <w:sz w:val="32"/>
        </w:rPr>
      </w:pPr>
    </w:p>
    <w:p w14:paraId="6B4AE2CB">
      <w:pPr>
        <w:spacing w:line="520" w:lineRule="exact"/>
        <w:ind w:firstLine="640" w:firstLineChars="200"/>
        <w:rPr>
          <w:rFonts w:ascii="Times New Roman" w:hAnsi="Times New Roman" w:eastAsia="仿宋_GB2312" w:cs="仿宋_GB2312"/>
          <w:sz w:val="32"/>
        </w:rPr>
      </w:pPr>
      <w:r>
        <w:rPr>
          <w:rFonts w:hint="eastAsia" w:ascii="Times New Roman" w:hAnsi="Times New Roman" w:eastAsia="仿宋_GB2312" w:cs="仿宋_GB2312"/>
          <w:sz w:val="32"/>
        </w:rPr>
        <w:t>本指导原则旨在指导注册申请人对性激素结合球蛋白测定试剂注册申报资料的准备及撰写，</w:t>
      </w:r>
      <w:r>
        <w:rPr>
          <w:rFonts w:hint="eastAsia" w:ascii="Times New Roman" w:hAnsi="Times New Roman" w:eastAsia="仿宋_GB2312" w:cs="仿宋_GB2312"/>
          <w:sz w:val="32"/>
          <w:szCs w:val="32"/>
        </w:rPr>
        <w:t>同时也为技术审评部门提供参考。</w:t>
      </w:r>
    </w:p>
    <w:p w14:paraId="32EB759D">
      <w:pPr>
        <w:spacing w:line="520" w:lineRule="exact"/>
        <w:ind w:firstLine="640" w:firstLineChars="200"/>
        <w:rPr>
          <w:rFonts w:ascii="Times New Roman" w:hAnsi="Times New Roman" w:eastAsia="仿宋_GB2312" w:cs="仿宋_GB2312"/>
          <w:sz w:val="32"/>
        </w:rPr>
      </w:pPr>
      <w:r>
        <w:rPr>
          <w:rFonts w:hint="eastAsia" w:ascii="Times New Roman" w:hAnsi="Times New Roman" w:eastAsia="仿宋_GB2312" w:cs="仿宋_GB2312"/>
          <w:sz w:val="32"/>
        </w:rPr>
        <w:t>本指导原则是对</w:t>
      </w:r>
      <w:r>
        <w:rPr>
          <w:rFonts w:hint="eastAsia" w:ascii="Times New Roman" w:hAnsi="Times New Roman" w:eastAsia="仿宋_GB2312" w:cs="仿宋_GB2312"/>
          <w:kern w:val="0"/>
          <w:sz w:val="32"/>
          <w:szCs w:val="32"/>
        </w:rPr>
        <w:t>性激素结合球蛋白测定试剂</w:t>
      </w:r>
      <w:r>
        <w:rPr>
          <w:rFonts w:hint="eastAsia" w:ascii="Times New Roman" w:hAnsi="Times New Roman" w:eastAsia="仿宋_GB2312" w:cs="仿宋_GB2312"/>
          <w:sz w:val="32"/>
        </w:rPr>
        <w:t>注册申报资料的一般要求，申请人应依据产品的具体特性确定其中内容是否适用，若不适用，需具体阐述理由及相应的科学依据，并依据产品的具体特性对注册申报资料的内容进行充实和细化。</w:t>
      </w:r>
    </w:p>
    <w:p w14:paraId="0E0BE938">
      <w:pPr>
        <w:spacing w:line="520" w:lineRule="exact"/>
        <w:ind w:firstLine="640" w:firstLineChars="200"/>
        <w:rPr>
          <w:rFonts w:ascii="Times New Roman" w:hAnsi="Times New Roman" w:eastAsia="仿宋_GB2312" w:cs="仿宋_GB2312"/>
          <w:sz w:val="32"/>
        </w:rPr>
      </w:pPr>
      <w:r>
        <w:rPr>
          <w:rFonts w:hint="eastAsia" w:ascii="Times New Roman" w:hAnsi="Times New Roman" w:eastAsia="仿宋_GB2312" w:cs="仿宋_GB2312"/>
          <w:sz w:val="32"/>
        </w:rPr>
        <w:t>本指导原则是供注册申请人和技术审评人员使用的指导性文件，但不包括审评审批所涉及的行政事项，亦不作为法规强制执行，应在遵循相关法规的前提下使用本指导原则。如果有能够满足相关法规要求的其他方法，也可以采用，但需要提供详细的研究资料和验证资料。</w:t>
      </w:r>
    </w:p>
    <w:p w14:paraId="79FED35F">
      <w:pPr>
        <w:spacing w:line="520" w:lineRule="exact"/>
        <w:ind w:firstLine="640" w:firstLineChars="200"/>
        <w:rPr>
          <w:rFonts w:ascii="Times New Roman" w:hAnsi="Times New Roman" w:eastAsia="仿宋_GB2312"/>
          <w:kern w:val="0"/>
          <w:sz w:val="32"/>
          <w:szCs w:val="32"/>
        </w:rPr>
      </w:pPr>
      <w:r>
        <w:rPr>
          <w:rFonts w:hint="eastAsia" w:ascii="Times New Roman" w:hAnsi="Times New Roman" w:eastAsia="仿宋_GB2312" w:cs="仿宋_GB2312"/>
          <w:sz w:val="32"/>
        </w:rPr>
        <w:t>本指导原则是在现行法规、标准体系以及当前认知水平下制定的，随着法规、标准的不断完善和科学技术的不断发展，各项研究资料有关的规定如有相应的国家法规发布或更新，按其要求执行。本指导原则相关内容也将适时进行调整。</w:t>
      </w:r>
    </w:p>
    <w:p w14:paraId="3FFFCF09">
      <w:pPr>
        <w:pStyle w:val="33"/>
        <w:spacing w:line="520" w:lineRule="exact"/>
        <w:ind w:firstLine="610" w:firstLineChars="0"/>
        <w:rPr>
          <w:rFonts w:ascii="Times New Roman" w:hAnsi="Times New Roman" w:eastAsia="黑体" w:cs="黑体"/>
          <w:sz w:val="32"/>
        </w:rPr>
      </w:pPr>
      <w:bookmarkStart w:id="0" w:name="_Toc351449685"/>
      <w:bookmarkStart w:id="1" w:name="_Toc318979006"/>
      <w:r>
        <w:rPr>
          <w:rFonts w:hint="eastAsia" w:ascii="Times New Roman" w:hAnsi="Times New Roman" w:eastAsia="黑体" w:cs="黑体"/>
          <w:sz w:val="32"/>
        </w:rPr>
        <w:t>一、适用范围</w:t>
      </w:r>
      <w:bookmarkEnd w:id="0"/>
      <w:bookmarkEnd w:id="1"/>
    </w:p>
    <w:p w14:paraId="53B658EC">
      <w:pPr>
        <w:widowControl/>
        <w:spacing w:line="520" w:lineRule="exact"/>
        <w:ind w:firstLine="640" w:firstLineChars="200"/>
        <w:rPr>
          <w:rFonts w:ascii="Times New Roman" w:hAnsi="Times New Roman" w:eastAsia="仿宋_GB2312" w:cs="仿宋_GB2312"/>
          <w:kern w:val="0"/>
          <w:sz w:val="32"/>
          <w:szCs w:val="32"/>
        </w:rPr>
      </w:pPr>
      <w:bookmarkStart w:id="2" w:name="_Toc351449686"/>
      <w:bookmarkStart w:id="3" w:name="_Toc318979007"/>
      <w:r>
        <w:rPr>
          <w:rFonts w:hint="eastAsia" w:ascii="Times New Roman" w:hAnsi="Times New Roman" w:eastAsia="仿宋_GB2312" w:cs="仿宋_GB2312"/>
          <w:sz w:val="32"/>
          <w:szCs w:val="32"/>
        </w:rPr>
        <w:t>本</w:t>
      </w:r>
      <w:r>
        <w:rPr>
          <w:rFonts w:hint="eastAsia" w:ascii="Times New Roman" w:hAnsi="Times New Roman" w:eastAsia="仿宋_GB2312" w:cs="仿宋_GB2312"/>
          <w:kern w:val="0"/>
          <w:sz w:val="32"/>
          <w:szCs w:val="32"/>
        </w:rPr>
        <w:t>指导原则适用于以抗原</w:t>
      </w:r>
      <w:r>
        <w:rPr>
          <w:rFonts w:hint="eastAsia" w:ascii="Times New Roman" w:hAnsi="Times New Roman" w:eastAsia="仿宋_GB2312" w:cs="仿宋_GB2312"/>
          <w:sz w:val="32"/>
        </w:rPr>
        <w:t>-</w:t>
      </w:r>
      <w:r>
        <w:rPr>
          <w:rFonts w:hint="eastAsia" w:ascii="Times New Roman" w:hAnsi="Times New Roman" w:eastAsia="仿宋_GB2312" w:cs="仿宋_GB2312"/>
          <w:kern w:val="0"/>
          <w:sz w:val="32"/>
          <w:szCs w:val="32"/>
        </w:rPr>
        <w:t>抗体反应为基本原理的电化学发光免疫分析法、酶促化学发光免疫分析法、直接化学发光免疫分析法、磁微粒化学发光法、光激化学发光免疫分析法等对人血清/血浆中</w:t>
      </w:r>
      <w:r>
        <w:rPr>
          <w:rFonts w:hint="eastAsia" w:ascii="Times New Roman" w:hAnsi="Times New Roman" w:eastAsia="仿宋_GB2312" w:cs="仿宋_GB2312"/>
          <w:sz w:val="32"/>
          <w:szCs w:val="32"/>
        </w:rPr>
        <w:t>性激素结合球蛋白含量</w:t>
      </w:r>
      <w:r>
        <w:rPr>
          <w:rFonts w:hint="eastAsia" w:ascii="Times New Roman" w:hAnsi="Times New Roman" w:eastAsia="仿宋_GB2312" w:cs="仿宋_GB2312"/>
          <w:kern w:val="0"/>
          <w:sz w:val="32"/>
          <w:szCs w:val="32"/>
        </w:rPr>
        <w:t>的</w:t>
      </w:r>
      <w:r>
        <w:rPr>
          <w:rFonts w:ascii="Times New Roman" w:hAnsi="Times New Roman" w:eastAsia="仿宋_GB2312"/>
          <w:sz w:val="32"/>
        </w:rPr>
        <w:t>进行定量检测的体外诊断试剂</w:t>
      </w:r>
      <w:r>
        <w:rPr>
          <w:rFonts w:hint="eastAsia" w:ascii="Times New Roman" w:hAnsi="Times New Roman" w:eastAsia="仿宋_GB2312" w:cs="仿宋_GB2312"/>
          <w:kern w:val="0"/>
          <w:sz w:val="32"/>
          <w:szCs w:val="32"/>
        </w:rPr>
        <w:t>。</w:t>
      </w:r>
      <w:r>
        <w:rPr>
          <w:rFonts w:hint="eastAsia" w:ascii="Times New Roman" w:hAnsi="Times New Roman" w:eastAsia="仿宋_GB2312" w:cs="仿宋_GB2312"/>
          <w:sz w:val="32"/>
          <w:szCs w:val="32"/>
        </w:rPr>
        <w:t>基于其他方法的性激素结合球蛋白测定试剂可参照本指导原则，但应根据产品的具体特性确</w:t>
      </w:r>
      <w:r>
        <w:rPr>
          <w:rFonts w:hint="eastAsia" w:ascii="Times New Roman" w:hAnsi="Times New Roman" w:eastAsia="仿宋_GB2312" w:cs="仿宋_GB2312"/>
          <w:kern w:val="0"/>
          <w:sz w:val="32"/>
          <w:szCs w:val="32"/>
        </w:rPr>
        <w:t>定其中的内容是否适用，若不适用，应另外选择适合自身方法学特性的研究步骤及方法。</w:t>
      </w:r>
    </w:p>
    <w:bookmarkEnd w:id="2"/>
    <w:bookmarkEnd w:id="3"/>
    <w:p w14:paraId="157E289C">
      <w:pPr>
        <w:pStyle w:val="33"/>
        <w:spacing w:line="520" w:lineRule="exact"/>
        <w:ind w:firstLine="610" w:firstLineChars="0"/>
        <w:rPr>
          <w:rFonts w:ascii="Times New Roman" w:hAnsi="Times New Roman" w:eastAsia="黑体" w:cs="黑体"/>
          <w:sz w:val="32"/>
        </w:rPr>
      </w:pPr>
      <w:bookmarkStart w:id="4" w:name="_Toc351449687"/>
      <w:bookmarkStart w:id="5" w:name="_Toc318979008"/>
      <w:r>
        <w:rPr>
          <w:rFonts w:hint="eastAsia" w:ascii="Times New Roman" w:hAnsi="Times New Roman" w:eastAsia="黑体" w:cs="黑体"/>
          <w:sz w:val="32"/>
        </w:rPr>
        <w:t>二、注册审查要点</w:t>
      </w:r>
    </w:p>
    <w:p w14:paraId="23E8981B">
      <w:pPr>
        <w:tabs>
          <w:tab w:val="left" w:pos="6720"/>
        </w:tabs>
        <w:spacing w:line="520" w:lineRule="exact"/>
        <w:ind w:firstLine="640" w:firstLineChars="200"/>
        <w:outlineLvl w:val="0"/>
        <w:rPr>
          <w:rFonts w:ascii="Times New Roman" w:hAnsi="Times New Roman" w:eastAsia="楷体_GB2312" w:cs="楷体_GB2312"/>
          <w:sz w:val="32"/>
          <w:szCs w:val="32"/>
        </w:rPr>
      </w:pPr>
      <w:r>
        <w:rPr>
          <w:rFonts w:hint="eastAsia" w:ascii="Times New Roman" w:hAnsi="Times New Roman" w:eastAsia="楷体_GB2312" w:cs="楷体_GB2312"/>
          <w:sz w:val="32"/>
          <w:szCs w:val="32"/>
        </w:rPr>
        <w:t>（一）监管信息</w:t>
      </w:r>
    </w:p>
    <w:bookmarkEnd w:id="4"/>
    <w:bookmarkEnd w:id="5"/>
    <w:p w14:paraId="2D1FF676">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1.产品名称</w:t>
      </w:r>
    </w:p>
    <w:p w14:paraId="3E3EDE9D">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产品名称一般由三部分组成。第一部分：被测物名称为性激素结合球蛋白；第二部分：用途，如测定试剂；第三部分：方法或者原理，如化学发光免疫分析法等。</w:t>
      </w:r>
    </w:p>
    <w:p w14:paraId="0CEF0D65">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2.分类依据</w:t>
      </w:r>
    </w:p>
    <w:p w14:paraId="49E1A5CC">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根据《体外诊断试剂分类规则》和《体外诊断试剂分类目录》，性激素结合球蛋白测定试剂管理类别为Ⅱ类，分类编码为6840-10-10036。</w:t>
      </w:r>
    </w:p>
    <w:p w14:paraId="70A24F3C">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3.注册单元划分</w:t>
      </w:r>
    </w:p>
    <w:p w14:paraId="1DC69F9E">
      <w:pPr>
        <w:spacing w:line="520" w:lineRule="exact"/>
        <w:ind w:firstLine="640" w:firstLineChars="200"/>
        <w:rPr>
          <w:rFonts w:ascii="Times New Roman" w:hAnsi="Times New Roman" w:eastAsia="仿宋_GB2312"/>
        </w:rPr>
      </w:pPr>
      <w:r>
        <w:rPr>
          <w:rFonts w:hint="eastAsia" w:ascii="Times New Roman" w:hAnsi="Times New Roman" w:eastAsia="仿宋_GB2312" w:cs="仿宋_GB2312"/>
          <w:sz w:val="32"/>
          <w:szCs w:val="32"/>
        </w:rPr>
        <w:t>按照《医疗器械注册单元划分指导原则》对注册单元划分。如包含不同的包装规格，不同规格间仅试剂组分装量或检测数有差异，原则上划分为同一注册单元；如包含不同的包装规格，不同规格间除试剂装量或检测数的差异外，适用于不同的仪器机型，原则上划分为同一注册单元。校准品、质控品可以与检测试剂合并申请注册，也可以单独申请注册。</w:t>
      </w:r>
    </w:p>
    <w:p w14:paraId="67E63CC0">
      <w:pPr>
        <w:spacing w:line="520" w:lineRule="exact"/>
        <w:ind w:firstLine="640" w:firstLineChars="200"/>
        <w:rPr>
          <w:rFonts w:ascii="Times New Roman" w:hAnsi="Times New Roman"/>
        </w:rPr>
      </w:pPr>
      <w:r>
        <w:rPr>
          <w:rFonts w:hint="eastAsia" w:ascii="Times New Roman" w:hAnsi="Times New Roman" w:eastAsia="仿宋_GB2312" w:cs="仿宋_GB2312"/>
          <w:sz w:val="32"/>
          <w:szCs w:val="32"/>
        </w:rPr>
        <w:t>4.其他信息还包括术语缩写词列表、产品列表、关联文件、申报前与监管机构的联系情况和沟通记录以及符合性声明等文件。</w:t>
      </w:r>
    </w:p>
    <w:p w14:paraId="06B56F1D">
      <w:pPr>
        <w:tabs>
          <w:tab w:val="left" w:pos="6720"/>
        </w:tabs>
        <w:spacing w:line="520" w:lineRule="exact"/>
        <w:ind w:firstLine="640" w:firstLineChars="200"/>
        <w:outlineLvl w:val="0"/>
        <w:rPr>
          <w:rFonts w:ascii="Times New Roman" w:hAnsi="Times New Roman" w:eastAsia="楷体_GB2312"/>
          <w:sz w:val="32"/>
          <w:szCs w:val="32"/>
        </w:rPr>
      </w:pPr>
      <w:r>
        <w:rPr>
          <w:rFonts w:hint="eastAsia" w:ascii="Times New Roman" w:hAnsi="Times New Roman" w:eastAsia="楷体_GB2312" w:cs="楷体_GB2312"/>
          <w:sz w:val="32"/>
          <w:szCs w:val="32"/>
        </w:rPr>
        <w:t>（二）综述资料</w:t>
      </w:r>
    </w:p>
    <w:p w14:paraId="79746B72">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1.概述</w:t>
      </w:r>
    </w:p>
    <w:p w14:paraId="024AF24C">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应当描述性激素结合球蛋白测定试剂通用名称及其确定依据；描述申报产品管理类别；描述申报产品预期用途；如适用，描述有关申报产品的背景信息概述或特别细节，如：申报产品的历史概述、历次提交的信息，与其他经批准上市产品的关系等。</w:t>
      </w:r>
    </w:p>
    <w:p w14:paraId="103E0715">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2.产品描述</w:t>
      </w:r>
    </w:p>
    <w:p w14:paraId="36A27052">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2.1产品综述：应提供产品所采用的技术原理，产品组成，原材料的来源及制备方法，主要生产工艺，检验方法，质控品的制备方法及赋值情况，如产品检测需要进行校准，应提供校准品的制备方法及溯源情况。应提供产品主要研究结果的总结和评价，包括分析性能评估、参考区间、稳定性以及临床评价。提供不同包装规格之间的差异说明。</w:t>
      </w:r>
    </w:p>
    <w:p w14:paraId="10BBD368">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描述产品中使用的生物材料或衍生物，包括生物学来源（如人、动物、病原体、重组或发酵产物）和组织来源（如血液）。人源性材料须对有关传染病（HIV、HBV、HCV等）病原体检测予以说明；其他动物源及微生物来源的材料，应当说明其在产品运输、使用过程中对使用者和环境是安全的，并提供相关的文件。</w:t>
      </w:r>
    </w:p>
    <w:p w14:paraId="10A9F98D">
      <w:pPr>
        <w:pStyle w:val="2"/>
        <w:spacing w:line="520" w:lineRule="exact"/>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2.2包装描述</w:t>
      </w:r>
    </w:p>
    <w:p w14:paraId="63D7559C">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有关产品包装的信息，包括包装形状和材料。</w:t>
      </w:r>
    </w:p>
    <w:p w14:paraId="56FC3523">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2.3与同类和/或前代产品的比较</w:t>
      </w:r>
    </w:p>
    <w:p w14:paraId="248F5609">
      <w:pPr>
        <w:spacing w:line="520" w:lineRule="exact"/>
        <w:ind w:firstLine="640" w:firstLineChars="200"/>
        <w:rPr>
          <w:rFonts w:ascii="Times New Roman" w:hAnsi="Times New Roman" w:eastAsia="仿宋_GB2312" w:cs="仿宋_GB2312"/>
          <w:sz w:val="32"/>
          <w:szCs w:val="32"/>
        </w:rPr>
      </w:pPr>
      <w:r>
        <w:rPr>
          <w:rFonts w:ascii="Times New Roman" w:hAnsi="Times New Roman" w:eastAsia="仿宋_GB2312"/>
          <w:sz w:val="32"/>
          <w:szCs w:val="32"/>
        </w:rPr>
        <w:t>与同类和/或前代产品的比较，应着重从检验原理、预期用途、主要组成成分、溯源情况、主要性能指标、参考区间、使用方法、临床应用等方面阐述申报产品与已上市同类产品和/或前代产品之间的主要区别。</w:t>
      </w:r>
    </w:p>
    <w:p w14:paraId="29E45456">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3.预期用途</w:t>
      </w:r>
    </w:p>
    <w:p w14:paraId="37844281">
      <w:pPr>
        <w:spacing w:line="520" w:lineRule="exact"/>
        <w:ind w:firstLine="640" w:firstLineChars="200"/>
        <w:rPr>
          <w:rFonts w:ascii="Times New Roman" w:hAnsi="Times New Roman" w:eastAsia="仿宋_GB2312"/>
          <w:sz w:val="32"/>
        </w:rPr>
      </w:pPr>
      <w:r>
        <w:rPr>
          <w:rFonts w:hint="eastAsia" w:ascii="Times New Roman" w:hAnsi="Times New Roman" w:eastAsia="仿宋_GB2312"/>
          <w:sz w:val="32"/>
        </w:rPr>
        <w:t>3.1预期用途</w:t>
      </w:r>
    </w:p>
    <w:p w14:paraId="67F831D7">
      <w:pPr>
        <w:spacing w:line="520" w:lineRule="exact"/>
        <w:ind w:firstLine="640" w:firstLineChars="200"/>
        <w:rPr>
          <w:rFonts w:ascii="Times New Roman" w:hAnsi="Times New Roman" w:eastAsia="仿宋_GB2312"/>
          <w:sz w:val="32"/>
        </w:rPr>
      </w:pPr>
      <w:r>
        <w:rPr>
          <w:rFonts w:hint="eastAsia" w:ascii="Times New Roman" w:hAnsi="Times New Roman" w:eastAsia="仿宋_GB2312"/>
          <w:sz w:val="32"/>
        </w:rPr>
        <w:t>用于体外定量检测人血清/血浆中性激素结合球蛋白的含量。临床上用于多种雄激素异常疾病的辅助诊断。</w:t>
      </w:r>
    </w:p>
    <w:p w14:paraId="379D0349">
      <w:pPr>
        <w:spacing w:line="520" w:lineRule="exact"/>
        <w:ind w:firstLine="640" w:firstLineChars="200"/>
        <w:rPr>
          <w:rFonts w:ascii="Times New Roman" w:hAnsi="Times New Roman" w:eastAsia="仿宋_GB2312"/>
          <w:sz w:val="32"/>
        </w:rPr>
      </w:pPr>
      <w:r>
        <w:rPr>
          <w:rFonts w:hint="eastAsia" w:ascii="Times New Roman" w:hAnsi="Times New Roman" w:eastAsia="仿宋_GB2312"/>
          <w:sz w:val="32"/>
        </w:rPr>
        <w:t>应明确适用仪器及使用方法（自动/半自动/手工）、添加剂(如抗凝剂)、样本采集及保存装置等。</w:t>
      </w:r>
    </w:p>
    <w:p w14:paraId="1D93DCDE">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 xml:space="preserve">3.2临床适应证 </w:t>
      </w:r>
    </w:p>
    <w:p w14:paraId="4C8CDFDA">
      <w:pPr>
        <w:spacing w:line="520" w:lineRule="exact"/>
        <w:ind w:firstLine="640" w:firstLineChars="200"/>
        <w:rPr>
          <w:rFonts w:ascii="Times New Roman" w:hAnsi="Times New Roman" w:eastAsia="仿宋_GB2312" w:cs="仿宋_GB2312"/>
          <w:sz w:val="32"/>
          <w:szCs w:val="32"/>
        </w:rPr>
      </w:pPr>
      <w:r>
        <w:rPr>
          <w:rFonts w:ascii="Times New Roman" w:hAnsi="Times New Roman" w:eastAsia="仿宋_GB2312"/>
          <w:sz w:val="32"/>
        </w:rPr>
        <w:t>临床适应证的发生率、分析物的详细介绍及与临床适应证的关系，相关的临床或实验室诊断方法。</w:t>
      </w:r>
    </w:p>
    <w:p w14:paraId="537498AB">
      <w:pPr>
        <w:spacing w:line="520" w:lineRule="exact"/>
        <w:ind w:firstLine="640" w:firstLineChars="200"/>
        <w:rPr>
          <w:rFonts w:ascii="Times New Roman" w:hAnsi="Times New Roman" w:eastAsia="仿宋_GB2312" w:cs="仿宋_GB2312"/>
          <w:sz w:val="32"/>
          <w:szCs w:val="32"/>
          <w:highlight w:val="red"/>
        </w:rPr>
      </w:pPr>
      <w:r>
        <w:rPr>
          <w:rFonts w:hint="eastAsia" w:ascii="Times New Roman" w:hAnsi="Times New Roman" w:eastAsia="仿宋_GB2312" w:cs="仿宋_GB2312"/>
          <w:sz w:val="32"/>
          <w:szCs w:val="32"/>
        </w:rPr>
        <w:t>性激素结合球蛋白是一种糖蛋白类，分子量大约在          80-100 kDa左右；它对17β-羟基激素，如睾酮和雌二醇，具有高亲合力。血液中的性激素结合球蛋白浓度受雄激素/雌激素的平衡情况、甲状腺激素、胰岛素和饮食等因素调节。它还是外周血中雌激素和雄激素的最重要转运蛋白。性激素结合球蛋白浓度是调节两种激素状态(与蛋白结合和游离状态)的主要因素。血液性激素结合球蛋白浓度受多种疾病影响，男性甲状腺机能亢进、性机能减退、雄激素不敏感和肝硬化都会引起浓度升高。但是，黏液水肿、男性性功能低下和雄激素活性过高综合征患者体内的性激素结合球蛋白浓度较低。对性激素结合球蛋白的测定有助于评估轻度雄激素代谢紊乱，并能够识别多囊卵巢综合征女性患者，这些女性患者对雌激素治疗作出反应的可能性更大。睾酮与性激素结合球蛋白的比值也称作游离雄激素或游离睾酮指数(FAI或FTI)，用于从正常个体中区别出雄激素活性过高的受试者。它代表睾丸酮总量与SHBG的比值，其数值等于睾丸酮的浓度（nmol/L）×100，再除以性激素结合球蛋白（SHBG）的浓度（nmol/L）。女性病人体内的雄激素状态可以通过游离雄激素指数（FAI）来反映。正常女性与多毛症患者体内的游离雄激素指数差别很大，因而可以作为判断雄激素分泌异常的确切诊断标准，也可以作为判断疗效的潜在指标。</w:t>
      </w:r>
    </w:p>
    <w:p w14:paraId="3B11B63B">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3.3适用人群：目标患者/人群的信息。</w:t>
      </w:r>
    </w:p>
    <w:p w14:paraId="3188D4AB">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3.4预期使用者：使用者为经过专业培训的医务人员或实验室专业技术人员。</w:t>
      </w:r>
    </w:p>
    <w:p w14:paraId="695378CA">
      <w:pPr>
        <w:pStyle w:val="2"/>
        <w:spacing w:line="520" w:lineRule="exact"/>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3.5预期使用环境</w:t>
      </w:r>
    </w:p>
    <w:p w14:paraId="424DC0F6">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3.5.1申报产品预期使用的地点。</w:t>
      </w:r>
    </w:p>
    <w:p w14:paraId="3BF08691">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3.5.2可能会影响其安全性和有效性的环境条件（如温度、湿度、海拔）。</w:t>
      </w:r>
    </w:p>
    <w:p w14:paraId="1567436B">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4.其他需说明的内容</w:t>
      </w:r>
    </w:p>
    <w:p w14:paraId="35921213">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除申报产品外，检测系统的其他组成部分，包括但不限于：样本处理用试剂、适用仪器、质控品、校准品等基本信息，及其在检测中发挥的作用，必要时应提交相应的说明书。</w:t>
      </w:r>
    </w:p>
    <w:p w14:paraId="3FCC3134">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对于已获得批准的检测系统的其他组成部分，应当提供注册证编号/备案编号和国家药监局官方网站公布的注册证信息/备案信息。</w:t>
      </w:r>
    </w:p>
    <w:p w14:paraId="17886A9D">
      <w:pPr>
        <w:tabs>
          <w:tab w:val="left" w:pos="6720"/>
        </w:tabs>
        <w:spacing w:line="520" w:lineRule="exact"/>
        <w:ind w:firstLine="640" w:firstLineChars="200"/>
        <w:outlineLvl w:val="0"/>
        <w:rPr>
          <w:rFonts w:ascii="Times New Roman" w:hAnsi="Times New Roman" w:eastAsia="楷体_GB2312" w:cs="楷体_GB2312"/>
          <w:sz w:val="32"/>
          <w:szCs w:val="32"/>
        </w:rPr>
      </w:pPr>
      <w:r>
        <w:rPr>
          <w:rFonts w:hint="eastAsia" w:ascii="Times New Roman" w:hAnsi="Times New Roman" w:eastAsia="楷体_GB2312" w:cs="楷体_GB2312"/>
          <w:sz w:val="32"/>
          <w:szCs w:val="32"/>
        </w:rPr>
        <w:t>（三）非临床资料</w:t>
      </w:r>
    </w:p>
    <w:p w14:paraId="676ED0E4">
      <w:pPr>
        <w:spacing w:line="520" w:lineRule="exact"/>
        <w:ind w:firstLine="640" w:firstLineChars="200"/>
        <w:outlineLvl w:val="1"/>
        <w:rPr>
          <w:rFonts w:ascii="Times New Roman" w:hAnsi="Times New Roman" w:eastAsia="仿宋_GB2312" w:cs="仿宋_GB2312"/>
          <w:sz w:val="32"/>
          <w:szCs w:val="32"/>
        </w:rPr>
      </w:pPr>
      <w:r>
        <w:rPr>
          <w:rFonts w:hint="eastAsia" w:ascii="Times New Roman" w:hAnsi="Times New Roman" w:eastAsia="仿宋_GB2312" w:cs="仿宋_GB2312"/>
          <w:sz w:val="32"/>
          <w:szCs w:val="32"/>
        </w:rPr>
        <w:t>1.</w:t>
      </w:r>
      <w:r>
        <w:rPr>
          <w:rFonts w:hint="eastAsia" w:ascii="Times New Roman" w:hAnsi="Times New Roman" w:eastAsia="仿宋_GB2312" w:cs="仿宋_GB2312"/>
          <w:sz w:val="32"/>
        </w:rPr>
        <w:t>产品风险管理资料</w:t>
      </w:r>
    </w:p>
    <w:p w14:paraId="21509C16">
      <w:pPr>
        <w:widowControl/>
        <w:spacing w:line="520" w:lineRule="exact"/>
        <w:ind w:firstLine="640" w:firstLineChars="200"/>
        <w:rPr>
          <w:rFonts w:ascii="Times New Roman" w:hAnsi="Times New Roman" w:eastAsia="仿宋_GB2312" w:cs="仿宋_GB2312"/>
          <w:sz w:val="32"/>
          <w:szCs w:val="28"/>
        </w:rPr>
      </w:pPr>
      <w:r>
        <w:rPr>
          <w:rFonts w:hint="eastAsia" w:ascii="Times New Roman" w:hAnsi="Times New Roman" w:eastAsia="仿宋_GB2312" w:cs="仿宋_GB2312"/>
          <w:sz w:val="32"/>
          <w:szCs w:val="32"/>
        </w:rPr>
        <w:t>申请人应考虑产品</w:t>
      </w:r>
      <w:r>
        <w:rPr>
          <w:rFonts w:hint="eastAsia" w:ascii="Times New Roman" w:hAnsi="Times New Roman" w:eastAsia="仿宋_GB2312" w:cs="仿宋_GB2312"/>
          <w:sz w:val="32"/>
          <w:szCs w:val="28"/>
        </w:rPr>
        <w:t>生命周期的各个环节，从产品设计开发、原材料的采购控制、生产、预期用途、可能的使用错误、与安全性有关的特征、性能特征失效、已知和可预见的危害等方面的判定以及对患者风险的评估进行风险分析、风险评价和相应的风险控制基础上，</w:t>
      </w:r>
      <w:r>
        <w:rPr>
          <w:rFonts w:hint="eastAsia" w:ascii="Times New Roman" w:hAnsi="Times New Roman" w:eastAsia="仿宋_GB2312" w:cs="仿宋_GB2312"/>
          <w:sz w:val="32"/>
          <w:szCs w:val="32"/>
        </w:rPr>
        <w:t>综合评价产品风险可接受程度，</w:t>
      </w:r>
      <w:r>
        <w:rPr>
          <w:rFonts w:hint="eastAsia" w:ascii="Times New Roman" w:hAnsi="Times New Roman" w:eastAsia="仿宋_GB2312" w:cs="仿宋_GB2312"/>
          <w:sz w:val="32"/>
          <w:szCs w:val="28"/>
        </w:rPr>
        <w:t>形成风险管理资料，</w:t>
      </w:r>
      <w:r>
        <w:rPr>
          <w:rFonts w:ascii="Times New Roman" w:hAnsi="Times New Roman" w:eastAsia="仿宋_GB2312"/>
          <w:sz w:val="32"/>
          <w:szCs w:val="32"/>
        </w:rPr>
        <w:t>应符合GB/T 42062《医疗器械风险管理对医疗器械的应用》的要求。</w:t>
      </w:r>
    </w:p>
    <w:p w14:paraId="2C80C8FE">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应当提供风险分析、风险评价、风险控制、任何一个或多个剩余风险的可接受性评定、与产品受益相比，综合评价产品风险可接受等内容，并说明对于每项已判定危害的各个过程的可追溯性。</w:t>
      </w:r>
    </w:p>
    <w:p w14:paraId="63AB794F">
      <w:pPr>
        <w:widowControl/>
        <w:snapToGrid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2.体外诊断试剂安全和性能基本原则清单</w:t>
      </w:r>
    </w:p>
    <w:p w14:paraId="4459BF04">
      <w:pPr>
        <w:widowControl/>
        <w:snapToGrid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说明产品符合《体外诊断试剂安全和性能基本原则清单》各项适用要求所采用的方法，以及证明其符合性的文件。对于其中不适用的各项要求，应当说明理由。</w:t>
      </w:r>
    </w:p>
    <w:p w14:paraId="4201C4D6">
      <w:pPr>
        <w:widowControl/>
        <w:snapToGrid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3.产品技术要求及检验报告</w:t>
      </w:r>
    </w:p>
    <w:p w14:paraId="58E90B0D">
      <w:pPr>
        <w:widowControl/>
        <w:snapToGrid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3.1申报产品适用标准情况</w:t>
      </w:r>
    </w:p>
    <w:p w14:paraId="7F59CC3C">
      <w:pPr>
        <w:widowControl/>
        <w:snapToGrid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该产品目前无适用的强制性标准。</w:t>
      </w:r>
    </w:p>
    <w:p w14:paraId="32FD03D2">
      <w:pPr>
        <w:widowControl/>
        <w:snapToGrid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3.2产品技术要求</w:t>
      </w:r>
    </w:p>
    <w:p w14:paraId="2F886A07">
      <w:pPr>
        <w:overflowPunct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申请人应当在原材料质量和生产工艺稳定的前提下，根据产品研制、前期评价等结果，依据国家标准、行业标准及有关文献资料，结合产品特性按照《医疗器械产品技术要求编写指导原则》的要求编写。</w:t>
      </w:r>
    </w:p>
    <w:p w14:paraId="1F58671C">
      <w:pPr>
        <w:adjustRightInd w:val="0"/>
        <w:snapToGrid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如有相关行业标准发布实施，产品技术要求应不低于相关行业标准的要求，性能指标主要包括：外观、检出限、准确度、线性、重复性、批间精密度等；如注册单元中包含校准品和/或质控品，至少包含校准品/质控品的均匀性、水分（如适用）。</w:t>
      </w:r>
    </w:p>
    <w:p w14:paraId="1D786B79">
      <w:pPr>
        <w:adjustRightInd w:val="0"/>
        <w:snapToGrid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3.3产品检验报告</w:t>
      </w:r>
    </w:p>
    <w:p w14:paraId="2FBFD3AE">
      <w:pPr>
        <w:adjustRightInd w:val="0"/>
        <w:snapToGrid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在保证产品原材料和生产工艺稳定可靠的基础上，采用在符合医疗器械质量管理体系相关要求的条件下生产的产品进行检验。可提交以下任一形式的检验报告：</w:t>
      </w:r>
    </w:p>
    <w:p w14:paraId="6D288211">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3.3.1申请人出具的自检报告。</w:t>
      </w:r>
    </w:p>
    <w:p w14:paraId="4612A76F">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如产品提交自检报告，还需按照《医疗器械注册自检管理规定》的要求提交相应资料。</w:t>
      </w:r>
    </w:p>
    <w:p w14:paraId="54AE1E78">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3.3.2委托有资质的医疗器械检验机构出具的检验报告。</w:t>
      </w:r>
    </w:p>
    <w:p w14:paraId="36D3D6EF">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4.分析性能研究</w:t>
      </w:r>
    </w:p>
    <w:p w14:paraId="77E95388">
      <w:pPr>
        <w:autoSpaceDE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分析性能评估主要包括样本稳定性，适用的样本类型，校准品的量值溯源和质控品的赋值，准确度/正确度，精密度，空白限、检出限及定量限，分析特异性，高剂量钩状效应，测量区间及可报告区间，反应体系等项目的研究资料，应当采用多批产品进行性能评估。</w:t>
      </w:r>
    </w:p>
    <w:p w14:paraId="4D3677E6">
      <w:pPr>
        <w:overflowPunct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4.1.一般研究建议</w:t>
      </w:r>
    </w:p>
    <w:p w14:paraId="3DA2972F">
      <w:pPr>
        <w:overflowPunct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由于患者样本能真实反映</w:t>
      </w:r>
      <w:r>
        <w:rPr>
          <w:rFonts w:hint="eastAsia" w:ascii="Times New Roman" w:hAnsi="Times New Roman" w:eastAsia="仿宋_GB2312"/>
          <w:sz w:val="32"/>
          <w:szCs w:val="32"/>
        </w:rPr>
        <w:t>干扰物质</w:t>
      </w:r>
      <w:r>
        <w:rPr>
          <w:rFonts w:ascii="Times New Roman" w:hAnsi="Times New Roman" w:eastAsia="仿宋_GB2312"/>
          <w:sz w:val="32"/>
          <w:szCs w:val="32"/>
        </w:rPr>
        <w:t>对产品检测结果的影响，性能评估时应尽可能纳入预期使用人群的样本进行评价。确需使用加标样本进行研究时，应提供干扰物质、样品类型的信息等。添加分析物时，加入体积应尽可能少（原则上少于总体积的10%）；添加干扰/交叉物质时，应尽量使用接近体内循环形式的样品（加入体积不超过5%）或纯品。还应确保在每项分析中都包含所有的分析步骤。</w:t>
      </w:r>
    </w:p>
    <w:p w14:paraId="218EBDBE">
      <w:pPr>
        <w:overflowPunct w:val="0"/>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4.2对于本试剂，建议着重对以下性能进行研究：</w:t>
      </w:r>
    </w:p>
    <w:p w14:paraId="7C11E96D">
      <w:pPr>
        <w:overflowPunct w:val="0"/>
        <w:adjustRightInd w:val="0"/>
        <w:snapToGrid w:val="0"/>
        <w:spacing w:line="520" w:lineRule="exact"/>
        <w:ind w:firstLine="640" w:firstLineChars="200"/>
        <w:rPr>
          <w:rFonts w:ascii="Times New Roman" w:hAnsi="Times New Roman" w:eastAsia="仿宋_GB2312" w:cs="仿宋_GB2312"/>
          <w:kern w:val="0"/>
          <w:sz w:val="32"/>
          <w:szCs w:val="32"/>
        </w:rPr>
      </w:pPr>
      <w:r>
        <w:rPr>
          <w:rFonts w:hint="eastAsia" w:ascii="Times New Roman" w:hAnsi="Times New Roman" w:eastAsia="仿宋_GB2312" w:cs="仿宋_GB2312"/>
          <w:kern w:val="0"/>
          <w:sz w:val="32"/>
          <w:szCs w:val="32"/>
        </w:rPr>
        <w:t>4.2.1样本稳定性</w:t>
      </w:r>
    </w:p>
    <w:p w14:paraId="5634FEC5">
      <w:pPr>
        <w:overflowPunct w:val="0"/>
        <w:adjustRightInd w:val="0"/>
        <w:snapToGrid w:val="0"/>
        <w:spacing w:line="520" w:lineRule="exact"/>
        <w:ind w:firstLine="640" w:firstLineChars="200"/>
        <w:rPr>
          <w:rFonts w:ascii="Times New Roman" w:hAnsi="Times New Roman" w:eastAsia="仿宋_GB2312" w:cs="仿宋_GB2312"/>
          <w:kern w:val="0"/>
          <w:sz w:val="32"/>
          <w:szCs w:val="32"/>
        </w:rPr>
      </w:pPr>
      <w:r>
        <w:rPr>
          <w:rFonts w:hint="eastAsia" w:ascii="Times New Roman" w:hAnsi="Times New Roman" w:eastAsia="仿宋_GB2312" w:cs="仿宋_GB2312"/>
          <w:sz w:val="32"/>
          <w:szCs w:val="32"/>
        </w:rPr>
        <w:t>申请人应充分考虑实际使用过程中样本采集、处理、运输及保存等各个阶段的条件，对不同类型样本的稳定性分别进行评价并提交研究资料。包括建议的保存条件（如温度范围、是否需要避光等）、添加剂（如抗凝剂等）和运输条件（如涉及）等。对于冷冻保存的样本还应对冻融次数进行评价。</w:t>
      </w:r>
      <w:r>
        <w:rPr>
          <w:rFonts w:ascii="Times New Roman" w:hAnsi="Times New Roman" w:eastAsia="仿宋_GB2312"/>
          <w:sz w:val="32"/>
          <w:szCs w:val="32"/>
        </w:rPr>
        <w:t>样本稳定性内容的研究结果应在说明书【样本要求】中进行详细说明。</w:t>
      </w:r>
    </w:p>
    <w:p w14:paraId="4A1EB54A">
      <w:pPr>
        <w:overflowPunct w:val="0"/>
        <w:adjustRightInd w:val="0"/>
        <w:snapToGrid w:val="0"/>
        <w:spacing w:line="520" w:lineRule="exact"/>
        <w:ind w:firstLine="640" w:firstLineChars="200"/>
        <w:rPr>
          <w:rFonts w:ascii="Times New Roman" w:hAnsi="Times New Roman" w:eastAsia="仿宋_GB2312" w:cs="仿宋_GB2312"/>
          <w:kern w:val="0"/>
          <w:sz w:val="32"/>
          <w:szCs w:val="32"/>
        </w:rPr>
      </w:pPr>
      <w:r>
        <w:rPr>
          <w:rFonts w:hint="eastAsia" w:ascii="Times New Roman" w:hAnsi="Times New Roman" w:eastAsia="仿宋_GB2312" w:cs="仿宋_GB2312"/>
          <w:kern w:val="0"/>
          <w:sz w:val="32"/>
          <w:szCs w:val="32"/>
        </w:rPr>
        <w:t>4.2.2适用的样本类型</w:t>
      </w:r>
    </w:p>
    <w:p w14:paraId="171DBD0A">
      <w:pPr>
        <w:overflowPunct w:val="0"/>
        <w:adjustRightInd w:val="0"/>
        <w:snapToGrid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kern w:val="0"/>
          <w:sz w:val="32"/>
          <w:szCs w:val="32"/>
        </w:rPr>
        <w:t>本产品适用的样本类型为人血清、血浆。如果适用于多种样本类型（包括抗凝剂），应采用合理方法评价每种样本类型的适用性。对具有可比性的样本类型，可选择具有统计学意义数量的样本进行样本一致性的同源比对研究</w:t>
      </w:r>
      <w:r>
        <w:rPr>
          <w:rFonts w:hint="eastAsia" w:ascii="Times New Roman" w:hAnsi="Times New Roman" w:eastAsia="仿宋_GB2312" w:cs="仿宋_GB2312"/>
          <w:sz w:val="32"/>
          <w:szCs w:val="32"/>
        </w:rPr>
        <w:t>。</w:t>
      </w:r>
    </w:p>
    <w:p w14:paraId="6AE9E459">
      <w:pPr>
        <w:overflowPunct w:val="0"/>
        <w:adjustRightInd w:val="0"/>
        <w:snapToGrid w:val="0"/>
        <w:spacing w:line="520" w:lineRule="exact"/>
        <w:ind w:firstLine="640" w:firstLineChars="200"/>
        <w:rPr>
          <w:rFonts w:ascii="Times New Roman" w:hAnsi="Times New Roman" w:cs="仿宋_GB2312"/>
          <w:kern w:val="0"/>
          <w:sz w:val="32"/>
          <w:szCs w:val="32"/>
        </w:rPr>
      </w:pPr>
      <w:r>
        <w:rPr>
          <w:rFonts w:hint="eastAsia" w:ascii="Times New Roman" w:hAnsi="Times New Roman" w:eastAsia="仿宋_GB2312" w:cs="仿宋_GB2312"/>
          <w:kern w:val="0"/>
          <w:sz w:val="32"/>
          <w:szCs w:val="32"/>
        </w:rPr>
        <w:t>4.2.3校准品的量值溯源和质控品的赋值（如适用）</w:t>
      </w:r>
    </w:p>
    <w:p w14:paraId="29EA219F">
      <w:pPr>
        <w:adjustRightInd w:val="0"/>
        <w:snapToGrid w:val="0"/>
        <w:spacing w:line="520" w:lineRule="exact"/>
        <w:ind w:firstLine="640" w:firstLineChars="200"/>
        <w:rPr>
          <w:rFonts w:ascii="Times New Roman" w:hAnsi="Times New Roman" w:eastAsia="仿宋_GB2312" w:cs="仿宋_GB2312"/>
          <w:kern w:val="0"/>
          <w:sz w:val="32"/>
          <w:szCs w:val="32"/>
        </w:rPr>
      </w:pPr>
      <w:r>
        <w:rPr>
          <w:rFonts w:hint="eastAsia" w:ascii="Times New Roman" w:hAnsi="Times New Roman" w:eastAsia="仿宋_GB2312" w:cs="仿宋_GB2312"/>
          <w:kern w:val="0"/>
          <w:sz w:val="32"/>
          <w:szCs w:val="32"/>
        </w:rPr>
        <w:t>如申报产品包括校准品，可参考GB/T 21415《体外诊断医疗器械 建立校准品、正确度控制物质和人体样品赋值的计量溯源性要求》等提供溯源资料。参考YY/T 1709《体外诊断试剂用校准物测量不确定度评定》，提供校准品溯源以及校准品定值及不确定度计算的相关资料。</w:t>
      </w:r>
    </w:p>
    <w:p w14:paraId="16188AD6">
      <w:pPr>
        <w:adjustRightInd w:val="0"/>
        <w:snapToGrid w:val="0"/>
        <w:spacing w:line="520" w:lineRule="exact"/>
        <w:ind w:firstLine="640" w:firstLineChars="200"/>
        <w:rPr>
          <w:rFonts w:ascii="Times New Roman" w:hAnsi="Times New Roman" w:eastAsia="仿宋_GB2312" w:cs="仿宋_GB2312"/>
          <w:kern w:val="0"/>
          <w:sz w:val="32"/>
          <w:szCs w:val="32"/>
        </w:rPr>
      </w:pPr>
      <w:r>
        <w:rPr>
          <w:rFonts w:hint="eastAsia" w:ascii="Times New Roman" w:hAnsi="Times New Roman" w:eastAsia="仿宋_GB2312" w:cs="仿宋_GB2312"/>
          <w:kern w:val="0"/>
          <w:sz w:val="32"/>
          <w:szCs w:val="32"/>
        </w:rPr>
        <w:t>如申报产品包括质控品，提供在所有适用机型上进行赋值和验证的资料。赋值方法可参考《质控品注册审查指导原则—</w:t>
      </w:r>
      <w:bookmarkStart w:id="10" w:name="_GoBack"/>
      <w:r>
        <w:rPr>
          <w:rFonts w:hint="eastAsia" w:ascii="Times New Roman" w:hAnsi="Times New Roman" w:eastAsia="仿宋_GB2312" w:cs="仿宋_GB2312"/>
          <w:kern w:val="0"/>
          <w:sz w:val="32"/>
          <w:szCs w:val="32"/>
        </w:rPr>
        <w:t>—质控品赋值研究》。</w:t>
      </w:r>
    </w:p>
    <w:p w14:paraId="4692DE74">
      <w:pPr>
        <w:adjustRightInd w:val="0"/>
        <w:snapToGrid w:val="0"/>
        <w:spacing w:line="520" w:lineRule="exact"/>
        <w:ind w:firstLine="640" w:firstLineChars="200"/>
        <w:rPr>
          <w:rFonts w:ascii="Times New Roman" w:hAnsi="Times New Roman" w:eastAsia="仿宋_GB2312" w:cs="仿宋_GB2312"/>
          <w:kern w:val="0"/>
          <w:sz w:val="32"/>
          <w:szCs w:val="32"/>
        </w:rPr>
      </w:pPr>
      <w:r>
        <w:rPr>
          <w:rFonts w:hint="eastAsia" w:ascii="Times New Roman" w:hAnsi="Times New Roman" w:eastAsia="仿宋_GB2312" w:cs="仿宋_GB2312"/>
          <w:kern w:val="0"/>
          <w:sz w:val="32"/>
          <w:szCs w:val="32"/>
        </w:rPr>
        <w:t>如校准品或质控品的基质不同于临床常用样本类型，还应提交互换性相关研究资料。</w:t>
      </w:r>
    </w:p>
    <w:bookmarkEnd w:id="10"/>
    <w:p w14:paraId="0B6CD026">
      <w:pPr>
        <w:adjustRightInd w:val="0"/>
        <w:snapToGrid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4.2.4准确度</w:t>
      </w:r>
    </w:p>
    <w:p w14:paraId="687A0AA2">
      <w:pPr>
        <w:pStyle w:val="2"/>
        <w:spacing w:line="520" w:lineRule="exact"/>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4.2.4.1正确度</w:t>
      </w:r>
    </w:p>
    <w:p w14:paraId="2CF6D7F9">
      <w:pPr>
        <w:adjustRightInd w:val="0"/>
        <w:snapToGrid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对正确度的评价，可采</w:t>
      </w:r>
      <w:r>
        <w:rPr>
          <w:rFonts w:hint="eastAsia" w:ascii="Times New Roman" w:hAnsi="Times New Roman" w:eastAsia="仿宋_GB2312" w:cs="仿宋_GB2312"/>
          <w:bCs/>
          <w:sz w:val="32"/>
          <w:szCs w:val="32"/>
        </w:rPr>
        <w:t>参考物质检测（如</w:t>
      </w:r>
      <w:r>
        <w:rPr>
          <w:rFonts w:hint="eastAsia" w:ascii="Times New Roman" w:hAnsi="Times New Roman" w:eastAsia="仿宋_GB2312"/>
          <w:sz w:val="32"/>
          <w:szCs w:val="32"/>
        </w:rPr>
        <w:t>国际标准品编号：NZBSC 08/266）</w:t>
      </w:r>
      <w:r>
        <w:rPr>
          <w:rFonts w:hint="eastAsia" w:ascii="Times New Roman" w:hAnsi="Times New Roman" w:eastAsia="仿宋_GB2312" w:cs="仿宋_GB2312"/>
          <w:sz w:val="32"/>
          <w:szCs w:val="32"/>
        </w:rPr>
        <w:t>、方法学比对等方法，申请人可根据实际情况选择合理方法进行研究。</w:t>
      </w:r>
    </w:p>
    <w:p w14:paraId="14C82D3F">
      <w:pPr>
        <w:adjustRightInd w:val="0"/>
        <w:snapToGrid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4.2.4.1.1</w:t>
      </w:r>
      <w:r>
        <w:rPr>
          <w:rFonts w:hint="eastAsia" w:ascii="Times New Roman" w:hAnsi="Times New Roman" w:eastAsia="仿宋_GB2312"/>
          <w:sz w:val="32"/>
          <w:szCs w:val="32"/>
        </w:rPr>
        <w:t>使用参考物质的正确度评价</w:t>
      </w:r>
    </w:p>
    <w:p w14:paraId="5E7C8FCB">
      <w:pPr>
        <w:adjustRightInd w:val="0"/>
        <w:snapToGrid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sz w:val="32"/>
          <w:szCs w:val="32"/>
        </w:rPr>
        <w:t>采用2～3个水平的参考物质，代表试剂测量区间内的不同浓度，其中应包括医学决定水平或参考区间上/下限附近的</w:t>
      </w:r>
      <w:r>
        <w:rPr>
          <w:rFonts w:ascii="Times New Roman" w:hAnsi="Times New Roman" w:eastAsia="仿宋_GB2312"/>
          <w:sz w:val="32"/>
          <w:szCs w:val="32"/>
        </w:rPr>
        <w:t>浓度</w:t>
      </w:r>
      <w:r>
        <w:rPr>
          <w:rFonts w:hint="eastAsia" w:ascii="Times New Roman" w:hAnsi="Times New Roman" w:eastAsia="仿宋_GB2312"/>
          <w:sz w:val="32"/>
          <w:szCs w:val="32"/>
        </w:rPr>
        <w:t>。进行多次重复检测，</w:t>
      </w:r>
      <w:r>
        <w:rPr>
          <w:rFonts w:ascii="Times New Roman" w:hAnsi="Times New Roman" w:eastAsia="仿宋_GB2312"/>
          <w:sz w:val="32"/>
          <w:szCs w:val="32"/>
        </w:rPr>
        <w:t>采用检测结果</w:t>
      </w:r>
      <w:r>
        <w:rPr>
          <w:rFonts w:hint="eastAsia" w:ascii="Times New Roman" w:hAnsi="Times New Roman" w:eastAsia="仿宋_GB2312"/>
          <w:sz w:val="32"/>
          <w:szCs w:val="32"/>
        </w:rPr>
        <w:t>平均值</w:t>
      </w:r>
      <w:r>
        <w:rPr>
          <w:rFonts w:ascii="Times New Roman" w:hAnsi="Times New Roman" w:eastAsia="仿宋_GB2312"/>
          <w:sz w:val="32"/>
          <w:szCs w:val="32"/>
        </w:rPr>
        <w:t>与</w:t>
      </w:r>
      <w:r>
        <w:rPr>
          <w:rFonts w:hint="eastAsia" w:ascii="Times New Roman" w:hAnsi="Times New Roman" w:eastAsia="仿宋_GB2312"/>
          <w:sz w:val="32"/>
          <w:szCs w:val="32"/>
        </w:rPr>
        <w:t>参考量值计算</w:t>
      </w:r>
      <w:r>
        <w:rPr>
          <w:rFonts w:ascii="Times New Roman" w:hAnsi="Times New Roman" w:eastAsia="仿宋_GB2312"/>
          <w:sz w:val="32"/>
          <w:szCs w:val="32"/>
        </w:rPr>
        <w:t>偏倚</w:t>
      </w:r>
      <w:r>
        <w:rPr>
          <w:rFonts w:hint="eastAsia" w:ascii="Times New Roman" w:hAnsi="Times New Roman" w:eastAsia="仿宋_GB2312"/>
          <w:sz w:val="32"/>
          <w:szCs w:val="32"/>
        </w:rPr>
        <w:t>。</w:t>
      </w:r>
    </w:p>
    <w:p w14:paraId="6BA54AA4">
      <w:pPr>
        <w:adjustRightInd w:val="0"/>
        <w:snapToGrid w:val="0"/>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cs="仿宋_GB2312"/>
          <w:sz w:val="32"/>
          <w:szCs w:val="32"/>
        </w:rPr>
        <w:t>注：</w:t>
      </w:r>
      <w:r>
        <w:rPr>
          <w:rFonts w:hint="eastAsia" w:ascii="Times New Roman" w:hAnsi="Times New Roman" w:eastAsia="仿宋_GB2312"/>
          <w:sz w:val="32"/>
          <w:szCs w:val="32"/>
        </w:rPr>
        <w:t>参考物质包括具有互换性的有证参考物质、公认的参考品或标准品。</w:t>
      </w:r>
    </w:p>
    <w:p w14:paraId="3F2D64FF">
      <w:pPr>
        <w:adjustRightInd w:val="0"/>
        <w:snapToGrid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4.2.4.1.2比对试验</w:t>
      </w:r>
    </w:p>
    <w:p w14:paraId="4B88685F">
      <w:pPr>
        <w:adjustRightInd w:val="0"/>
        <w:snapToGrid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采用申报试剂与合理的比较测量程序同时检测临床样本，通过两者的比对研究和偏倚估计，进行申报试剂的正确度评价。比较测量程序可选择参考测量程序或同类试剂。临床样本的浓度水平应覆盖申报试剂的测量区间。在性能建立时，建议对每个样本重复检测，以平均值或中位数进行回归分析。</w:t>
      </w:r>
    </w:p>
    <w:p w14:paraId="4B18E744">
      <w:pPr>
        <w:adjustRightInd w:val="0"/>
        <w:snapToGrid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4.2.4.2精密度</w:t>
      </w:r>
    </w:p>
    <w:p w14:paraId="156D04FB">
      <w:pPr>
        <w:adjustRightInd w:val="0"/>
        <w:snapToGrid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精密度包括重复性、中间精密度、批间差和再现性。影响精密度的条件包括：操作者、测量仪器、测量程序、试剂批次、校准（校准品批次，校准周期）、运行、时间、地点、环境条件（实验室温度、湿度等）等。</w:t>
      </w:r>
    </w:p>
    <w:p w14:paraId="1264CC88">
      <w:pPr>
        <w:adjustRightInd w:val="0"/>
        <w:snapToGrid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应根据各测量条件对检测结果影响程度的分析，设计合理的精密度试验方案进行评价，包括重复性、实验室内精密度、实验室间精密度、批间精密度。</w:t>
      </w:r>
    </w:p>
    <w:p w14:paraId="40072B7D">
      <w:pPr>
        <w:adjustRightInd w:val="0"/>
        <w:snapToGrid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精密度研究用样本一般为临床样本或其混合物。样本浓度一般包括测量区间高、中、低在内的3～5个水平，应有医学决定水平或参考区间上/下限浓度附近的样本。精密度研究可能涉及多天、多地点检测，应确保样本的稳定性和一致性，可将样本等分保存。</w:t>
      </w:r>
    </w:p>
    <w:p w14:paraId="6E1C2915">
      <w:pPr>
        <w:overflowPunct w:val="0"/>
        <w:adjustRightInd w:val="0"/>
        <w:snapToGrid w:val="0"/>
        <w:spacing w:line="520" w:lineRule="exact"/>
        <w:ind w:firstLine="640" w:firstLineChars="200"/>
        <w:rPr>
          <w:rFonts w:ascii="Times New Roman" w:hAnsi="Times New Roman" w:eastAsia="仿宋_GB2312" w:cs="仿宋_GB2312"/>
          <w:kern w:val="0"/>
          <w:sz w:val="32"/>
          <w:szCs w:val="32"/>
        </w:rPr>
      </w:pPr>
      <w:r>
        <w:rPr>
          <w:rFonts w:hint="eastAsia" w:ascii="Times New Roman" w:hAnsi="Times New Roman" w:eastAsia="仿宋_GB2312" w:cs="仿宋_GB2312"/>
          <w:kern w:val="0"/>
          <w:sz w:val="32"/>
          <w:szCs w:val="32"/>
        </w:rPr>
        <w:t>4.2.5空白限、检出限及定量限</w:t>
      </w:r>
    </w:p>
    <w:p w14:paraId="49610031">
      <w:pPr>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空白限、检出限和定量限的研究包括建立和验证两个过程，采用多个批次试剂进行研究。</w:t>
      </w:r>
    </w:p>
    <w:p w14:paraId="2951317E">
      <w:pPr>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研究方法可参考《定量检测体外诊断试剂分析性能评估注册审查指导原则》中的相关内容。</w:t>
      </w:r>
    </w:p>
    <w:p w14:paraId="2AE47283">
      <w:pPr>
        <w:adjustRightInd w:val="0"/>
        <w:snapToGrid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4.2.6分析特异性</w:t>
      </w:r>
    </w:p>
    <w:p w14:paraId="1909C6DC">
      <w:pPr>
        <w:adjustRightInd w:val="0"/>
        <w:snapToGrid w:val="0"/>
        <w:spacing w:line="520" w:lineRule="exact"/>
        <w:ind w:firstLine="640" w:firstLineChars="200"/>
        <w:rPr>
          <w:rFonts w:ascii="Times New Roman" w:hAnsi="Times New Roman" w:eastAsia="仿宋_GB2312" w:cs="仿宋_GB2312"/>
          <w:kern w:val="0"/>
          <w:sz w:val="32"/>
          <w:szCs w:val="32"/>
        </w:rPr>
      </w:pPr>
      <w:r>
        <w:rPr>
          <w:rFonts w:hint="eastAsia" w:ascii="Times New Roman" w:hAnsi="Times New Roman" w:eastAsia="仿宋_GB2312" w:cs="仿宋_GB2312"/>
          <w:kern w:val="0"/>
          <w:sz w:val="32"/>
          <w:szCs w:val="32"/>
        </w:rPr>
        <w:t>申请人可参考相关研究文献，并结合实际情况分析待测样本中及试剂使用过程中潜在的干扰物质和交叉反应。</w:t>
      </w:r>
    </w:p>
    <w:p w14:paraId="271EB366">
      <w:pPr>
        <w:adjustRightInd w:val="0"/>
        <w:snapToGrid w:val="0"/>
        <w:spacing w:line="520" w:lineRule="exact"/>
        <w:ind w:firstLine="640" w:firstLineChars="200"/>
        <w:rPr>
          <w:rFonts w:ascii="Times New Roman" w:hAnsi="Times New Roman" w:eastAsia="仿宋_GB2312" w:cs="仿宋_GB2312"/>
          <w:kern w:val="0"/>
          <w:sz w:val="32"/>
          <w:szCs w:val="32"/>
        </w:rPr>
      </w:pPr>
      <w:r>
        <w:rPr>
          <w:rFonts w:hint="eastAsia" w:ascii="Times New Roman" w:hAnsi="Times New Roman" w:eastAsia="仿宋_GB2312" w:cs="仿宋_GB2312"/>
          <w:kern w:val="0"/>
          <w:sz w:val="32"/>
          <w:szCs w:val="32"/>
        </w:rPr>
        <w:t>4.2.6.1交叉反应</w:t>
      </w:r>
    </w:p>
    <w:p w14:paraId="5FD522D9">
      <w:pPr>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交叉反应研究需</w:t>
      </w:r>
      <w:r>
        <w:rPr>
          <w:rFonts w:ascii="Times New Roman" w:hAnsi="Times New Roman" w:eastAsia="仿宋_GB2312"/>
          <w:sz w:val="32"/>
          <w:szCs w:val="32"/>
        </w:rPr>
        <w:t>对</w:t>
      </w:r>
      <w:r>
        <w:rPr>
          <w:rFonts w:hint="eastAsia" w:ascii="Times New Roman" w:hAnsi="Times New Roman" w:eastAsia="仿宋_GB2312"/>
          <w:sz w:val="32"/>
          <w:szCs w:val="32"/>
        </w:rPr>
        <w:t>可能的交叉反应物质进行检测，对检测结果设定合理的接受范围，如果超出接受范围，可认为该物质产生交叉反应，应评估该物质浓度与交叉程度之间的关系。如检测结果在接受范围内，可认为该浓度的物质不产生交叉反应，应明确不产生交叉反应的物质浓度上限。</w:t>
      </w:r>
    </w:p>
    <w:p w14:paraId="0EA6D406">
      <w:pPr>
        <w:spacing w:line="520" w:lineRule="exact"/>
        <w:ind w:firstLine="640" w:firstLineChars="200"/>
        <w:rPr>
          <w:rFonts w:ascii="Times New Roman" w:hAnsi="Times New Roman" w:cs="黑体"/>
          <w:sz w:val="28"/>
          <w:szCs w:val="28"/>
        </w:rPr>
      </w:pPr>
      <w:r>
        <w:rPr>
          <w:rFonts w:hint="eastAsia" w:ascii="Times New Roman" w:hAnsi="Times New Roman" w:eastAsia="仿宋_GB2312"/>
          <w:sz w:val="32"/>
          <w:szCs w:val="32"/>
        </w:rPr>
        <w:t>本产品常见的交叉反应物质如甲胎蛋白、甲状腺结合球蛋白、甲状腺球蛋白、转铁蛋白、雌二醇、睾酮、二氢睾酮、层粘连蛋白、皮质醇、皮质类固醇结合球蛋白等，申请人也可依据申报产品特性选择其他抗体物质开展交叉试验。</w:t>
      </w:r>
    </w:p>
    <w:p w14:paraId="3120A0F4">
      <w:pPr>
        <w:adjustRightInd w:val="0"/>
        <w:snapToGrid w:val="0"/>
        <w:spacing w:line="520" w:lineRule="exact"/>
        <w:ind w:firstLine="640" w:firstLineChars="200"/>
        <w:rPr>
          <w:rFonts w:ascii="Times New Roman" w:hAnsi="Times New Roman" w:eastAsia="仿宋_GB2312" w:cs="仿宋_GB2312"/>
          <w:kern w:val="0"/>
          <w:sz w:val="32"/>
          <w:szCs w:val="32"/>
        </w:rPr>
      </w:pPr>
      <w:r>
        <w:rPr>
          <w:rFonts w:hint="eastAsia" w:ascii="Times New Roman" w:hAnsi="Times New Roman" w:eastAsia="仿宋_GB2312" w:cs="仿宋_GB2312"/>
          <w:kern w:val="0"/>
          <w:sz w:val="32"/>
          <w:szCs w:val="32"/>
        </w:rPr>
        <w:t>4.2.6.2干扰物质</w:t>
      </w:r>
    </w:p>
    <w:p w14:paraId="4BCB8203">
      <w:pPr>
        <w:adjustRightInd w:val="0"/>
        <w:snapToGrid w:val="0"/>
        <w:spacing w:line="520" w:lineRule="exact"/>
        <w:ind w:firstLine="640" w:firstLineChars="200"/>
        <w:rPr>
          <w:rFonts w:ascii="Times New Roman" w:hAnsi="Times New Roman" w:eastAsia="仿宋_GB2312" w:cs="仿宋_GB2312"/>
          <w:kern w:val="0"/>
          <w:sz w:val="32"/>
          <w:szCs w:val="32"/>
        </w:rPr>
      </w:pPr>
      <w:r>
        <w:rPr>
          <w:rFonts w:hint="eastAsia" w:ascii="Times New Roman" w:hAnsi="Times New Roman" w:eastAsia="仿宋_GB2312" w:cs="仿宋_GB2312"/>
          <w:kern w:val="0"/>
          <w:sz w:val="32"/>
          <w:szCs w:val="32"/>
        </w:rPr>
        <w:t>干扰物质研究应当考虑常见的内源性干扰、外源性干扰和已有报道的干扰物质等对产品检测结果的影响。</w:t>
      </w:r>
      <w:r>
        <w:rPr>
          <w:rFonts w:hint="eastAsia" w:ascii="Times New Roman" w:hAnsi="Times New Roman" w:eastAsia="仿宋_GB2312" w:cs="仿宋_GB2312"/>
          <w:sz w:val="32"/>
          <w:szCs w:val="32"/>
        </w:rPr>
        <w:t>可采用添加干扰物质的临床样本进行研究，如果干扰物质的基质与适用样本不同，则添加量宜少于总体积的</w:t>
      </w:r>
      <w:r>
        <w:rPr>
          <w:rFonts w:ascii="Times New Roman" w:hAnsi="Times New Roman" w:eastAsia="仿宋_GB2312" w:cs="仿宋_GB2312"/>
          <w:sz w:val="32"/>
          <w:szCs w:val="32"/>
        </w:rPr>
        <w:t>5%</w:t>
      </w:r>
      <w:r>
        <w:rPr>
          <w:rFonts w:hint="eastAsia" w:ascii="Times New Roman" w:hAnsi="Times New Roman" w:eastAsia="仿宋_GB2312" w:cs="仿宋_GB2312"/>
          <w:sz w:val="32"/>
          <w:szCs w:val="32"/>
        </w:rPr>
        <w:t>（溶解度允许条件下），并尽量使用接近体内循环形式的样品或纯品。</w:t>
      </w:r>
    </w:p>
    <w:p w14:paraId="594790F8">
      <w:pPr>
        <w:adjustRightInd w:val="0"/>
        <w:snapToGrid w:val="0"/>
        <w:spacing w:line="520" w:lineRule="exact"/>
        <w:ind w:firstLine="640" w:firstLineChars="200"/>
        <w:rPr>
          <w:rFonts w:ascii="Times New Roman" w:hAnsi="Times New Roman" w:eastAsia="仿宋_GB2312" w:cs="仿宋_GB2312"/>
          <w:kern w:val="0"/>
          <w:sz w:val="32"/>
          <w:szCs w:val="32"/>
        </w:rPr>
      </w:pPr>
      <w:r>
        <w:rPr>
          <w:rFonts w:hint="eastAsia" w:ascii="Times New Roman" w:hAnsi="Times New Roman" w:eastAsia="仿宋_GB2312" w:cs="仿宋_GB2312"/>
          <w:kern w:val="0"/>
          <w:sz w:val="32"/>
          <w:szCs w:val="32"/>
        </w:rPr>
        <w:t>常见的内源性干扰物质包括胆红素、血红蛋白、甘油三酯、生物素、类风湿因子、总蛋白、异嗜性抗体等，常见的外源性干扰物质主要为常见相关治疗药物，如对乙酰氨基酚、阿司匹林、氢化可的松、布洛芬等。</w:t>
      </w:r>
    </w:p>
    <w:p w14:paraId="299158CE">
      <w:pPr>
        <w:adjustRightInd w:val="0"/>
        <w:snapToGrid w:val="0"/>
        <w:spacing w:line="520" w:lineRule="exact"/>
        <w:ind w:firstLine="640" w:firstLineChars="200"/>
        <w:rPr>
          <w:rFonts w:ascii="Times New Roman" w:hAnsi="Times New Roman" w:eastAsia="仿宋_GB2312" w:cs="仿宋_GB2312"/>
          <w:kern w:val="0"/>
          <w:sz w:val="32"/>
          <w:szCs w:val="32"/>
        </w:rPr>
      </w:pPr>
      <w:r>
        <w:rPr>
          <w:rFonts w:hint="eastAsia" w:ascii="Times New Roman" w:hAnsi="Times New Roman" w:eastAsia="仿宋_GB2312" w:cs="仿宋_GB2312"/>
          <w:kern w:val="0"/>
          <w:sz w:val="32"/>
          <w:szCs w:val="32"/>
        </w:rPr>
        <w:t>资料中所提到的干扰物质，其干扰程度均不应使用模糊的描述方式，而应细化到干扰量，并提供相应的试验数据予以支持。</w:t>
      </w:r>
    </w:p>
    <w:p w14:paraId="4808A117">
      <w:pPr>
        <w:adjustRightInd w:val="0"/>
        <w:snapToGrid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4.2.7 高剂量钩状效应（如适用）</w:t>
      </w:r>
    </w:p>
    <w:p w14:paraId="0E18C96C">
      <w:pPr>
        <w:adjustRightInd w:val="0"/>
        <w:snapToGrid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检测含有极高浓度的待测物的样本时，饱和反应可能导致检测浓度值低于真实值。建议对多个含有高浓度分析物的样本进行梯度稀释后由低浓度至高浓度检测，每个梯度的稀释液重复多份进行检测，明确不产生钩状效应的最高分析物浓度。</w:t>
      </w:r>
    </w:p>
    <w:p w14:paraId="67F3F472">
      <w:pPr>
        <w:adjustRightInd w:val="0"/>
        <w:snapToGrid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4.2.8测量区间及可报告区间</w:t>
      </w:r>
    </w:p>
    <w:p w14:paraId="14F5ACCE">
      <w:pPr>
        <w:adjustRightInd w:val="0"/>
        <w:snapToGrid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4.2.8.1线性区间</w:t>
      </w:r>
    </w:p>
    <w:p w14:paraId="2FF32A30">
      <w:pPr>
        <w:adjustRightInd w:val="0"/>
        <w:snapToGrid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线性区间的研究，需采用高值和零浓度/低值样本配制一系列不同浓度的样本。样本基质应尽可能与临床实际检测的样本一致，理想的样本为分析物浓度接近预期测定上限的混合临床样本，且应充分考虑多倍稀释对样本基质的影响。</w:t>
      </w:r>
    </w:p>
    <w:p w14:paraId="1EA634A1">
      <w:pPr>
        <w:pStyle w:val="2"/>
        <w:spacing w:line="520" w:lineRule="exact"/>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4.2.8.1.1线性区间的建立</w:t>
      </w:r>
    </w:p>
    <w:p w14:paraId="693DB903">
      <w:pPr>
        <w:adjustRightInd w:val="0"/>
        <w:snapToGrid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当建立试剂的线性区间时，需配制较预期线性区间更宽的至少9个左右不同浓度的样本（不包括零浓度样本），每个样本进行多次重复检测，根据可接受线性偏差和各浓度的重复性，确定检测次数。采用重复检测均值和预期值进行直线回归分析，建议采用加权最小二乘回归等分析方法，提供散点图、线性回归方程、线性相关系数（r）及线性偏差，判断结果是否满足可接受标准。</w:t>
      </w:r>
    </w:p>
    <w:p w14:paraId="7FEF8E97">
      <w:pPr>
        <w:pStyle w:val="2"/>
        <w:spacing w:line="520" w:lineRule="exact"/>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4.2.8.1.2线性区间的验证</w:t>
      </w:r>
    </w:p>
    <w:p w14:paraId="243E2347">
      <w:pPr>
        <w:adjustRightInd w:val="0"/>
        <w:snapToGrid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当验证试剂的线性区间时，需配制覆盖整个线性区间的至少5个不同浓度的样本，每个样本至少重复检测2次。</w:t>
      </w:r>
    </w:p>
    <w:p w14:paraId="7EDC2E56">
      <w:pPr>
        <w:adjustRightInd w:val="0"/>
        <w:snapToGrid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4.2.8.2测量区间</w:t>
      </w:r>
    </w:p>
    <w:p w14:paraId="5FEA8763">
      <w:pPr>
        <w:adjustRightInd w:val="0"/>
        <w:snapToGrid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sz w:val="32"/>
          <w:szCs w:val="32"/>
        </w:rPr>
        <w:t>测量区间，也称分析测量区间，在该区间内，临床样本在未经稀释、浓缩，或非常规测量程序中步骤的其他前处理情况下，检测结果的线性偏差、不精密度和偏倚均在可接受范围内。测量</w:t>
      </w:r>
      <w:r>
        <w:rPr>
          <w:rFonts w:ascii="Times New Roman" w:hAnsi="Times New Roman" w:eastAsia="仿宋_GB2312"/>
          <w:sz w:val="32"/>
          <w:szCs w:val="32"/>
        </w:rPr>
        <w:t>区间</w:t>
      </w:r>
      <w:r>
        <w:rPr>
          <w:rFonts w:hint="eastAsia" w:ascii="Times New Roman" w:hAnsi="Times New Roman" w:eastAsia="仿宋_GB2312"/>
          <w:sz w:val="32"/>
          <w:szCs w:val="32"/>
        </w:rPr>
        <w:t>下限为定量限，</w:t>
      </w:r>
      <w:r>
        <w:rPr>
          <w:rFonts w:ascii="Times New Roman" w:hAnsi="Times New Roman" w:eastAsia="仿宋_GB2312"/>
          <w:sz w:val="32"/>
          <w:szCs w:val="32"/>
        </w:rPr>
        <w:t>线性</w:t>
      </w:r>
      <w:r>
        <w:rPr>
          <w:rFonts w:hint="eastAsia" w:ascii="Times New Roman" w:hAnsi="Times New Roman" w:eastAsia="仿宋_GB2312"/>
          <w:sz w:val="32"/>
          <w:szCs w:val="32"/>
        </w:rPr>
        <w:t>区间</w:t>
      </w:r>
      <w:r>
        <w:rPr>
          <w:rFonts w:ascii="Times New Roman" w:hAnsi="Times New Roman" w:eastAsia="仿宋_GB2312"/>
          <w:sz w:val="32"/>
          <w:szCs w:val="32"/>
        </w:rPr>
        <w:t>包含测量区间。</w:t>
      </w:r>
    </w:p>
    <w:p w14:paraId="4358BB67">
      <w:pPr>
        <w:pStyle w:val="2"/>
        <w:spacing w:line="520" w:lineRule="exact"/>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4.2.8.3可报告区间</w:t>
      </w:r>
    </w:p>
    <w:p w14:paraId="3E1A4179">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如对超出测量区间上限浓度的样本可进行稀释后检测，应研究合适的稀释液和稀释倍数，从而确定试剂的可报告区间，可报告区间上限为测量区间上限×稀释倍数。</w:t>
      </w:r>
    </w:p>
    <w:p w14:paraId="104E9DBF">
      <w:pPr>
        <w:pStyle w:val="34"/>
        <w:spacing w:line="520" w:lineRule="exact"/>
        <w:ind w:firstLine="640" w:firstLineChars="200"/>
        <w:jc w:val="both"/>
        <w:rPr>
          <w:rFonts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5.稳定性研究</w:t>
      </w:r>
    </w:p>
    <w:p w14:paraId="3306533F">
      <w:pPr>
        <w:spacing w:line="520" w:lineRule="exact"/>
        <w:ind w:firstLine="640" w:firstLineChars="200"/>
        <w:contextualSpacing/>
        <w:rPr>
          <w:rFonts w:ascii="Times New Roman" w:hAnsi="Times New Roman" w:eastAsia="仿宋_GB2312"/>
          <w:bCs/>
          <w:sz w:val="32"/>
          <w:szCs w:val="32"/>
        </w:rPr>
      </w:pPr>
      <w:r>
        <w:rPr>
          <w:rFonts w:ascii="Times New Roman" w:hAnsi="Times New Roman" w:eastAsia="仿宋_GB2312"/>
          <w:bCs/>
          <w:sz w:val="32"/>
          <w:szCs w:val="32"/>
        </w:rPr>
        <w:t>稳定性研究主要包括实时稳定性、开瓶（复溶）稳定性、</w:t>
      </w:r>
      <w:r>
        <w:rPr>
          <w:rFonts w:hint="eastAsia" w:ascii="Times New Roman" w:hAnsi="Times New Roman" w:eastAsia="仿宋_GB2312"/>
          <w:bCs/>
          <w:sz w:val="32"/>
          <w:szCs w:val="32"/>
        </w:rPr>
        <w:t>冻融次数（如适用）、</w:t>
      </w:r>
      <w:r>
        <w:rPr>
          <w:rFonts w:ascii="Times New Roman" w:hAnsi="Times New Roman" w:eastAsia="仿宋_GB2312"/>
          <w:sz w:val="32"/>
          <w:szCs w:val="32"/>
        </w:rPr>
        <w:t>机载稳定性（如涉及）、</w:t>
      </w:r>
      <w:r>
        <w:rPr>
          <w:rFonts w:hint="eastAsia" w:ascii="Times New Roman" w:hAnsi="Times New Roman" w:eastAsia="仿宋_GB2312"/>
          <w:bCs/>
          <w:sz w:val="32"/>
          <w:szCs w:val="32"/>
        </w:rPr>
        <w:t>运输稳定性</w:t>
      </w:r>
      <w:r>
        <w:rPr>
          <w:rFonts w:ascii="Times New Roman" w:hAnsi="Times New Roman" w:eastAsia="仿宋_GB2312"/>
          <w:bCs/>
          <w:sz w:val="32"/>
          <w:szCs w:val="32"/>
        </w:rPr>
        <w:t>等研究，申请人可根据实际需要选择合理的稳定性研究方案</w:t>
      </w:r>
      <w:r>
        <w:rPr>
          <w:rFonts w:hint="eastAsia" w:ascii="Times New Roman" w:hAnsi="Times New Roman" w:eastAsia="仿宋_GB2312"/>
          <w:sz w:val="32"/>
          <w:szCs w:val="32"/>
        </w:rPr>
        <w:t>，可参考《体外诊断试剂稳定性研究注册审查指导原则》</w:t>
      </w:r>
      <w:r>
        <w:rPr>
          <w:rFonts w:ascii="Times New Roman" w:hAnsi="Times New Roman" w:eastAsia="仿宋_GB2312"/>
          <w:bCs/>
          <w:sz w:val="32"/>
          <w:szCs w:val="32"/>
        </w:rPr>
        <w:t>。</w:t>
      </w:r>
    </w:p>
    <w:p w14:paraId="14B46DD5">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稳定性研究资料应包括研究方法的确定依据、具体的</w:t>
      </w:r>
      <w:r>
        <w:rPr>
          <w:rFonts w:hint="eastAsia" w:ascii="Times New Roman" w:hAnsi="Times New Roman" w:eastAsia="仿宋_GB2312"/>
          <w:sz w:val="32"/>
          <w:szCs w:val="32"/>
        </w:rPr>
        <w:t>试验</w:t>
      </w:r>
      <w:r>
        <w:rPr>
          <w:rFonts w:ascii="Times New Roman" w:hAnsi="Times New Roman" w:eastAsia="仿宋_GB2312"/>
          <w:sz w:val="32"/>
          <w:szCs w:val="32"/>
        </w:rPr>
        <w:t>方案、</w:t>
      </w:r>
      <w:r>
        <w:rPr>
          <w:rFonts w:ascii="Times New Roman" w:hAnsi="Times New Roman"/>
          <w:sz w:val="32"/>
        </w:rPr>
        <w:drawing>
          <wp:anchor distT="0" distB="0" distL="114300" distR="114300" simplePos="0" relativeHeight="251659264" behindDoc="0" locked="0" layoutInCell="1" allowOverlap="1">
            <wp:simplePos x="0" y="0"/>
            <wp:positionH relativeFrom="column">
              <wp:posOffset>526415</wp:posOffset>
            </wp:positionH>
            <wp:positionV relativeFrom="paragraph">
              <wp:posOffset>606425</wp:posOffset>
            </wp:positionV>
            <wp:extent cx="635" cy="635"/>
            <wp:effectExtent l="0" t="0" r="0" b="0"/>
            <wp:wrapNone/>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6"/>
                    <a:stretch>
                      <a:fillRect/>
                    </a:stretch>
                  </pic:blipFill>
                  <pic:spPr>
                    <a:xfrm>
                      <a:off x="0" y="0"/>
                      <a:ext cx="635" cy="635"/>
                    </a:xfrm>
                    <a:prstGeom prst="rect">
                      <a:avLst/>
                    </a:prstGeom>
                    <a:noFill/>
                    <a:ln>
                      <a:noFill/>
                    </a:ln>
                  </pic:spPr>
                </pic:pic>
              </a:graphicData>
            </a:graphic>
          </wp:anchor>
        </w:drawing>
      </w:r>
      <w:r>
        <w:rPr>
          <w:rFonts w:ascii="Times New Roman" w:hAnsi="Times New Roman" w:eastAsia="仿宋_GB2312"/>
          <w:sz w:val="32"/>
          <w:szCs w:val="32"/>
        </w:rPr>
        <w:t>过程、详细的研究数据以及结论</w:t>
      </w:r>
      <w:r>
        <w:rPr>
          <w:rFonts w:hint="eastAsia" w:ascii="Times New Roman" w:hAnsi="Times New Roman" w:eastAsia="仿宋_GB2312"/>
          <w:sz w:val="32"/>
          <w:szCs w:val="32"/>
        </w:rPr>
        <w:t>。</w:t>
      </w:r>
    </w:p>
    <w:p w14:paraId="68E644F7">
      <w:pPr>
        <w:spacing w:line="520" w:lineRule="exact"/>
        <w:ind w:firstLine="640" w:firstLineChars="200"/>
        <w:contextualSpacing/>
        <w:rPr>
          <w:rFonts w:ascii="Times New Roman" w:hAnsi="Times New Roman" w:eastAsia="仿宋_GB2312" w:cs="仿宋_GB2312"/>
          <w:sz w:val="32"/>
          <w:szCs w:val="32"/>
        </w:rPr>
      </w:pPr>
      <w:r>
        <w:rPr>
          <w:rFonts w:ascii="Times New Roman" w:hAnsi="Times New Roman" w:eastAsia="仿宋_GB2312"/>
          <w:sz w:val="32"/>
          <w:szCs w:val="32"/>
        </w:rPr>
        <w:t>对于实时稳定性研究，应提供至少三批样品在实际储存条件下保存至成品有效期后的稳定性研究资料。</w:t>
      </w:r>
      <w:r>
        <w:rPr>
          <w:rFonts w:hint="eastAsia" w:ascii="Times New Roman" w:hAnsi="Times New Roman" w:eastAsia="仿宋_GB2312"/>
          <w:sz w:val="32"/>
          <w:szCs w:val="32"/>
        </w:rPr>
        <w:t>运输稳定性研究，应提交运输后产品至效期后的稳定性研究资料。</w:t>
      </w:r>
    </w:p>
    <w:p w14:paraId="64F0A799">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6.参考区间研究</w:t>
      </w:r>
    </w:p>
    <w:p w14:paraId="7F5A79B0">
      <w:pPr>
        <w:pStyle w:val="2"/>
        <w:spacing w:line="520" w:lineRule="exact"/>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应当详细说明参考区间确定的方法或依据，提交建立或验证参考区间所采用样本来源及详细的试验资料，可参考《体外诊断试剂参考区间确定注册审查指导原则》。</w:t>
      </w:r>
    </w:p>
    <w:p w14:paraId="4CFB3E5C">
      <w:pPr>
        <w:pStyle w:val="2"/>
        <w:spacing w:line="520" w:lineRule="exact"/>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应明确参考人群的筛选标准，研究各组（如性别、年龄等）例数应符合统计学要求。保证建立参考区间的样本数量符合统计学要求。应根据性激素结合球蛋白的特征，合理设计分组条件，例如按照性别、年龄、是否绝经等因素分组。</w:t>
      </w:r>
    </w:p>
    <w:p w14:paraId="5D943F23">
      <w:pPr>
        <w:autoSpaceDE w:val="0"/>
        <w:spacing w:line="520" w:lineRule="exact"/>
        <w:ind w:firstLine="640" w:firstLineChars="200"/>
        <w:rPr>
          <w:rFonts w:ascii="Times New Roman" w:hAnsi="Times New Roman" w:eastAsia="仿宋_GB2312" w:cs="仿宋_GB2312"/>
          <w:kern w:val="0"/>
          <w:sz w:val="32"/>
          <w:szCs w:val="32"/>
        </w:rPr>
      </w:pPr>
      <w:r>
        <w:rPr>
          <w:rFonts w:hint="eastAsia" w:ascii="Times New Roman" w:hAnsi="Times New Roman" w:eastAsia="仿宋_GB2312" w:cs="仿宋_GB2312"/>
          <w:kern w:val="0"/>
          <w:sz w:val="32"/>
          <w:szCs w:val="32"/>
        </w:rPr>
        <w:t>参考区间研究结果应在说明书【参考区间】项中进行相应说明。</w:t>
      </w:r>
    </w:p>
    <w:p w14:paraId="1B471B40">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7.其他资料</w:t>
      </w:r>
    </w:p>
    <w:p w14:paraId="11ED318E">
      <w:pPr>
        <w:spacing w:line="520" w:lineRule="exact"/>
        <w:ind w:firstLine="640" w:firstLineChars="200"/>
        <w:rPr>
          <w:rFonts w:ascii="Times New Roman" w:hAnsi="Times New Roman" w:eastAsia="仿宋_GB2312" w:cs="仿宋_GB2312"/>
          <w:sz w:val="32"/>
          <w:szCs w:val="32"/>
        </w:rPr>
      </w:pPr>
      <w:bookmarkStart w:id="6" w:name="_Toc351449688"/>
      <w:bookmarkStart w:id="7" w:name="_Toc318979009"/>
      <w:r>
        <w:rPr>
          <w:rFonts w:hint="eastAsia" w:ascii="Times New Roman" w:hAnsi="Times New Roman" w:eastAsia="仿宋_GB2312" w:cs="仿宋_GB2312"/>
          <w:sz w:val="32"/>
          <w:szCs w:val="32"/>
        </w:rPr>
        <w:t>7.1主要原材料研究资料和生产工艺研究资料（如适用）</w:t>
      </w:r>
    </w:p>
    <w:p w14:paraId="5392DD1E">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产品注册申报时无需提交；由申请人保存，技术审评需要时应提交。主要原材料的研究资料包括主要原材料的来源、选择、制备方法的研究资料，质量分析证书，主要原材料质量标准的制定和检验资料。如适用，提交企业参考品的研究资料，包括来源、组成、量值确认等。</w:t>
      </w:r>
    </w:p>
    <w:p w14:paraId="44399B25">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生产工艺的研究资料包括工作液的配制、分装和冻干,固相载体的包被，结合物的制备，显色/发光等结果放大系统的确定等。</w:t>
      </w:r>
    </w:p>
    <w:p w14:paraId="7101ACB6">
      <w:pPr>
        <w:spacing w:line="520" w:lineRule="exact"/>
        <w:ind w:firstLine="640" w:firstLineChars="200"/>
        <w:rPr>
          <w:rFonts w:ascii="Times New Roman" w:hAnsi="Times New Roman" w:eastAsia="仿宋_GB2312"/>
          <w:kern w:val="0"/>
          <w:sz w:val="32"/>
          <w:szCs w:val="32"/>
        </w:rPr>
      </w:pPr>
      <w:r>
        <w:rPr>
          <w:rFonts w:hint="eastAsia" w:ascii="Times New Roman" w:hAnsi="Times New Roman" w:eastAsia="仿宋_GB2312" w:cs="仿宋_GB2312"/>
          <w:kern w:val="0"/>
          <w:sz w:val="32"/>
          <w:szCs w:val="32"/>
        </w:rPr>
        <w:t>7.2三批产品的生产及自检记录。</w:t>
      </w:r>
    </w:p>
    <w:p w14:paraId="684BACE3">
      <w:pPr>
        <w:spacing w:line="520" w:lineRule="exact"/>
        <w:ind w:firstLine="640" w:firstLineChars="200"/>
        <w:rPr>
          <w:rFonts w:ascii="Times New Roman" w:hAnsi="Times New Roman" w:eastAsia="楷体_GB2312" w:cs="楷体_GB2312"/>
          <w:kern w:val="0"/>
          <w:sz w:val="32"/>
          <w:szCs w:val="32"/>
        </w:rPr>
      </w:pPr>
      <w:r>
        <w:rPr>
          <w:rFonts w:hint="eastAsia" w:ascii="Times New Roman" w:hAnsi="Times New Roman" w:eastAsia="楷体_GB2312" w:cs="楷体_GB2312"/>
          <w:kern w:val="0"/>
          <w:sz w:val="32"/>
          <w:szCs w:val="32"/>
        </w:rPr>
        <w:t xml:space="preserve">（四）临床评价资料 </w:t>
      </w:r>
    </w:p>
    <w:p w14:paraId="3A347A86">
      <w:pPr>
        <w:spacing w:line="520" w:lineRule="exact"/>
        <w:ind w:firstLine="640" w:firstLineChars="200"/>
        <w:rPr>
          <w:rFonts w:ascii="Times New Roman" w:hAnsi="Times New Roman" w:eastAsia="仿宋_GB2312" w:cs="仿宋_GB2312"/>
          <w:kern w:val="0"/>
          <w:sz w:val="32"/>
          <w:szCs w:val="32"/>
        </w:rPr>
      </w:pPr>
      <w:r>
        <w:rPr>
          <w:rFonts w:hint="eastAsia" w:ascii="Times New Roman" w:hAnsi="Times New Roman" w:eastAsia="仿宋_GB2312" w:cs="仿宋_GB2312"/>
          <w:kern w:val="0"/>
          <w:sz w:val="32"/>
          <w:szCs w:val="32"/>
        </w:rPr>
        <w:t>该产品列入《免于临床试验体外诊断试剂目录》，申请人应按照《免于临床试验的体外诊断试剂临床评价技术指导原则》提交临床评价资料。</w:t>
      </w:r>
    </w:p>
    <w:p w14:paraId="0A4D3C67">
      <w:pPr>
        <w:spacing w:line="520" w:lineRule="exact"/>
        <w:ind w:firstLine="640" w:firstLineChars="200"/>
        <w:rPr>
          <w:rFonts w:ascii="Times New Roman" w:hAnsi="Times New Roman" w:eastAsia="仿宋_GB2312" w:cs="仿宋_GB2312"/>
          <w:kern w:val="0"/>
          <w:sz w:val="32"/>
          <w:szCs w:val="32"/>
        </w:rPr>
      </w:pPr>
      <w:r>
        <w:rPr>
          <w:rFonts w:hint="eastAsia" w:ascii="Times New Roman" w:hAnsi="Times New Roman" w:eastAsia="仿宋_GB2312" w:cs="仿宋_GB2312"/>
          <w:kern w:val="0"/>
          <w:sz w:val="32"/>
          <w:szCs w:val="32"/>
        </w:rPr>
        <w:t>如申请人申请的产品超出《免于临床试验体外诊断试剂目录》描述的范围，或不能证明与已获准境内注册的产品具有基本等同性，应按照《体外诊断试剂临床试验技术指导原则》提交临床试验资料。</w:t>
      </w:r>
    </w:p>
    <w:p w14:paraId="5012E71A">
      <w:pPr>
        <w:numPr>
          <w:ilvl w:val="0"/>
          <w:numId w:val="1"/>
        </w:numPr>
        <w:tabs>
          <w:tab w:val="left" w:pos="6720"/>
        </w:tabs>
        <w:spacing w:line="520" w:lineRule="exact"/>
        <w:ind w:firstLine="640" w:firstLineChars="200"/>
        <w:outlineLvl w:val="0"/>
        <w:rPr>
          <w:rFonts w:ascii="Times New Roman" w:hAnsi="Times New Roman" w:eastAsia="楷体_GB2312" w:cs="楷体_GB2312"/>
          <w:sz w:val="32"/>
          <w:szCs w:val="32"/>
        </w:rPr>
      </w:pPr>
      <w:r>
        <w:rPr>
          <w:rFonts w:hint="eastAsia" w:ascii="Times New Roman" w:hAnsi="Times New Roman" w:eastAsia="楷体_GB2312" w:cs="楷体_GB2312"/>
          <w:sz w:val="32"/>
          <w:szCs w:val="32"/>
        </w:rPr>
        <w:t xml:space="preserve">产品说明书和标签样稿 </w:t>
      </w:r>
    </w:p>
    <w:p w14:paraId="0038A651">
      <w:pPr>
        <w:spacing w:line="520" w:lineRule="exact"/>
        <w:ind w:firstLine="640" w:firstLineChars="200"/>
        <w:rPr>
          <w:rFonts w:ascii="Times New Roman" w:hAnsi="Times New Roman" w:eastAsia="仿宋_GB2312" w:cs="仿宋_GB2312"/>
          <w:kern w:val="0"/>
          <w:sz w:val="32"/>
          <w:szCs w:val="32"/>
        </w:rPr>
      </w:pPr>
      <w:r>
        <w:rPr>
          <w:rFonts w:hint="eastAsia" w:ascii="Times New Roman" w:hAnsi="Times New Roman" w:eastAsia="仿宋_GB2312" w:cs="仿宋_GB2312"/>
          <w:kern w:val="0"/>
          <w:sz w:val="32"/>
          <w:szCs w:val="32"/>
        </w:rPr>
        <w:t>产品说明书的格式应符合《体外诊断试剂说明书编写指导原则》的要求。产品说明书的所有内容均应与申请人提交的注册申报资料中的相关研究结果保持一致，如某些内容引用自参考文献，则应以规范格式对此内容进行标注，并单独列明参考文献的相关信息。</w:t>
      </w:r>
    </w:p>
    <w:p w14:paraId="18512B0C">
      <w:pPr>
        <w:spacing w:line="520" w:lineRule="exact"/>
        <w:ind w:firstLine="640" w:firstLineChars="200"/>
        <w:rPr>
          <w:rFonts w:ascii="Times New Roman" w:hAnsi="Times New Roman" w:eastAsia="仿宋_GB2312" w:cs="仿宋_GB2312"/>
          <w:kern w:val="0"/>
          <w:sz w:val="32"/>
          <w:szCs w:val="32"/>
        </w:rPr>
      </w:pPr>
      <w:r>
        <w:rPr>
          <w:rFonts w:hint="eastAsia" w:ascii="Times New Roman" w:hAnsi="Times New Roman" w:eastAsia="仿宋_GB2312" w:cs="仿宋_GB2312"/>
          <w:kern w:val="0"/>
          <w:sz w:val="32"/>
          <w:szCs w:val="32"/>
        </w:rPr>
        <w:t>以下内容仅对性激素结合球蛋白测定试剂说明书的重点内容进行详细说明，说明书其他内容应根据《体外诊断试剂说明书编写指导原则》要求进行编写。</w:t>
      </w:r>
    </w:p>
    <w:p w14:paraId="7CED38FC">
      <w:pPr>
        <w:overflowPunct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1.【预期用途】</w:t>
      </w:r>
    </w:p>
    <w:p w14:paraId="33B00AA6">
      <w:pPr>
        <w:spacing w:line="520" w:lineRule="exact"/>
        <w:ind w:firstLine="640" w:firstLineChars="200"/>
        <w:outlineLvl w:val="1"/>
        <w:rPr>
          <w:rFonts w:eastAsia="仿宋_GB2312"/>
          <w:sz w:val="32"/>
          <w:szCs w:val="32"/>
        </w:rPr>
      </w:pPr>
      <w:r>
        <w:rPr>
          <w:rFonts w:hint="eastAsia" w:ascii="Times New Roman" w:hAnsi="Times New Roman" w:eastAsia="仿宋_GB2312" w:cs="仿宋_GB2312"/>
          <w:sz w:val="32"/>
          <w:szCs w:val="32"/>
        </w:rPr>
        <w:t>首段内容：用于体外定量检测人血清/血浆中的</w:t>
      </w:r>
      <w:r>
        <w:rPr>
          <w:rFonts w:hint="eastAsia" w:ascii="Times New Roman" w:hAnsi="Times New Roman" w:eastAsia="仿宋_GB2312" w:cs="仿宋_GB2312"/>
          <w:kern w:val="0"/>
          <w:sz w:val="32"/>
          <w:szCs w:val="32"/>
        </w:rPr>
        <w:t>性激素结合球蛋白</w:t>
      </w:r>
      <w:r>
        <w:rPr>
          <w:rFonts w:hint="eastAsia" w:ascii="Times New Roman" w:hAnsi="Times New Roman" w:eastAsia="仿宋_GB2312" w:cs="仿宋_GB2312"/>
          <w:sz w:val="32"/>
          <w:szCs w:val="32"/>
        </w:rPr>
        <w:t>浓度，适用的样本类型应结合非临床研究及临床评价结果进行确认。</w:t>
      </w:r>
    </w:p>
    <w:p w14:paraId="03954BF7">
      <w:pPr>
        <w:spacing w:line="520" w:lineRule="exact"/>
        <w:ind w:firstLine="640" w:firstLineChars="200"/>
        <w:outlineLvl w:val="1"/>
        <w:rPr>
          <w:rFonts w:ascii="Times New Roman" w:hAnsi="Times New Roman" w:eastAsia="仿宋_GB2312" w:cs="仿宋_GB2312"/>
          <w:sz w:val="32"/>
          <w:szCs w:val="32"/>
        </w:rPr>
      </w:pPr>
      <w:r>
        <w:rPr>
          <w:rFonts w:hint="eastAsia" w:ascii="Times New Roman" w:hAnsi="Times New Roman" w:eastAsia="仿宋_GB2312" w:cs="仿宋_GB2312"/>
          <w:sz w:val="32"/>
          <w:szCs w:val="32"/>
        </w:rPr>
        <w:t>第二段应详细说明预期用途。包括适用人群，相关的临床适应证和检测目的等（如适用于</w:t>
      </w:r>
      <w:r>
        <w:rPr>
          <w:rFonts w:ascii="Times New Roman" w:hAnsi="Times New Roman" w:eastAsia="仿宋_GB2312" w:cs="仿宋_GB2312"/>
          <w:sz w:val="32"/>
          <w:szCs w:val="32"/>
        </w:rPr>
        <w:t>XX</w:t>
      </w:r>
      <w:r>
        <w:rPr>
          <w:rFonts w:hint="eastAsia" w:ascii="Times New Roman" w:hAnsi="Times New Roman" w:eastAsia="仿宋_GB2312" w:cs="仿宋_GB2312"/>
          <w:sz w:val="32"/>
          <w:szCs w:val="32"/>
        </w:rPr>
        <w:t>人群的</w:t>
      </w:r>
      <w:r>
        <w:rPr>
          <w:rFonts w:ascii="Times New Roman" w:hAnsi="Times New Roman" w:eastAsia="仿宋_GB2312" w:cs="仿宋_GB2312"/>
          <w:sz w:val="32"/>
          <w:szCs w:val="32"/>
        </w:rPr>
        <w:t>XX</w:t>
      </w:r>
      <w:r>
        <w:rPr>
          <w:rFonts w:hint="eastAsia" w:ascii="Times New Roman" w:hAnsi="Times New Roman" w:eastAsia="仿宋_GB2312" w:cs="仿宋_GB2312"/>
          <w:sz w:val="32"/>
          <w:szCs w:val="32"/>
        </w:rPr>
        <w:t>疾病的辅助诊断、鉴别诊断、筛查或监测等）。</w:t>
      </w:r>
    </w:p>
    <w:p w14:paraId="118FE50D">
      <w:pPr>
        <w:spacing w:line="520" w:lineRule="exact"/>
        <w:ind w:firstLine="640" w:firstLineChars="200"/>
        <w:outlineLvl w:val="1"/>
        <w:rPr>
          <w:rFonts w:ascii="Times New Roman" w:hAnsi="Times New Roman" w:eastAsia="仿宋_GB2312" w:cs="仿宋_GB2312"/>
          <w:sz w:val="32"/>
          <w:szCs w:val="32"/>
        </w:rPr>
      </w:pPr>
      <w:r>
        <w:rPr>
          <w:rFonts w:hint="eastAsia" w:ascii="Times New Roman" w:hAnsi="Times New Roman" w:eastAsia="仿宋_GB2312" w:cs="仿宋_GB2312"/>
          <w:sz w:val="32"/>
          <w:szCs w:val="32"/>
        </w:rPr>
        <w:t>其余段落对被测分析物进行背景介绍、说明</w:t>
      </w:r>
      <w:r>
        <w:rPr>
          <w:rFonts w:ascii="Times New Roman" w:hAnsi="Times New Roman" w:eastAsia="仿宋_GB2312" w:cs="仿宋_GB2312"/>
          <w:sz w:val="32"/>
          <w:szCs w:val="32"/>
        </w:rPr>
        <w:t>相关的临床或实验室诊断方法</w:t>
      </w:r>
      <w:r>
        <w:rPr>
          <w:rFonts w:hint="eastAsia" w:ascii="Times New Roman" w:hAnsi="Times New Roman" w:eastAsia="仿宋_GB2312" w:cs="仿宋_GB2312"/>
          <w:sz w:val="32"/>
          <w:szCs w:val="32"/>
        </w:rPr>
        <w:t>；</w:t>
      </w:r>
      <w:r>
        <w:rPr>
          <w:rFonts w:ascii="Times New Roman" w:hAnsi="Times New Roman" w:eastAsia="仿宋_GB2312" w:cs="仿宋_GB2312"/>
          <w:sz w:val="32"/>
          <w:szCs w:val="32"/>
        </w:rPr>
        <w:t>说明与预期用途相关的临床背景情况</w:t>
      </w:r>
      <w:r>
        <w:rPr>
          <w:rFonts w:hint="eastAsia" w:ascii="Times New Roman" w:hAnsi="Times New Roman" w:eastAsia="仿宋_GB2312" w:cs="仿宋_GB2312"/>
          <w:sz w:val="32"/>
          <w:szCs w:val="32"/>
        </w:rPr>
        <w:t>；说明被测分析物与临床适应证的关系。</w:t>
      </w:r>
    </w:p>
    <w:p w14:paraId="5852DE8A">
      <w:pPr>
        <w:spacing w:line="520" w:lineRule="exact"/>
        <w:ind w:firstLine="640" w:firstLineChars="200"/>
        <w:outlineLvl w:val="1"/>
        <w:rPr>
          <w:rFonts w:ascii="Times New Roman" w:hAnsi="Times New Roman" w:eastAsia="仿宋_GB2312" w:cs="仿宋_GB2312"/>
          <w:sz w:val="32"/>
          <w:szCs w:val="32"/>
        </w:rPr>
      </w:pPr>
      <w:r>
        <w:rPr>
          <w:rFonts w:hint="eastAsia" w:ascii="Times New Roman" w:hAnsi="Times New Roman" w:eastAsia="仿宋_GB2312" w:cs="仿宋_GB2312"/>
          <w:sz w:val="32"/>
          <w:szCs w:val="32"/>
        </w:rPr>
        <w:t>2.【检验原理】</w:t>
      </w:r>
    </w:p>
    <w:p w14:paraId="7E304486">
      <w:pPr>
        <w:spacing w:line="520" w:lineRule="exact"/>
        <w:ind w:firstLine="640" w:firstLineChars="200"/>
        <w:outlineLvl w:val="1"/>
      </w:pPr>
      <w:r>
        <w:rPr>
          <w:rFonts w:hint="eastAsia" w:ascii="Times New Roman" w:hAnsi="Times New Roman" w:eastAsia="仿宋_GB2312" w:cs="仿宋_GB2312"/>
          <w:sz w:val="32"/>
          <w:szCs w:val="32"/>
        </w:rPr>
        <w:t>根据产品采用的方法学说明检验的原理，检测原理的描述应结合产品主要组成成分、被测物和产物的关系进行描述，必要时可结合图示方法描述。</w:t>
      </w:r>
    </w:p>
    <w:p w14:paraId="1CC1B434">
      <w:pPr>
        <w:snapToGrid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3.【主要组成成分】</w:t>
      </w:r>
    </w:p>
    <w:p w14:paraId="4E2AFB8B">
      <w:pPr>
        <w:spacing w:line="520" w:lineRule="exact"/>
        <w:ind w:firstLine="640" w:firstLineChars="200"/>
        <w:outlineLvl w:val="1"/>
        <w:rPr>
          <w:rFonts w:ascii="Times New Roman" w:hAnsi="Times New Roman" w:eastAsia="仿宋_GB2312" w:cs="仿宋_GB2312"/>
          <w:sz w:val="32"/>
          <w:szCs w:val="32"/>
        </w:rPr>
      </w:pPr>
      <w:r>
        <w:rPr>
          <w:rFonts w:hint="eastAsia" w:ascii="Times New Roman" w:hAnsi="Times New Roman" w:eastAsia="仿宋_GB2312" w:cs="仿宋_GB2312"/>
          <w:sz w:val="32"/>
          <w:szCs w:val="32"/>
        </w:rPr>
        <w:t>3.1对于产品中包含的试剂组分</w:t>
      </w:r>
    </w:p>
    <w:p w14:paraId="6200D65D">
      <w:pPr>
        <w:spacing w:line="520" w:lineRule="exact"/>
        <w:ind w:firstLine="640" w:firstLineChars="200"/>
        <w:outlineLvl w:val="1"/>
        <w:rPr>
          <w:rFonts w:ascii="Times New Roman" w:hAnsi="Times New Roman" w:eastAsia="仿宋_GB2312" w:cs="仿宋_GB2312"/>
          <w:sz w:val="32"/>
          <w:szCs w:val="32"/>
        </w:rPr>
      </w:pPr>
      <w:r>
        <w:rPr>
          <w:rFonts w:hint="eastAsia" w:ascii="Times New Roman" w:hAnsi="Times New Roman" w:eastAsia="仿宋_GB2312" w:cs="仿宋_GB2312"/>
          <w:sz w:val="32"/>
          <w:szCs w:val="32"/>
        </w:rPr>
        <w:t>3.1.1说明各组分的名称、数量、装量。</w:t>
      </w:r>
    </w:p>
    <w:p w14:paraId="552CA9F1">
      <w:pPr>
        <w:spacing w:line="520" w:lineRule="exact"/>
        <w:ind w:firstLine="640" w:firstLineChars="200"/>
        <w:outlineLvl w:val="1"/>
        <w:rPr>
          <w:rFonts w:ascii="Times New Roman" w:hAnsi="Times New Roman" w:eastAsia="仿宋_GB2312" w:cs="仿宋_GB2312"/>
          <w:sz w:val="32"/>
          <w:szCs w:val="32"/>
        </w:rPr>
      </w:pPr>
      <w:r>
        <w:rPr>
          <w:rFonts w:hint="eastAsia" w:ascii="Times New Roman" w:hAnsi="Times New Roman" w:eastAsia="仿宋_GB2312" w:cs="仿宋_GB2312"/>
          <w:sz w:val="32"/>
          <w:szCs w:val="32"/>
        </w:rPr>
        <w:t>3.1.2</w:t>
      </w:r>
      <w:r>
        <w:rPr>
          <w:rFonts w:hint="eastAsia" w:eastAsia="仿宋_GB2312"/>
          <w:sz w:val="32"/>
          <w:szCs w:val="32"/>
        </w:rPr>
        <w:t>说明各组分中的核心反应成分、其他生物活性材料、固相载体、显色/发光物质、基质、防腐剂。抗原</w:t>
      </w:r>
      <w:r>
        <w:rPr>
          <w:rFonts w:eastAsia="仿宋_GB2312"/>
          <w:sz w:val="32"/>
          <w:szCs w:val="32"/>
        </w:rPr>
        <w:t>/</w:t>
      </w:r>
      <w:r>
        <w:rPr>
          <w:rFonts w:hint="eastAsia" w:eastAsia="仿宋_GB2312"/>
          <w:sz w:val="32"/>
          <w:szCs w:val="32"/>
        </w:rPr>
        <w:t>抗体等生物活性材料应提供其生物学来源和特性。必要时，明确组分在基质中的浓度、比例等信息。</w:t>
      </w:r>
    </w:p>
    <w:p w14:paraId="2D805B91">
      <w:pPr>
        <w:spacing w:line="520" w:lineRule="exact"/>
        <w:ind w:firstLine="640" w:firstLineChars="200"/>
        <w:outlineLvl w:val="1"/>
        <w:rPr>
          <w:rFonts w:ascii="Times New Roman" w:hAnsi="Times New Roman" w:eastAsia="仿宋_GB2312" w:cs="仿宋_GB2312"/>
          <w:sz w:val="32"/>
          <w:szCs w:val="32"/>
        </w:rPr>
      </w:pPr>
      <w:r>
        <w:rPr>
          <w:rFonts w:hint="eastAsia" w:ascii="Times New Roman" w:hAnsi="Times New Roman" w:eastAsia="仿宋_GB2312" w:cs="仿宋_GB2312"/>
          <w:sz w:val="32"/>
          <w:szCs w:val="32"/>
        </w:rPr>
        <w:t>3.1.3多组分试剂盒应明确说明不同批号试剂盒中各组分是否可以互换。</w:t>
      </w:r>
    </w:p>
    <w:p w14:paraId="30459B6D">
      <w:pPr>
        <w:spacing w:line="520" w:lineRule="exact"/>
        <w:ind w:firstLine="640" w:firstLineChars="200"/>
        <w:outlineLvl w:val="1"/>
        <w:rPr>
          <w:rFonts w:ascii="Times New Roman" w:hAnsi="Times New Roman" w:eastAsia="仿宋_GB2312" w:cs="仿宋_GB2312"/>
          <w:sz w:val="32"/>
          <w:szCs w:val="32"/>
        </w:rPr>
      </w:pPr>
      <w:r>
        <w:rPr>
          <w:rFonts w:hint="eastAsia" w:ascii="Times New Roman" w:hAnsi="Times New Roman" w:eastAsia="仿宋_GB2312" w:cs="仿宋_GB2312"/>
          <w:sz w:val="32"/>
          <w:szCs w:val="32"/>
        </w:rPr>
        <w:t>3.1.4如盒中包含耗材，应列明耗材名称、数量等信息。</w:t>
      </w:r>
    </w:p>
    <w:p w14:paraId="79685E97">
      <w:pPr>
        <w:spacing w:line="520" w:lineRule="exact"/>
        <w:ind w:firstLine="640" w:firstLineChars="200"/>
        <w:outlineLvl w:val="1"/>
        <w:rPr>
          <w:rFonts w:ascii="Times New Roman" w:hAnsi="Times New Roman" w:eastAsia="仿宋_GB2312" w:cs="仿宋_GB2312"/>
          <w:sz w:val="32"/>
          <w:szCs w:val="32"/>
        </w:rPr>
      </w:pPr>
      <w:r>
        <w:rPr>
          <w:rFonts w:hint="eastAsia" w:ascii="Times New Roman" w:hAnsi="Times New Roman" w:eastAsia="仿宋_GB2312" w:cs="仿宋_GB2312"/>
          <w:sz w:val="32"/>
          <w:szCs w:val="32"/>
        </w:rPr>
        <w:t>3.2 需要但未提供的试剂</w:t>
      </w:r>
    </w:p>
    <w:p w14:paraId="3401B753">
      <w:pPr>
        <w:spacing w:line="520" w:lineRule="exact"/>
        <w:ind w:firstLine="640" w:firstLineChars="200"/>
        <w:outlineLvl w:val="1"/>
        <w:rPr>
          <w:rFonts w:ascii="Times New Roman" w:hAnsi="Times New Roman" w:eastAsia="仿宋_GB2312" w:cs="仿宋_GB2312"/>
          <w:sz w:val="32"/>
          <w:szCs w:val="32"/>
        </w:rPr>
      </w:pPr>
      <w:r>
        <w:rPr>
          <w:rFonts w:hint="eastAsia" w:ascii="Times New Roman" w:hAnsi="Times New Roman" w:eastAsia="仿宋_GB2312" w:cs="仿宋_GB2312"/>
          <w:sz w:val="32"/>
          <w:szCs w:val="32"/>
        </w:rPr>
        <w:t>对于产品中不包含，但对检测必需的试剂如单独注册的校准品/质控品、样本保存液等应列明各试剂的产品名称、注册人（备案人）、货号及其注册证编号（备案编号）。</w:t>
      </w:r>
    </w:p>
    <w:p w14:paraId="40E2B75B">
      <w:pPr>
        <w:spacing w:line="520" w:lineRule="exact"/>
        <w:ind w:firstLine="640" w:firstLineChars="200"/>
        <w:outlineLvl w:val="1"/>
        <w:rPr>
          <w:rFonts w:ascii="Times New Roman" w:hAnsi="Times New Roman" w:eastAsia="仿宋_GB2312" w:cs="仿宋_GB2312"/>
          <w:sz w:val="32"/>
          <w:szCs w:val="32"/>
        </w:rPr>
      </w:pPr>
      <w:r>
        <w:rPr>
          <w:rFonts w:hint="eastAsia" w:ascii="Times New Roman" w:hAnsi="Times New Roman" w:eastAsia="仿宋_GB2312" w:cs="仿宋_GB2312"/>
          <w:sz w:val="32"/>
          <w:szCs w:val="32"/>
        </w:rPr>
        <w:t>3.3对于校准品和质控品</w:t>
      </w:r>
    </w:p>
    <w:p w14:paraId="54A0ED7B">
      <w:pPr>
        <w:spacing w:line="520" w:lineRule="exact"/>
        <w:ind w:firstLine="640" w:firstLineChars="200"/>
        <w:outlineLvl w:val="1"/>
        <w:rPr>
          <w:rFonts w:ascii="Times New Roman" w:hAnsi="Times New Roman" w:eastAsia="仿宋_GB2312" w:cs="仿宋_GB2312"/>
          <w:sz w:val="32"/>
          <w:szCs w:val="32"/>
        </w:rPr>
      </w:pPr>
      <w:r>
        <w:rPr>
          <w:rFonts w:hint="eastAsia" w:ascii="Times New Roman" w:hAnsi="Times New Roman" w:eastAsia="仿宋_GB2312" w:cs="仿宋_GB2312"/>
          <w:sz w:val="32"/>
          <w:szCs w:val="32"/>
        </w:rPr>
        <w:t>3.3.1说明浓度水平、核心反应成分及其生物学来源，明确基质、防腐剂等。</w:t>
      </w:r>
    </w:p>
    <w:p w14:paraId="3CC37634">
      <w:pPr>
        <w:spacing w:line="520" w:lineRule="exact"/>
        <w:ind w:firstLine="640" w:firstLineChars="200"/>
        <w:outlineLvl w:val="1"/>
        <w:rPr>
          <w:rFonts w:ascii="Times New Roman" w:hAnsi="Times New Roman" w:eastAsia="仿宋_GB2312" w:cs="仿宋_GB2312"/>
          <w:sz w:val="32"/>
          <w:szCs w:val="32"/>
        </w:rPr>
      </w:pPr>
      <w:r>
        <w:rPr>
          <w:rFonts w:hint="eastAsia" w:ascii="Times New Roman" w:hAnsi="Times New Roman" w:eastAsia="仿宋_GB2312" w:cs="仿宋_GB2312"/>
          <w:sz w:val="32"/>
          <w:szCs w:val="32"/>
        </w:rPr>
        <w:t>3.3.2注明校准品的定值及其溯源性。</w:t>
      </w:r>
    </w:p>
    <w:p w14:paraId="319A7FA9">
      <w:pPr>
        <w:spacing w:line="520" w:lineRule="exact"/>
        <w:ind w:firstLine="640" w:firstLineChars="200"/>
        <w:outlineLvl w:val="1"/>
        <w:rPr>
          <w:rFonts w:ascii="Times New Roman" w:hAnsi="Times New Roman" w:eastAsia="仿宋_GB2312" w:cs="仿宋_GB2312"/>
          <w:sz w:val="32"/>
          <w:szCs w:val="32"/>
        </w:rPr>
      </w:pPr>
      <w:r>
        <w:rPr>
          <w:rFonts w:hint="eastAsia" w:ascii="Times New Roman" w:hAnsi="Times New Roman" w:eastAsia="仿宋_GB2312" w:cs="仿宋_GB2312"/>
          <w:sz w:val="32"/>
          <w:szCs w:val="32"/>
        </w:rPr>
        <w:t>3.3.3注明质控品的靶值和靶值范围。</w:t>
      </w:r>
    </w:p>
    <w:p w14:paraId="0F2036E9">
      <w:pPr>
        <w:spacing w:line="520" w:lineRule="exact"/>
        <w:ind w:firstLine="640" w:firstLineChars="200"/>
        <w:outlineLvl w:val="1"/>
        <w:rPr>
          <w:rFonts w:ascii="Times New Roman" w:hAnsi="Times New Roman" w:eastAsia="仿宋_GB2312" w:cs="仿宋_GB2312"/>
          <w:sz w:val="32"/>
          <w:szCs w:val="32"/>
        </w:rPr>
      </w:pPr>
      <w:r>
        <w:rPr>
          <w:rFonts w:hint="eastAsia" w:ascii="Times New Roman" w:hAnsi="Times New Roman" w:eastAsia="仿宋_GB2312" w:cs="仿宋_GB2312"/>
          <w:sz w:val="32"/>
          <w:szCs w:val="32"/>
        </w:rPr>
        <w:t>3.3.4若校准品或质控品的值为批特异，可注明批特异，并附单独的靶值。</w:t>
      </w:r>
    </w:p>
    <w:p w14:paraId="61E74B2E">
      <w:pPr>
        <w:spacing w:line="520" w:lineRule="exact"/>
        <w:ind w:firstLine="640" w:firstLineChars="200"/>
        <w:outlineLvl w:val="1"/>
        <w:rPr>
          <w:rFonts w:ascii="Times New Roman" w:hAnsi="Times New Roman" w:eastAsia="仿宋_GB2312" w:cs="仿宋_GB2312"/>
          <w:sz w:val="32"/>
          <w:szCs w:val="32"/>
        </w:rPr>
      </w:pPr>
      <w:r>
        <w:rPr>
          <w:rFonts w:hint="eastAsia" w:ascii="Times New Roman" w:hAnsi="Times New Roman" w:eastAsia="仿宋_GB2312" w:cs="仿宋_GB2312"/>
          <w:sz w:val="32"/>
          <w:szCs w:val="32"/>
        </w:rPr>
        <w:t>3.4如配合使用试剂或软件正在进行注册（备案），注册证编号（备案编号）可先留空，在完成注册（备案）后由注册人（备案人）自行添加。</w:t>
      </w:r>
    </w:p>
    <w:p w14:paraId="013C08F1">
      <w:pPr>
        <w:snapToGrid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4.【储存条件及有效期】</w:t>
      </w:r>
    </w:p>
    <w:p w14:paraId="772FC83C">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首段明确货架保存条件和有效期，如2~8℃保存，有效期12个月。同时明确特殊保存条件，如禁止冷冻、光线和湿度要求等。</w:t>
      </w:r>
    </w:p>
    <w:p w14:paraId="7F2198F6">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其他段落描述以下内容：</w:t>
      </w:r>
    </w:p>
    <w:p w14:paraId="46F601CA">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明确各组分的使用稳定性，包括开封保存条件和保存时长、冻融次数、机载稳定性等。</w:t>
      </w:r>
    </w:p>
    <w:p w14:paraId="66AF75ED">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明确生产日期、使用期限/失效日期/有效期至见标签。</w:t>
      </w:r>
    </w:p>
    <w:p w14:paraId="744BF33D">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若各组分的保存条件不一致，应分别描述。</w:t>
      </w:r>
    </w:p>
    <w:p w14:paraId="20BF6BD0">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若各组分的有效期不同，则试剂盒的有效期为最短保存时间。</w:t>
      </w:r>
    </w:p>
    <w:p w14:paraId="6A97DFC1">
      <w:pPr>
        <w:spacing w:line="520" w:lineRule="exact"/>
        <w:ind w:firstLine="640" w:firstLineChars="200"/>
        <w:rPr>
          <w:rFonts w:ascii="Times New Roman" w:hAnsi="Times New Roman" w:eastAsia="仿宋_GB2312" w:cs="仿宋_GB2312"/>
          <w:kern w:val="0"/>
          <w:sz w:val="32"/>
          <w:szCs w:val="32"/>
        </w:rPr>
      </w:pPr>
      <w:r>
        <w:rPr>
          <w:rFonts w:hint="eastAsia" w:ascii="Times New Roman" w:hAnsi="Times New Roman" w:eastAsia="仿宋_GB2312" w:cs="仿宋_GB2312"/>
          <w:sz w:val="32"/>
          <w:szCs w:val="32"/>
        </w:rPr>
        <w:t>5.</w:t>
      </w:r>
      <w:r>
        <w:rPr>
          <w:rFonts w:hint="eastAsia" w:ascii="Times New Roman" w:hAnsi="Times New Roman" w:eastAsia="仿宋_GB2312" w:cs="仿宋_GB2312"/>
          <w:kern w:val="0"/>
          <w:sz w:val="32"/>
          <w:szCs w:val="32"/>
        </w:rPr>
        <w:t>【适用仪器】</w:t>
      </w:r>
    </w:p>
    <w:p w14:paraId="5F6FDD1B">
      <w:pPr>
        <w:spacing w:line="520" w:lineRule="exact"/>
        <w:ind w:firstLine="640" w:firstLineChars="200"/>
        <w:rPr>
          <w:rFonts w:ascii="Times New Roman" w:hAnsi="Times New Roman" w:eastAsia="仿宋_GB2312" w:cs="仿宋_GB2312"/>
          <w:kern w:val="0"/>
          <w:sz w:val="32"/>
          <w:szCs w:val="32"/>
        </w:rPr>
      </w:pPr>
      <w:r>
        <w:rPr>
          <w:rFonts w:hint="eastAsia" w:ascii="Times New Roman" w:hAnsi="Times New Roman" w:eastAsia="仿宋_GB2312" w:cs="仿宋_GB2312"/>
          <w:kern w:val="0"/>
          <w:sz w:val="32"/>
          <w:szCs w:val="32"/>
        </w:rPr>
        <w:t>注明所有适用的仪器，应细化到具体厂家、产品名称、产品型号。并提供与仪器有关的信息以便用户能够正确选择使用。</w:t>
      </w:r>
    </w:p>
    <w:p w14:paraId="61824786">
      <w:pPr>
        <w:overflowPunct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6.【样本要求】</w:t>
      </w:r>
    </w:p>
    <w:p w14:paraId="5DFEBD0A">
      <w:pPr>
        <w:overflowPunct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应在以下几方面进行说明：</w:t>
      </w:r>
    </w:p>
    <w:p w14:paraId="10A70EEA">
      <w:pPr>
        <w:overflowPunct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6.1适用的样本类型，推荐使用血清和肝素抗凝血浆样本。</w:t>
      </w:r>
    </w:p>
    <w:p w14:paraId="73F3D828">
      <w:pPr>
        <w:adjustRightInd w:val="0"/>
        <w:snapToGrid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6.2详细描述样本的采集和保存方法，明确样本收集过程中的注意事项。</w:t>
      </w:r>
    </w:p>
    <w:p w14:paraId="6CB87CBA">
      <w:pPr>
        <w:adjustRightInd w:val="0"/>
        <w:snapToGrid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6.3对采集样本的要求，建议使用新鲜血液，不建议使用高脂乳糜样、黄疸、高类风湿因子样本，勿使用溶血样本，明确样本的处理办法。明确特异性抗体有无干扰。</w:t>
      </w:r>
    </w:p>
    <w:p w14:paraId="7C95D1B2">
      <w:pPr>
        <w:overflowPunct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6.4为保证样本各组分稳定所必需的抗凝剂、样本保存液等。应注明对抗凝剂和/或保存液的要求。</w:t>
      </w:r>
    </w:p>
    <w:p w14:paraId="1A9A89AF">
      <w:pPr>
        <w:overflowPunct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6.5若特定样本不适用或需进一步处理后使用，需明确。</w:t>
      </w:r>
    </w:p>
    <w:p w14:paraId="35A0C755">
      <w:pPr>
        <w:overflowPunct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6.6样本稳定性。明确能够保证样本稳定保存的条件。如需冻存，应明确冻存条件和冻融次数。</w:t>
      </w:r>
    </w:p>
    <w:p w14:paraId="740BC9AA">
      <w:pPr>
        <w:overflowPunct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以上内容应与样本稳定性的研究结果一致。</w:t>
      </w:r>
    </w:p>
    <w:p w14:paraId="03446B09">
      <w:pPr>
        <w:overflowPunct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7.【检验方法】</w:t>
      </w:r>
    </w:p>
    <w:p w14:paraId="72CAD783">
      <w:pPr>
        <w:overflowPunct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7.1样本的处理。详细描述样本的处理方式和步骤，需要稀释的样本应明确稀释液种类及稀释比例。若处理后样本无法即刻进行检测，还应明确处理后样本的保存条件和时间。</w:t>
      </w:r>
    </w:p>
    <w:p w14:paraId="6ABAB2FA">
      <w:pPr>
        <w:overflowPunct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7.2试剂配制。各试剂组分的稀释、混合及其他必要的程序。</w:t>
      </w:r>
    </w:p>
    <w:p w14:paraId="17711171">
      <w:pPr>
        <w:overflowPunct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7.3反应步骤、反应体系和参数设置。详细描述反应步骤和各反应步骤所需试验条件，如时间、温度等。明确样本和检测过程中各组分的用量体积。</w:t>
      </w:r>
    </w:p>
    <w:p w14:paraId="67B6CFC0">
      <w:pPr>
        <w:overflowPunct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7.4明确试验过程中必须注意的事项。</w:t>
      </w:r>
    </w:p>
    <w:p w14:paraId="6B4CDF53">
      <w:pPr>
        <w:overflowPunct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7.5校准程序。详细描述校准品的准备和使用、校准曲线的绘制过程，明确校准周期。</w:t>
      </w:r>
    </w:p>
    <w:p w14:paraId="7F20668A">
      <w:pPr>
        <w:overflowPunct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7.6质量控制程序。详细描述质控品的使用、质量控制方法。</w:t>
      </w:r>
    </w:p>
    <w:p w14:paraId="190AB1D9">
      <w:pPr>
        <w:overflowPunct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7.7试验结果的计算或读取。包括对每个系数及对每个计算步骤的解释。如果可能，应举例说明。</w:t>
      </w:r>
    </w:p>
    <w:p w14:paraId="4A559318">
      <w:pPr>
        <w:overflowPunct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8.【参考区间】</w:t>
      </w:r>
    </w:p>
    <w:p w14:paraId="4FF8E193">
      <w:pPr>
        <w:snapToGrid w:val="0"/>
        <w:spacing w:line="520" w:lineRule="exact"/>
        <w:ind w:firstLine="640" w:firstLineChars="200"/>
        <w:rPr>
          <w:rFonts w:eastAsia="仿宋_GB2312"/>
          <w:spacing w:val="-10"/>
          <w:sz w:val="32"/>
          <w:szCs w:val="32"/>
        </w:rPr>
      </w:pPr>
      <w:r>
        <w:rPr>
          <w:rFonts w:eastAsia="仿宋_GB2312"/>
          <w:sz w:val="32"/>
          <w:szCs w:val="32"/>
        </w:rPr>
        <w:t>应</w:t>
      </w:r>
      <w:r>
        <w:rPr>
          <w:rFonts w:eastAsia="仿宋_GB2312"/>
          <w:spacing w:val="-10"/>
          <w:sz w:val="32"/>
          <w:szCs w:val="32"/>
        </w:rPr>
        <w:t>注明常用样本类型的正常参考区间，并说明参考区间确定方法。建议注明</w:t>
      </w:r>
      <w:r>
        <w:rPr>
          <w:rFonts w:hint="eastAsia" w:eastAsia="仿宋_GB2312"/>
          <w:spacing w:val="-10"/>
          <w:sz w:val="32"/>
          <w:szCs w:val="32"/>
        </w:rPr>
        <w:t>“</w:t>
      </w:r>
      <w:r>
        <w:rPr>
          <w:rFonts w:eastAsia="仿宋_GB2312"/>
          <w:spacing w:val="-10"/>
          <w:sz w:val="32"/>
          <w:szCs w:val="32"/>
        </w:rPr>
        <w:t>由于地理、人种、性别和年龄等差异，建议各实验室建立自己的参考区间</w:t>
      </w:r>
      <w:r>
        <w:rPr>
          <w:rFonts w:hint="eastAsia" w:eastAsia="仿宋_GB2312"/>
          <w:spacing w:val="-10"/>
          <w:sz w:val="32"/>
          <w:szCs w:val="32"/>
        </w:rPr>
        <w:t>”</w:t>
      </w:r>
      <w:r>
        <w:rPr>
          <w:rFonts w:eastAsia="仿宋_GB2312"/>
          <w:spacing w:val="-10"/>
          <w:sz w:val="32"/>
          <w:szCs w:val="32"/>
        </w:rPr>
        <w:t>。</w:t>
      </w:r>
    </w:p>
    <w:p w14:paraId="19F2A6C9">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9.【检验结果的解释】</w:t>
      </w:r>
    </w:p>
    <w:p w14:paraId="0CF53375">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依据参考区间对检测结果进行解释说明；说明在何种情况下需要进行复测或确认试验。说明可能对试验结果产生影响的因素。若超过线性区间上限的高浓度样本可稀释后测定，则应说明样本的最大可稀释倍数、稀释溶液等信息。</w:t>
      </w:r>
    </w:p>
    <w:p w14:paraId="35C3B917">
      <w:pPr>
        <w:overflowPunct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10.【检验方法的局限性】</w:t>
      </w:r>
    </w:p>
    <w:p w14:paraId="30A079ED">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10.1说明检测结果仅供临床参考，不能单独作为确诊或排除病例的依据。</w:t>
      </w:r>
    </w:p>
    <w:p w14:paraId="17725962">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10.2操作时必须严格按照操作规程，对操作程序作任何修改都可能影响结果。</w:t>
      </w:r>
    </w:p>
    <w:p w14:paraId="18DBC7BD">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11【产品性能指标】</w:t>
      </w:r>
    </w:p>
    <w:p w14:paraId="428A6DE9">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此项内容为分析性能研究资料和临床评价资料的总结，应:</w:t>
      </w:r>
    </w:p>
    <w:p w14:paraId="53A74BBA">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11.1概括描述每项分析性能研究如正确度、精密度、空白限、检出限及定量限、分析特异性、测量区间及可报告区间等适用项目的研究方法和结果。</w:t>
      </w:r>
    </w:p>
    <w:p w14:paraId="5410EE5E">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11.2概括描述临床评价包括免于临床试验的临床评价和临床试验的方法和结果。</w:t>
      </w:r>
    </w:p>
    <w:p w14:paraId="28957726">
      <w:pPr>
        <w:spacing w:line="520" w:lineRule="exact"/>
        <w:ind w:left="420" w:leftChars="200" w:firstLine="320" w:firstLineChars="100"/>
        <w:rPr>
          <w:rFonts w:ascii="Times New Roman" w:hAnsi="Times New Roman" w:eastAsia="仿宋_GB2312" w:cs="仿宋_GB2312"/>
          <w:sz w:val="32"/>
          <w:szCs w:val="32"/>
        </w:rPr>
      </w:pPr>
      <w:r>
        <w:rPr>
          <w:rFonts w:hint="eastAsia" w:ascii="Times New Roman" w:hAnsi="Times New Roman" w:eastAsia="仿宋_GB2312" w:cs="仿宋_GB2312"/>
          <w:sz w:val="32"/>
          <w:szCs w:val="32"/>
        </w:rPr>
        <w:t>12.【注意事项】</w:t>
      </w:r>
    </w:p>
    <w:p w14:paraId="0908AEF8">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应至少包括以下内容：</w:t>
      </w:r>
    </w:p>
    <w:p w14:paraId="2D2D227B">
      <w:pPr>
        <w:adjustRightInd w:val="0"/>
        <w:snapToGrid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12.1本品仅用于体外诊断。</w:t>
      </w:r>
    </w:p>
    <w:p w14:paraId="37909FFA">
      <w:pPr>
        <w:adjustRightInd w:val="0"/>
        <w:snapToGrid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12.2有关人源组分（如有）的警告，如：试剂内质控品或其他可能含有人源物质的组分，虽已经通过了HBs-Ag、HIV1/2-Ab、HCV-Ab、TP-Ab等项目的检测，但截至目前，没有任何一项检测可以确保绝对安全，故仍应将这些组分作为潜在传染源对待。</w:t>
      </w:r>
    </w:p>
    <w:p w14:paraId="425604C0">
      <w:pPr>
        <w:adjustRightInd w:val="0"/>
        <w:snapToGrid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12.3建议实验室的环境要求，如温度、湿度等。</w:t>
      </w:r>
    </w:p>
    <w:p w14:paraId="790105CD">
      <w:pPr>
        <w:adjustRightInd w:val="0"/>
        <w:snapToGrid w:val="0"/>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12.4对所有样本和反应废弃物都视为传染源进行处理。</w:t>
      </w:r>
    </w:p>
    <w:p w14:paraId="37487153">
      <w:pPr>
        <w:adjustRightInd w:val="0"/>
        <w:snapToGrid w:val="0"/>
        <w:spacing w:line="520" w:lineRule="exact"/>
        <w:ind w:firstLine="640" w:firstLineChars="200"/>
        <w:rPr>
          <w:rFonts w:ascii="Times New Roman" w:hAnsi="Times New Roman" w:eastAsia="仿宋_GB2312" w:cs="仿宋_GB2312"/>
          <w:sz w:val="32"/>
          <w:szCs w:val="32"/>
        </w:rPr>
      </w:pPr>
      <w:bookmarkStart w:id="8" w:name="_Toc356316161"/>
      <w:bookmarkStart w:id="9" w:name="_Toc356315074"/>
      <w:r>
        <w:rPr>
          <w:rFonts w:hint="eastAsia" w:ascii="Times New Roman" w:hAnsi="Times New Roman" w:eastAsia="仿宋_GB2312" w:cs="仿宋_GB2312"/>
          <w:sz w:val="32"/>
          <w:szCs w:val="32"/>
        </w:rPr>
        <w:t>12.5其他有关性激素结合球蛋白测定试剂的注意事项。</w:t>
      </w:r>
      <w:bookmarkEnd w:id="8"/>
      <w:bookmarkEnd w:id="9"/>
    </w:p>
    <w:p w14:paraId="71304DB3">
      <w:pPr>
        <w:tabs>
          <w:tab w:val="left" w:pos="6720"/>
        </w:tabs>
        <w:spacing w:line="520" w:lineRule="exact"/>
        <w:ind w:firstLine="640" w:firstLineChars="200"/>
        <w:outlineLvl w:val="0"/>
        <w:rPr>
          <w:rFonts w:ascii="Times New Roman" w:hAnsi="Times New Roman" w:eastAsia="楷体_GB2312" w:cs="楷体_GB2312"/>
          <w:sz w:val="32"/>
          <w:szCs w:val="32"/>
        </w:rPr>
      </w:pPr>
      <w:r>
        <w:rPr>
          <w:rFonts w:hint="eastAsia" w:ascii="Times New Roman" w:hAnsi="Times New Roman" w:eastAsia="楷体_GB2312" w:cs="楷体_GB2312"/>
          <w:sz w:val="32"/>
          <w:szCs w:val="32"/>
        </w:rPr>
        <w:t>（六）质量管理体系文件</w:t>
      </w:r>
    </w:p>
    <w:p w14:paraId="6521AFFB">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主要包括综述、生产制造信息、质量管理体系程序、管理职责程序、资源管理程序、产品实现程序、质量管理体系的测量、分析和改进程序、其他质量体系程序信息以及质量管理体系核查文件。</w:t>
      </w:r>
    </w:p>
    <w:p w14:paraId="58691603">
      <w:pPr>
        <w:pStyle w:val="33"/>
        <w:spacing w:line="520" w:lineRule="exact"/>
        <w:ind w:firstLine="610" w:firstLineChars="0"/>
        <w:rPr>
          <w:rFonts w:ascii="Times New Roman" w:hAnsi="Times New Roman" w:eastAsia="仿宋_GB2312" w:cs="仿宋_GB2312"/>
          <w:sz w:val="32"/>
          <w:szCs w:val="30"/>
        </w:rPr>
      </w:pPr>
      <w:r>
        <w:rPr>
          <w:rFonts w:hint="eastAsia" w:ascii="Times New Roman" w:hAnsi="Times New Roman" w:eastAsia="黑体" w:cs="黑体"/>
          <w:sz w:val="32"/>
        </w:rPr>
        <w:t>三、参考文献</w:t>
      </w:r>
    </w:p>
    <w:bookmarkEnd w:id="6"/>
    <w:bookmarkEnd w:id="7"/>
    <w:p w14:paraId="527E4529">
      <w:pPr>
        <w:pStyle w:val="2"/>
        <w:spacing w:line="520" w:lineRule="exact"/>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[1]国家药品监督管理局.</w:t>
      </w:r>
      <w:r>
        <w:rPr>
          <w:rFonts w:ascii="Times New Roman" w:hAnsi="Times New Roman" w:eastAsia="仿宋_GB2312" w:cs="仿宋_GB2312"/>
          <w:sz w:val="32"/>
          <w:szCs w:val="32"/>
        </w:rPr>
        <w:t>体外诊断试剂注册申报资料要求和批准证明文件格式</w:t>
      </w:r>
      <w:r>
        <w:rPr>
          <w:rFonts w:hint="eastAsia" w:ascii="Times New Roman" w:hAnsi="Times New Roman" w:eastAsia="仿宋_GB2312" w:cs="仿宋_GB2312"/>
          <w:sz w:val="32"/>
          <w:szCs w:val="32"/>
        </w:rPr>
        <w:t>:国家药监局公告2021年第122号[Z].</w:t>
      </w:r>
    </w:p>
    <w:p w14:paraId="51300817">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[2]国家药品监督管理局.体外诊断试剂分类目录:国家药监局公告2024年第17号[Z].</w:t>
      </w:r>
    </w:p>
    <w:p w14:paraId="3AB33E29">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[3]国家药品监督管理局.体外诊断试剂分类规则:国家药监局公告2021年第129号[Z].</w:t>
      </w:r>
    </w:p>
    <w:p w14:paraId="096482A4">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[4]GB/T 42062-2022,医疗器械风险管理对医疗器械的应用[S].</w:t>
      </w:r>
    </w:p>
    <w:p w14:paraId="6FF47596">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[5]国家药品监督管理局.医疗器械产品技术要求编写指导原则：国家药监局通告2022年第8号[Z].</w:t>
      </w:r>
    </w:p>
    <w:p w14:paraId="104FFB8C">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[6]国家药品监督管理局.医疗器械注册自检管理规定</w:t>
      </w:r>
      <w:r>
        <w:rPr>
          <w:rFonts w:hint="eastAsia" w:ascii="Times New Roman" w:hAnsi="Times New Roman" w:eastAsia="仿宋_GB2312" w:cs="仿宋_GB2312"/>
          <w:kern w:val="0"/>
          <w:sz w:val="32"/>
          <w:szCs w:val="32"/>
        </w:rPr>
        <w:t>:</w:t>
      </w:r>
      <w:r>
        <w:rPr>
          <w:rFonts w:hint="eastAsia" w:ascii="Times New Roman" w:hAnsi="Times New Roman" w:eastAsia="仿宋_GB2312" w:cs="仿宋_GB2312"/>
          <w:sz w:val="32"/>
          <w:szCs w:val="32"/>
        </w:rPr>
        <w:t>国家药监局公告2021年第126号[Z].</w:t>
      </w:r>
    </w:p>
    <w:p w14:paraId="6771EDAB">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[7]国家药品监督管理局医疗器械技术审评中心.定量检测体外诊断试剂分析性能评估注册审查指导原则：国家药监局器审中心通告2022年第32号[Z].</w:t>
      </w:r>
    </w:p>
    <w:p w14:paraId="18B7A1B9">
      <w:pPr>
        <w:pStyle w:val="2"/>
        <w:spacing w:line="520" w:lineRule="exact"/>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[8]GB/T 21415-2025, 体外诊断医疗器械 建立校准品、正确度控制物质和人体样品赋值的计量溯源性要求[S].</w:t>
      </w:r>
    </w:p>
    <w:p w14:paraId="57C3FF90">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[9]国家药品监督管理局医疗器械技术审评中心.质控品注册审查指导原则——质控品赋值研究：国家药监局器审中心通告2022年第36号[Z].</w:t>
      </w:r>
    </w:p>
    <w:p w14:paraId="15300A7C">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[10]国家药品监督管理局医疗器械技术审评中心.体外诊断试剂参考区间确定注册审查指导原则：国家药监局器审中心通告2022年第36号[Z].</w:t>
      </w:r>
    </w:p>
    <w:p w14:paraId="6F0F0259">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[11]国家药品监督管理局.免于临床试验体外诊断试剂目录:国家药监局通告2025年第23号[Z].</w:t>
      </w:r>
    </w:p>
    <w:p w14:paraId="2DD9FF3A">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[12]国家药品监督管理局.免于临床试验的体外诊断试剂临床评价技术指导原则:国家药监局通告2021年第74号[Z].</w:t>
      </w:r>
    </w:p>
    <w:p w14:paraId="1F212751">
      <w:pPr>
        <w:pStyle w:val="2"/>
        <w:spacing w:line="520" w:lineRule="exact"/>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[13]国家药品监督管理局.体外诊断试剂临床试验技术指导原则:国家药监局通告2021年第72号[Z].</w:t>
      </w:r>
    </w:p>
    <w:p w14:paraId="55EE20B2">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[14]国家食品药品监督管理总局.体外诊断试剂说明书编写指导原则（2023年修订版）:国家药监局器审中心通告2024年第1号[Z].</w:t>
      </w:r>
    </w:p>
    <w:p w14:paraId="2B693770">
      <w:pPr>
        <w:spacing w:line="52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[15]国家食品药品监督管理总局.医疗器械说明书和标签管理规定:国家食品药品监督管理总局令第6号[Z].</w:t>
      </w:r>
    </w:p>
    <w:sectPr>
      <w:footerReference r:id="rId3" w:type="default"/>
      <w:footerReference r:id="rId4" w:type="even"/>
      <w:pgSz w:w="11906" w:h="16838"/>
      <w:pgMar w:top="1701" w:right="1588" w:bottom="1701" w:left="1588" w:header="851" w:footer="1208" w:gutter="0"/>
      <w:lnNumType w:countBy="1" w:restart="continuous"/>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0D67BA7-F7AB-4BDB-AE06-2D1C1BB4836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方正小标宋简体">
    <w:panose1 w:val="02000000000000000000"/>
    <w:charset w:val="86"/>
    <w:family w:val="script"/>
    <w:pitch w:val="default"/>
    <w:sig w:usb0="A00002BF" w:usb1="184F6CFA" w:usb2="00000012" w:usb3="00000000" w:csb0="00040001" w:csb1="00000000"/>
    <w:embedRegular r:id="rId2" w:fontKey="{3566B9A4-08B1-41B7-BDEC-9E11A1E1B72A}"/>
  </w:font>
  <w:font w:name="仿宋_GB2312">
    <w:panose1 w:val="02010609030101010101"/>
    <w:charset w:val="86"/>
    <w:family w:val="modern"/>
    <w:pitch w:val="default"/>
    <w:sig w:usb0="00000001" w:usb1="080E0000" w:usb2="00000000" w:usb3="00000000" w:csb0="00040000" w:csb1="00000000"/>
    <w:embedRegular r:id="rId3" w:fontKey="{B62B10F0-4DB7-40BB-B4BA-C60E5D063CAA}"/>
  </w:font>
  <w:font w:name="楷体_GB2312">
    <w:panose1 w:val="02010609030101010101"/>
    <w:charset w:val="86"/>
    <w:family w:val="modern"/>
    <w:pitch w:val="default"/>
    <w:sig w:usb0="00000001" w:usb1="080E0000" w:usb2="00000000" w:usb3="00000000" w:csb0="00040000" w:csb1="00000000"/>
    <w:embedRegular r:id="rId4" w:fontKey="{AF19594E-AE3D-4711-B058-7C0AF070303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A009D">
    <w:pPr>
      <w:pStyle w:val="8"/>
    </w:pPr>
    <w:r>
      <w:t xml:space="preserve">— </w:t>
    </w:r>
    <w:sdt>
      <w:sdtPr>
        <w:id w:val="-1"/>
      </w:sdtPr>
      <w:sdtContent>
        <w:r>
          <w:fldChar w:fldCharType="begin"/>
        </w:r>
        <w:r>
          <w:instrText xml:space="preserve">PAGE   \* MERGEFORMAT</w:instrText>
        </w:r>
        <w:r>
          <w:fldChar w:fldCharType="separate"/>
        </w:r>
        <w:r>
          <w:rPr>
            <w:lang w:val="zh-CN"/>
          </w:rPr>
          <w:t>15</w:t>
        </w:r>
        <w:r>
          <w:fldChar w:fldCharType="end"/>
        </w:r>
      </w:sdtContent>
    </w:sdt>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0D77DA">
    <w:pPr>
      <w:pStyle w:val="8"/>
      <w:ind w:right="1120"/>
      <w:jc w:val="both"/>
    </w:pPr>
    <w:r>
      <w:t xml:space="preserve">— </w:t>
    </w:r>
    <w:sdt>
      <w:sdtPr>
        <w:id w:val="147474215"/>
      </w:sdtPr>
      <w:sdtContent>
        <w:r>
          <w:fldChar w:fldCharType="begin"/>
        </w:r>
        <w:r>
          <w:instrText xml:space="preserve">PAGE   \* MERGEFORMAT</w:instrText>
        </w:r>
        <w:r>
          <w:fldChar w:fldCharType="separate"/>
        </w:r>
        <w:r>
          <w:rPr>
            <w:lang w:val="zh-CN"/>
          </w:rPr>
          <w:t>14</w:t>
        </w:r>
        <w:r>
          <w:fldChar w:fldCharType="end"/>
        </w:r>
      </w:sdtContent>
    </w:sdt>
    <w: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C4A554"/>
    <w:multiLevelType w:val="singleLevel"/>
    <w:tmpl w:val="80C4A554"/>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trackRevisions w:val="1"/>
  <w:documentProtection w:enforcement="0"/>
  <w:defaultTabStop w:val="420"/>
  <w:evenAndOddHeaders w:val="1"/>
  <w:drawingGridHorizontalSpacing w:val="105"/>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A3ZDQwMmNiOWFlYzZjYTcwOWJiZGQ0YTA5ODBmZGUifQ=="/>
  </w:docVars>
  <w:rsids>
    <w:rsidRoot w:val="001C4A93"/>
    <w:rsid w:val="00005645"/>
    <w:rsid w:val="000073DF"/>
    <w:rsid w:val="00012B37"/>
    <w:rsid w:val="00017086"/>
    <w:rsid w:val="000179A6"/>
    <w:rsid w:val="00024CB4"/>
    <w:rsid w:val="000349E3"/>
    <w:rsid w:val="000416F1"/>
    <w:rsid w:val="00043998"/>
    <w:rsid w:val="0004415C"/>
    <w:rsid w:val="00050C91"/>
    <w:rsid w:val="00064FB5"/>
    <w:rsid w:val="000658EF"/>
    <w:rsid w:val="00087747"/>
    <w:rsid w:val="00095AEC"/>
    <w:rsid w:val="000A63C4"/>
    <w:rsid w:val="000B2012"/>
    <w:rsid w:val="000B2EDA"/>
    <w:rsid w:val="000B4349"/>
    <w:rsid w:val="000C6D6C"/>
    <w:rsid w:val="000C7D6E"/>
    <w:rsid w:val="000D03C7"/>
    <w:rsid w:val="000D0EB2"/>
    <w:rsid w:val="000D172C"/>
    <w:rsid w:val="000D4FE6"/>
    <w:rsid w:val="000D7B1E"/>
    <w:rsid w:val="000E2655"/>
    <w:rsid w:val="000E4350"/>
    <w:rsid w:val="00102770"/>
    <w:rsid w:val="00113172"/>
    <w:rsid w:val="00117101"/>
    <w:rsid w:val="00136008"/>
    <w:rsid w:val="001378D7"/>
    <w:rsid w:val="00140CE5"/>
    <w:rsid w:val="00142268"/>
    <w:rsid w:val="00142FF6"/>
    <w:rsid w:val="001523BC"/>
    <w:rsid w:val="00155213"/>
    <w:rsid w:val="0015788B"/>
    <w:rsid w:val="001653B9"/>
    <w:rsid w:val="00166E31"/>
    <w:rsid w:val="00171530"/>
    <w:rsid w:val="001733FF"/>
    <w:rsid w:val="00173C61"/>
    <w:rsid w:val="00180EA3"/>
    <w:rsid w:val="00181BAF"/>
    <w:rsid w:val="00192D6B"/>
    <w:rsid w:val="00193244"/>
    <w:rsid w:val="001A70E5"/>
    <w:rsid w:val="001A7174"/>
    <w:rsid w:val="001A7EAF"/>
    <w:rsid w:val="001B3E44"/>
    <w:rsid w:val="001C2320"/>
    <w:rsid w:val="001C4A93"/>
    <w:rsid w:val="001C671D"/>
    <w:rsid w:val="001D172E"/>
    <w:rsid w:val="001D1DC6"/>
    <w:rsid w:val="001D60CB"/>
    <w:rsid w:val="001E04C5"/>
    <w:rsid w:val="002042EF"/>
    <w:rsid w:val="002056F7"/>
    <w:rsid w:val="00206620"/>
    <w:rsid w:val="00206B73"/>
    <w:rsid w:val="00212462"/>
    <w:rsid w:val="002140F1"/>
    <w:rsid w:val="002167DB"/>
    <w:rsid w:val="0021766C"/>
    <w:rsid w:val="00223AFE"/>
    <w:rsid w:val="00226993"/>
    <w:rsid w:val="002336D7"/>
    <w:rsid w:val="00242691"/>
    <w:rsid w:val="00245FC9"/>
    <w:rsid w:val="00247E32"/>
    <w:rsid w:val="0025361D"/>
    <w:rsid w:val="00264359"/>
    <w:rsid w:val="00265AD7"/>
    <w:rsid w:val="00274C54"/>
    <w:rsid w:val="00280D28"/>
    <w:rsid w:val="002826C4"/>
    <w:rsid w:val="002837B0"/>
    <w:rsid w:val="00285C36"/>
    <w:rsid w:val="002920F5"/>
    <w:rsid w:val="0029346F"/>
    <w:rsid w:val="002B5333"/>
    <w:rsid w:val="002B674F"/>
    <w:rsid w:val="002C15C5"/>
    <w:rsid w:val="002C1F97"/>
    <w:rsid w:val="002C3075"/>
    <w:rsid w:val="002C547E"/>
    <w:rsid w:val="002C719F"/>
    <w:rsid w:val="002D1FB6"/>
    <w:rsid w:val="002D3214"/>
    <w:rsid w:val="002E3E54"/>
    <w:rsid w:val="002E592B"/>
    <w:rsid w:val="002F061F"/>
    <w:rsid w:val="00303B26"/>
    <w:rsid w:val="003042B1"/>
    <w:rsid w:val="0030510B"/>
    <w:rsid w:val="00305C00"/>
    <w:rsid w:val="00313D73"/>
    <w:rsid w:val="003234E6"/>
    <w:rsid w:val="00333E56"/>
    <w:rsid w:val="003429F8"/>
    <w:rsid w:val="00355CAE"/>
    <w:rsid w:val="0035662A"/>
    <w:rsid w:val="003714DA"/>
    <w:rsid w:val="00371EF7"/>
    <w:rsid w:val="00373592"/>
    <w:rsid w:val="003735A9"/>
    <w:rsid w:val="00375224"/>
    <w:rsid w:val="00376ABA"/>
    <w:rsid w:val="00393AED"/>
    <w:rsid w:val="003960C3"/>
    <w:rsid w:val="003A79E1"/>
    <w:rsid w:val="003C077B"/>
    <w:rsid w:val="003C4DC4"/>
    <w:rsid w:val="003C6CCC"/>
    <w:rsid w:val="003D05FC"/>
    <w:rsid w:val="003D6539"/>
    <w:rsid w:val="003D715B"/>
    <w:rsid w:val="003E2657"/>
    <w:rsid w:val="003E66B5"/>
    <w:rsid w:val="003F1FB5"/>
    <w:rsid w:val="003F7C36"/>
    <w:rsid w:val="00412CA5"/>
    <w:rsid w:val="004366B2"/>
    <w:rsid w:val="0044085E"/>
    <w:rsid w:val="00456BEE"/>
    <w:rsid w:val="00457553"/>
    <w:rsid w:val="004638F0"/>
    <w:rsid w:val="00464795"/>
    <w:rsid w:val="00467BB5"/>
    <w:rsid w:val="004764A5"/>
    <w:rsid w:val="0048319E"/>
    <w:rsid w:val="00495288"/>
    <w:rsid w:val="00497D35"/>
    <w:rsid w:val="004A4EFA"/>
    <w:rsid w:val="004A640E"/>
    <w:rsid w:val="004C3B7B"/>
    <w:rsid w:val="004C3DB5"/>
    <w:rsid w:val="004D0D30"/>
    <w:rsid w:val="004D1D2C"/>
    <w:rsid w:val="004D21A6"/>
    <w:rsid w:val="004D3925"/>
    <w:rsid w:val="004E0AD8"/>
    <w:rsid w:val="004E53BE"/>
    <w:rsid w:val="004E690A"/>
    <w:rsid w:val="004F0DBF"/>
    <w:rsid w:val="00504DBE"/>
    <w:rsid w:val="00512E5A"/>
    <w:rsid w:val="00521AFE"/>
    <w:rsid w:val="005229CD"/>
    <w:rsid w:val="00533C55"/>
    <w:rsid w:val="00535368"/>
    <w:rsid w:val="00545E5A"/>
    <w:rsid w:val="00551AF8"/>
    <w:rsid w:val="00557074"/>
    <w:rsid w:val="00570DBB"/>
    <w:rsid w:val="00577667"/>
    <w:rsid w:val="005961E9"/>
    <w:rsid w:val="00597E85"/>
    <w:rsid w:val="005A566B"/>
    <w:rsid w:val="005A7179"/>
    <w:rsid w:val="005A772F"/>
    <w:rsid w:val="005B2B10"/>
    <w:rsid w:val="005B369D"/>
    <w:rsid w:val="005C2046"/>
    <w:rsid w:val="005C3427"/>
    <w:rsid w:val="005C3731"/>
    <w:rsid w:val="005C76EE"/>
    <w:rsid w:val="005D1FB4"/>
    <w:rsid w:val="005E713B"/>
    <w:rsid w:val="005F11CA"/>
    <w:rsid w:val="005F35D9"/>
    <w:rsid w:val="005F5181"/>
    <w:rsid w:val="00603D2F"/>
    <w:rsid w:val="00610C31"/>
    <w:rsid w:val="00615D9F"/>
    <w:rsid w:val="00622C71"/>
    <w:rsid w:val="0062443C"/>
    <w:rsid w:val="006276C7"/>
    <w:rsid w:val="00641D1C"/>
    <w:rsid w:val="006504F1"/>
    <w:rsid w:val="00653384"/>
    <w:rsid w:val="00656F32"/>
    <w:rsid w:val="00657605"/>
    <w:rsid w:val="006719CA"/>
    <w:rsid w:val="00675810"/>
    <w:rsid w:val="006910A1"/>
    <w:rsid w:val="00691D08"/>
    <w:rsid w:val="00694990"/>
    <w:rsid w:val="00697A86"/>
    <w:rsid w:val="006A236E"/>
    <w:rsid w:val="006A3A18"/>
    <w:rsid w:val="006B6F54"/>
    <w:rsid w:val="006B75F8"/>
    <w:rsid w:val="006E27A2"/>
    <w:rsid w:val="006E31DA"/>
    <w:rsid w:val="006E4663"/>
    <w:rsid w:val="006E5A3C"/>
    <w:rsid w:val="006E65D4"/>
    <w:rsid w:val="006F0BA3"/>
    <w:rsid w:val="006F545A"/>
    <w:rsid w:val="0070071E"/>
    <w:rsid w:val="007079E0"/>
    <w:rsid w:val="00711D9D"/>
    <w:rsid w:val="0072481D"/>
    <w:rsid w:val="00724C18"/>
    <w:rsid w:val="00733A0B"/>
    <w:rsid w:val="00751947"/>
    <w:rsid w:val="00753007"/>
    <w:rsid w:val="0075435F"/>
    <w:rsid w:val="00754E32"/>
    <w:rsid w:val="00756079"/>
    <w:rsid w:val="00757B2D"/>
    <w:rsid w:val="00760B04"/>
    <w:rsid w:val="007629BD"/>
    <w:rsid w:val="00764D26"/>
    <w:rsid w:val="00764EE3"/>
    <w:rsid w:val="00771E7F"/>
    <w:rsid w:val="00773584"/>
    <w:rsid w:val="00776EAE"/>
    <w:rsid w:val="007806A7"/>
    <w:rsid w:val="00782544"/>
    <w:rsid w:val="00787E97"/>
    <w:rsid w:val="00792329"/>
    <w:rsid w:val="007926B4"/>
    <w:rsid w:val="007A1E75"/>
    <w:rsid w:val="007A356B"/>
    <w:rsid w:val="007A5A57"/>
    <w:rsid w:val="007B1514"/>
    <w:rsid w:val="007C2B96"/>
    <w:rsid w:val="007E0F5C"/>
    <w:rsid w:val="007E1B35"/>
    <w:rsid w:val="007F0EFA"/>
    <w:rsid w:val="007F388C"/>
    <w:rsid w:val="007F5D35"/>
    <w:rsid w:val="0080381D"/>
    <w:rsid w:val="00804A91"/>
    <w:rsid w:val="00804F83"/>
    <w:rsid w:val="0080559D"/>
    <w:rsid w:val="00806135"/>
    <w:rsid w:val="00815764"/>
    <w:rsid w:val="00826A84"/>
    <w:rsid w:val="00832E7D"/>
    <w:rsid w:val="00836D3D"/>
    <w:rsid w:val="00846DDC"/>
    <w:rsid w:val="008648B0"/>
    <w:rsid w:val="00867E4A"/>
    <w:rsid w:val="00891F2A"/>
    <w:rsid w:val="00894FB6"/>
    <w:rsid w:val="0089686C"/>
    <w:rsid w:val="008A194A"/>
    <w:rsid w:val="008A62E8"/>
    <w:rsid w:val="008B1DC1"/>
    <w:rsid w:val="008B2849"/>
    <w:rsid w:val="008B3F86"/>
    <w:rsid w:val="008B485F"/>
    <w:rsid w:val="008C338D"/>
    <w:rsid w:val="008C3E9E"/>
    <w:rsid w:val="008C3EAC"/>
    <w:rsid w:val="008C468A"/>
    <w:rsid w:val="008C7986"/>
    <w:rsid w:val="008D021F"/>
    <w:rsid w:val="008D772C"/>
    <w:rsid w:val="008F1040"/>
    <w:rsid w:val="00907506"/>
    <w:rsid w:val="00911481"/>
    <w:rsid w:val="00911EB6"/>
    <w:rsid w:val="00917C43"/>
    <w:rsid w:val="00926040"/>
    <w:rsid w:val="00935037"/>
    <w:rsid w:val="00937E64"/>
    <w:rsid w:val="0094375E"/>
    <w:rsid w:val="00943EE3"/>
    <w:rsid w:val="0094608B"/>
    <w:rsid w:val="009474DD"/>
    <w:rsid w:val="0095593D"/>
    <w:rsid w:val="00955E15"/>
    <w:rsid w:val="009758EC"/>
    <w:rsid w:val="00985125"/>
    <w:rsid w:val="0098632A"/>
    <w:rsid w:val="00992D25"/>
    <w:rsid w:val="009A2D00"/>
    <w:rsid w:val="009B163E"/>
    <w:rsid w:val="009B4A7F"/>
    <w:rsid w:val="009B7094"/>
    <w:rsid w:val="009C764E"/>
    <w:rsid w:val="009D4CD5"/>
    <w:rsid w:val="009E08FD"/>
    <w:rsid w:val="009E32F8"/>
    <w:rsid w:val="009E6433"/>
    <w:rsid w:val="009F2EE8"/>
    <w:rsid w:val="009F73AA"/>
    <w:rsid w:val="00A03723"/>
    <w:rsid w:val="00A131BB"/>
    <w:rsid w:val="00A13AEC"/>
    <w:rsid w:val="00A30ABD"/>
    <w:rsid w:val="00A333E4"/>
    <w:rsid w:val="00A37D26"/>
    <w:rsid w:val="00A41B4B"/>
    <w:rsid w:val="00A44701"/>
    <w:rsid w:val="00A4679A"/>
    <w:rsid w:val="00A511EB"/>
    <w:rsid w:val="00A518EB"/>
    <w:rsid w:val="00A63C5F"/>
    <w:rsid w:val="00A75ECB"/>
    <w:rsid w:val="00A8352B"/>
    <w:rsid w:val="00A83985"/>
    <w:rsid w:val="00A9697F"/>
    <w:rsid w:val="00AA516D"/>
    <w:rsid w:val="00AB4067"/>
    <w:rsid w:val="00AB7334"/>
    <w:rsid w:val="00AC7A4D"/>
    <w:rsid w:val="00AD5C07"/>
    <w:rsid w:val="00AE3F15"/>
    <w:rsid w:val="00AE7C23"/>
    <w:rsid w:val="00AF164A"/>
    <w:rsid w:val="00AF25C0"/>
    <w:rsid w:val="00AF31B7"/>
    <w:rsid w:val="00AF4D31"/>
    <w:rsid w:val="00AF6B9E"/>
    <w:rsid w:val="00B015E1"/>
    <w:rsid w:val="00B01AB6"/>
    <w:rsid w:val="00B07162"/>
    <w:rsid w:val="00B12662"/>
    <w:rsid w:val="00B1327C"/>
    <w:rsid w:val="00B13D27"/>
    <w:rsid w:val="00B13F9B"/>
    <w:rsid w:val="00B13FE7"/>
    <w:rsid w:val="00B2408C"/>
    <w:rsid w:val="00B36ECE"/>
    <w:rsid w:val="00B37025"/>
    <w:rsid w:val="00B42189"/>
    <w:rsid w:val="00B4743E"/>
    <w:rsid w:val="00B544C2"/>
    <w:rsid w:val="00B6434F"/>
    <w:rsid w:val="00B65885"/>
    <w:rsid w:val="00B67D72"/>
    <w:rsid w:val="00B736D9"/>
    <w:rsid w:val="00B762C1"/>
    <w:rsid w:val="00B76C5B"/>
    <w:rsid w:val="00B84214"/>
    <w:rsid w:val="00B859BA"/>
    <w:rsid w:val="00B87368"/>
    <w:rsid w:val="00B8780E"/>
    <w:rsid w:val="00B92872"/>
    <w:rsid w:val="00B93689"/>
    <w:rsid w:val="00BA0886"/>
    <w:rsid w:val="00BA7D27"/>
    <w:rsid w:val="00BE4265"/>
    <w:rsid w:val="00BE5E2C"/>
    <w:rsid w:val="00BE6816"/>
    <w:rsid w:val="00BF1D91"/>
    <w:rsid w:val="00BF57E2"/>
    <w:rsid w:val="00C05C49"/>
    <w:rsid w:val="00C100CB"/>
    <w:rsid w:val="00C11F1B"/>
    <w:rsid w:val="00C32A3F"/>
    <w:rsid w:val="00C43523"/>
    <w:rsid w:val="00C46288"/>
    <w:rsid w:val="00C51943"/>
    <w:rsid w:val="00C56A0E"/>
    <w:rsid w:val="00C85ADB"/>
    <w:rsid w:val="00C90166"/>
    <w:rsid w:val="00C9330D"/>
    <w:rsid w:val="00C97BFA"/>
    <w:rsid w:val="00CA57FD"/>
    <w:rsid w:val="00CA7415"/>
    <w:rsid w:val="00CB2E81"/>
    <w:rsid w:val="00CC099F"/>
    <w:rsid w:val="00CC7BA5"/>
    <w:rsid w:val="00CD2E3D"/>
    <w:rsid w:val="00CD7951"/>
    <w:rsid w:val="00CE222C"/>
    <w:rsid w:val="00CE417B"/>
    <w:rsid w:val="00CF18E8"/>
    <w:rsid w:val="00CF1FA2"/>
    <w:rsid w:val="00D1362B"/>
    <w:rsid w:val="00D148C0"/>
    <w:rsid w:val="00D17F4B"/>
    <w:rsid w:val="00D20004"/>
    <w:rsid w:val="00D21019"/>
    <w:rsid w:val="00D32BE8"/>
    <w:rsid w:val="00D37F9E"/>
    <w:rsid w:val="00D52403"/>
    <w:rsid w:val="00D53698"/>
    <w:rsid w:val="00D54E64"/>
    <w:rsid w:val="00D563B6"/>
    <w:rsid w:val="00D6767A"/>
    <w:rsid w:val="00D706B0"/>
    <w:rsid w:val="00D71900"/>
    <w:rsid w:val="00D76116"/>
    <w:rsid w:val="00D77B1C"/>
    <w:rsid w:val="00D77CC7"/>
    <w:rsid w:val="00D871FF"/>
    <w:rsid w:val="00DA1C23"/>
    <w:rsid w:val="00DA713E"/>
    <w:rsid w:val="00DB5363"/>
    <w:rsid w:val="00DB63C6"/>
    <w:rsid w:val="00DC095D"/>
    <w:rsid w:val="00DC13DE"/>
    <w:rsid w:val="00DC1D27"/>
    <w:rsid w:val="00DC2B4C"/>
    <w:rsid w:val="00DC7D60"/>
    <w:rsid w:val="00DD354A"/>
    <w:rsid w:val="00DD5268"/>
    <w:rsid w:val="00DF16E9"/>
    <w:rsid w:val="00E02DC1"/>
    <w:rsid w:val="00E13486"/>
    <w:rsid w:val="00E14292"/>
    <w:rsid w:val="00E219B5"/>
    <w:rsid w:val="00E33EB4"/>
    <w:rsid w:val="00E379F0"/>
    <w:rsid w:val="00E37FB6"/>
    <w:rsid w:val="00E42246"/>
    <w:rsid w:val="00E52E68"/>
    <w:rsid w:val="00E55756"/>
    <w:rsid w:val="00E55ADA"/>
    <w:rsid w:val="00E70305"/>
    <w:rsid w:val="00E72F31"/>
    <w:rsid w:val="00E811D3"/>
    <w:rsid w:val="00E81913"/>
    <w:rsid w:val="00E93F3E"/>
    <w:rsid w:val="00E95C91"/>
    <w:rsid w:val="00EA3642"/>
    <w:rsid w:val="00EA5F1E"/>
    <w:rsid w:val="00EA6D80"/>
    <w:rsid w:val="00EB17AF"/>
    <w:rsid w:val="00EB4FAF"/>
    <w:rsid w:val="00ED5902"/>
    <w:rsid w:val="00ED6A65"/>
    <w:rsid w:val="00EE0281"/>
    <w:rsid w:val="00EE4349"/>
    <w:rsid w:val="00EF3397"/>
    <w:rsid w:val="00EF3F73"/>
    <w:rsid w:val="00EF73A4"/>
    <w:rsid w:val="00EF7489"/>
    <w:rsid w:val="00EF7B36"/>
    <w:rsid w:val="00F03E8D"/>
    <w:rsid w:val="00F10038"/>
    <w:rsid w:val="00F17166"/>
    <w:rsid w:val="00F23D15"/>
    <w:rsid w:val="00F25329"/>
    <w:rsid w:val="00F25DF4"/>
    <w:rsid w:val="00F30941"/>
    <w:rsid w:val="00F32427"/>
    <w:rsid w:val="00F346AC"/>
    <w:rsid w:val="00F349C5"/>
    <w:rsid w:val="00F400FF"/>
    <w:rsid w:val="00F43DD5"/>
    <w:rsid w:val="00F44E9D"/>
    <w:rsid w:val="00F44F5D"/>
    <w:rsid w:val="00F57AF8"/>
    <w:rsid w:val="00F60496"/>
    <w:rsid w:val="00F604ED"/>
    <w:rsid w:val="00F669EE"/>
    <w:rsid w:val="00F70431"/>
    <w:rsid w:val="00F72A30"/>
    <w:rsid w:val="00F74C10"/>
    <w:rsid w:val="00F82B8B"/>
    <w:rsid w:val="00F833C2"/>
    <w:rsid w:val="00F87179"/>
    <w:rsid w:val="00F90227"/>
    <w:rsid w:val="00F902C2"/>
    <w:rsid w:val="00F90F68"/>
    <w:rsid w:val="00F937F3"/>
    <w:rsid w:val="00F93FA4"/>
    <w:rsid w:val="00FA0231"/>
    <w:rsid w:val="00FA3A34"/>
    <w:rsid w:val="00FA3DC9"/>
    <w:rsid w:val="00FA4F47"/>
    <w:rsid w:val="00FB19E4"/>
    <w:rsid w:val="00FB293C"/>
    <w:rsid w:val="00FC30FC"/>
    <w:rsid w:val="00FD2202"/>
    <w:rsid w:val="00FD3FF2"/>
    <w:rsid w:val="00FE13B6"/>
    <w:rsid w:val="00FF1928"/>
    <w:rsid w:val="00FF38A9"/>
    <w:rsid w:val="00FF5824"/>
    <w:rsid w:val="01075376"/>
    <w:rsid w:val="010D427B"/>
    <w:rsid w:val="01522FD5"/>
    <w:rsid w:val="015E7A86"/>
    <w:rsid w:val="018865F4"/>
    <w:rsid w:val="01901C06"/>
    <w:rsid w:val="01BA6782"/>
    <w:rsid w:val="01C669C3"/>
    <w:rsid w:val="01E704D4"/>
    <w:rsid w:val="026C302E"/>
    <w:rsid w:val="027C16B8"/>
    <w:rsid w:val="029A3526"/>
    <w:rsid w:val="02B81FC4"/>
    <w:rsid w:val="02BF3EAD"/>
    <w:rsid w:val="02F30621"/>
    <w:rsid w:val="03363F4A"/>
    <w:rsid w:val="035C5EB1"/>
    <w:rsid w:val="037C7B90"/>
    <w:rsid w:val="0388101D"/>
    <w:rsid w:val="03A8028B"/>
    <w:rsid w:val="03DB74C4"/>
    <w:rsid w:val="03EA08A3"/>
    <w:rsid w:val="041A374B"/>
    <w:rsid w:val="04476CA5"/>
    <w:rsid w:val="044E5D30"/>
    <w:rsid w:val="046F1527"/>
    <w:rsid w:val="047172B6"/>
    <w:rsid w:val="04884B80"/>
    <w:rsid w:val="049A4077"/>
    <w:rsid w:val="04E10D91"/>
    <w:rsid w:val="050F7B87"/>
    <w:rsid w:val="05123299"/>
    <w:rsid w:val="052B1309"/>
    <w:rsid w:val="052C0A0D"/>
    <w:rsid w:val="05384A18"/>
    <w:rsid w:val="0543026B"/>
    <w:rsid w:val="05455CCF"/>
    <w:rsid w:val="054D2E98"/>
    <w:rsid w:val="0552672D"/>
    <w:rsid w:val="05571F68"/>
    <w:rsid w:val="05771527"/>
    <w:rsid w:val="057C63FE"/>
    <w:rsid w:val="05C72E63"/>
    <w:rsid w:val="06074B65"/>
    <w:rsid w:val="06186459"/>
    <w:rsid w:val="0645316C"/>
    <w:rsid w:val="0652385F"/>
    <w:rsid w:val="066466EB"/>
    <w:rsid w:val="066C74CD"/>
    <w:rsid w:val="067E5222"/>
    <w:rsid w:val="068E0A70"/>
    <w:rsid w:val="06935451"/>
    <w:rsid w:val="06A86609"/>
    <w:rsid w:val="06AC7AFA"/>
    <w:rsid w:val="06C0220B"/>
    <w:rsid w:val="07266B25"/>
    <w:rsid w:val="07393278"/>
    <w:rsid w:val="07682031"/>
    <w:rsid w:val="07746C0E"/>
    <w:rsid w:val="077C6004"/>
    <w:rsid w:val="07B775A1"/>
    <w:rsid w:val="08645744"/>
    <w:rsid w:val="08991640"/>
    <w:rsid w:val="08A57CAC"/>
    <w:rsid w:val="08C35153"/>
    <w:rsid w:val="08E564AA"/>
    <w:rsid w:val="08FA6A85"/>
    <w:rsid w:val="095B75E9"/>
    <w:rsid w:val="0990396B"/>
    <w:rsid w:val="0998469B"/>
    <w:rsid w:val="09A067CC"/>
    <w:rsid w:val="09EB2C7F"/>
    <w:rsid w:val="0A6C7F90"/>
    <w:rsid w:val="0A717628"/>
    <w:rsid w:val="0A981752"/>
    <w:rsid w:val="0A9B387F"/>
    <w:rsid w:val="0AD656DD"/>
    <w:rsid w:val="0B220220"/>
    <w:rsid w:val="0B651FAB"/>
    <w:rsid w:val="0BA63302"/>
    <w:rsid w:val="0BBC50B8"/>
    <w:rsid w:val="0BDF6088"/>
    <w:rsid w:val="0BF14FE1"/>
    <w:rsid w:val="0C0A57F4"/>
    <w:rsid w:val="0C0E5438"/>
    <w:rsid w:val="0C6E18F7"/>
    <w:rsid w:val="0C772EBD"/>
    <w:rsid w:val="0CB63A18"/>
    <w:rsid w:val="0CE31F90"/>
    <w:rsid w:val="0D0B3D64"/>
    <w:rsid w:val="0D0C2EB8"/>
    <w:rsid w:val="0D142104"/>
    <w:rsid w:val="0D3A2B85"/>
    <w:rsid w:val="0D40111B"/>
    <w:rsid w:val="0D4032E2"/>
    <w:rsid w:val="0D4A4F41"/>
    <w:rsid w:val="0D75205D"/>
    <w:rsid w:val="0DA612C9"/>
    <w:rsid w:val="0DAE533D"/>
    <w:rsid w:val="0DB6513F"/>
    <w:rsid w:val="0DB82777"/>
    <w:rsid w:val="0DD65638"/>
    <w:rsid w:val="0DE10918"/>
    <w:rsid w:val="0DF366E5"/>
    <w:rsid w:val="0E103627"/>
    <w:rsid w:val="0E290DAE"/>
    <w:rsid w:val="0E2B5B32"/>
    <w:rsid w:val="0E3E0F0C"/>
    <w:rsid w:val="0E5F31C0"/>
    <w:rsid w:val="0E622D37"/>
    <w:rsid w:val="0E71630D"/>
    <w:rsid w:val="0E783E9E"/>
    <w:rsid w:val="0E841420"/>
    <w:rsid w:val="0EAB2B6B"/>
    <w:rsid w:val="0ECB6374"/>
    <w:rsid w:val="0EED4EC0"/>
    <w:rsid w:val="0EF055A6"/>
    <w:rsid w:val="0F422C02"/>
    <w:rsid w:val="0F9D3360"/>
    <w:rsid w:val="100B1B19"/>
    <w:rsid w:val="103C5D1C"/>
    <w:rsid w:val="105C7D07"/>
    <w:rsid w:val="1077526D"/>
    <w:rsid w:val="108732FD"/>
    <w:rsid w:val="1094667F"/>
    <w:rsid w:val="10ED48B7"/>
    <w:rsid w:val="10FC7073"/>
    <w:rsid w:val="111059D6"/>
    <w:rsid w:val="1111746F"/>
    <w:rsid w:val="115E2578"/>
    <w:rsid w:val="11896D30"/>
    <w:rsid w:val="11A817FE"/>
    <w:rsid w:val="11C0747E"/>
    <w:rsid w:val="11FC654D"/>
    <w:rsid w:val="121C345B"/>
    <w:rsid w:val="121D1E44"/>
    <w:rsid w:val="122B5F07"/>
    <w:rsid w:val="1243751B"/>
    <w:rsid w:val="12464B79"/>
    <w:rsid w:val="124675EC"/>
    <w:rsid w:val="127F432E"/>
    <w:rsid w:val="12856C11"/>
    <w:rsid w:val="12907057"/>
    <w:rsid w:val="12A43414"/>
    <w:rsid w:val="12BA2EF2"/>
    <w:rsid w:val="12D02550"/>
    <w:rsid w:val="13174185"/>
    <w:rsid w:val="131A4868"/>
    <w:rsid w:val="13274D05"/>
    <w:rsid w:val="133064DC"/>
    <w:rsid w:val="13394A5B"/>
    <w:rsid w:val="133E6F8D"/>
    <w:rsid w:val="13496947"/>
    <w:rsid w:val="139B7769"/>
    <w:rsid w:val="13BF2233"/>
    <w:rsid w:val="13D27D28"/>
    <w:rsid w:val="13D949BE"/>
    <w:rsid w:val="140C0338"/>
    <w:rsid w:val="147C14FB"/>
    <w:rsid w:val="14817C14"/>
    <w:rsid w:val="149979A8"/>
    <w:rsid w:val="14F935AB"/>
    <w:rsid w:val="150E12AF"/>
    <w:rsid w:val="154D6A15"/>
    <w:rsid w:val="15744533"/>
    <w:rsid w:val="1584272E"/>
    <w:rsid w:val="15B26D34"/>
    <w:rsid w:val="15BD0C28"/>
    <w:rsid w:val="15BE7216"/>
    <w:rsid w:val="15D658BA"/>
    <w:rsid w:val="15E1443D"/>
    <w:rsid w:val="15E1552A"/>
    <w:rsid w:val="15F40F4A"/>
    <w:rsid w:val="15FC3C97"/>
    <w:rsid w:val="15FC6215"/>
    <w:rsid w:val="16060CB0"/>
    <w:rsid w:val="163F3EA0"/>
    <w:rsid w:val="164D06AD"/>
    <w:rsid w:val="1658384A"/>
    <w:rsid w:val="168C7CFC"/>
    <w:rsid w:val="169B4A29"/>
    <w:rsid w:val="16CA07EC"/>
    <w:rsid w:val="16E10C3D"/>
    <w:rsid w:val="171121E7"/>
    <w:rsid w:val="171C6B6E"/>
    <w:rsid w:val="173C0AE5"/>
    <w:rsid w:val="174F79F2"/>
    <w:rsid w:val="17650803"/>
    <w:rsid w:val="176A1224"/>
    <w:rsid w:val="1772678E"/>
    <w:rsid w:val="1778091B"/>
    <w:rsid w:val="178C2F0B"/>
    <w:rsid w:val="17906437"/>
    <w:rsid w:val="17A30732"/>
    <w:rsid w:val="1830034C"/>
    <w:rsid w:val="187C6B97"/>
    <w:rsid w:val="1891477A"/>
    <w:rsid w:val="18A4506D"/>
    <w:rsid w:val="18AC2652"/>
    <w:rsid w:val="18AF5DCE"/>
    <w:rsid w:val="18B52DD6"/>
    <w:rsid w:val="18B627D8"/>
    <w:rsid w:val="18C12E57"/>
    <w:rsid w:val="18ED7E05"/>
    <w:rsid w:val="18EF16BA"/>
    <w:rsid w:val="19191E95"/>
    <w:rsid w:val="192B70A3"/>
    <w:rsid w:val="19383F06"/>
    <w:rsid w:val="197A7080"/>
    <w:rsid w:val="199371D9"/>
    <w:rsid w:val="19CF2F48"/>
    <w:rsid w:val="1A0C2EC9"/>
    <w:rsid w:val="1A2D1B38"/>
    <w:rsid w:val="1A4357AF"/>
    <w:rsid w:val="1ADB3B54"/>
    <w:rsid w:val="1AF402FB"/>
    <w:rsid w:val="1B0C2FDB"/>
    <w:rsid w:val="1B1C1E92"/>
    <w:rsid w:val="1B1D29FA"/>
    <w:rsid w:val="1B2F5F87"/>
    <w:rsid w:val="1B6423A8"/>
    <w:rsid w:val="1B6D05A6"/>
    <w:rsid w:val="1B935EFE"/>
    <w:rsid w:val="1BA65DF2"/>
    <w:rsid w:val="1BB03922"/>
    <w:rsid w:val="1BBF18E0"/>
    <w:rsid w:val="1BED0AD9"/>
    <w:rsid w:val="1C0D1768"/>
    <w:rsid w:val="1C47468D"/>
    <w:rsid w:val="1C4D5F14"/>
    <w:rsid w:val="1C665DD8"/>
    <w:rsid w:val="1C9E0606"/>
    <w:rsid w:val="1C9F6277"/>
    <w:rsid w:val="1CEF2854"/>
    <w:rsid w:val="1D1C43F3"/>
    <w:rsid w:val="1D1E5B73"/>
    <w:rsid w:val="1D886D0B"/>
    <w:rsid w:val="1DAE4901"/>
    <w:rsid w:val="1DD27536"/>
    <w:rsid w:val="1E23454B"/>
    <w:rsid w:val="1E2C7AE8"/>
    <w:rsid w:val="1E404631"/>
    <w:rsid w:val="1E9F2250"/>
    <w:rsid w:val="1EBB0A1A"/>
    <w:rsid w:val="1EBD735A"/>
    <w:rsid w:val="1ED87A98"/>
    <w:rsid w:val="1EDC3994"/>
    <w:rsid w:val="1EEF72C1"/>
    <w:rsid w:val="1F25010B"/>
    <w:rsid w:val="1F6400AC"/>
    <w:rsid w:val="1F7C0BD3"/>
    <w:rsid w:val="1FD6566B"/>
    <w:rsid w:val="1FDE71B0"/>
    <w:rsid w:val="201E06D5"/>
    <w:rsid w:val="205639A3"/>
    <w:rsid w:val="207F50F2"/>
    <w:rsid w:val="208A5CC5"/>
    <w:rsid w:val="20D75EF1"/>
    <w:rsid w:val="20EF5C2D"/>
    <w:rsid w:val="210D2847"/>
    <w:rsid w:val="2115527C"/>
    <w:rsid w:val="2124007C"/>
    <w:rsid w:val="213A5897"/>
    <w:rsid w:val="214348D3"/>
    <w:rsid w:val="21562C7C"/>
    <w:rsid w:val="2168092B"/>
    <w:rsid w:val="217102AD"/>
    <w:rsid w:val="21815F4B"/>
    <w:rsid w:val="21843B1C"/>
    <w:rsid w:val="21917931"/>
    <w:rsid w:val="219E6738"/>
    <w:rsid w:val="21CC654E"/>
    <w:rsid w:val="21D70261"/>
    <w:rsid w:val="221D6557"/>
    <w:rsid w:val="22494FF3"/>
    <w:rsid w:val="224B2AEE"/>
    <w:rsid w:val="2260197D"/>
    <w:rsid w:val="2264222E"/>
    <w:rsid w:val="227D5E0B"/>
    <w:rsid w:val="22A72870"/>
    <w:rsid w:val="22D64075"/>
    <w:rsid w:val="22F745A9"/>
    <w:rsid w:val="2305267D"/>
    <w:rsid w:val="23496F3C"/>
    <w:rsid w:val="234F12F3"/>
    <w:rsid w:val="23512D44"/>
    <w:rsid w:val="236710EB"/>
    <w:rsid w:val="239E48E9"/>
    <w:rsid w:val="23C30A9D"/>
    <w:rsid w:val="24394E29"/>
    <w:rsid w:val="246C3D16"/>
    <w:rsid w:val="2498348F"/>
    <w:rsid w:val="24BD609C"/>
    <w:rsid w:val="24D20AFB"/>
    <w:rsid w:val="24F77510"/>
    <w:rsid w:val="254508AE"/>
    <w:rsid w:val="25A2713F"/>
    <w:rsid w:val="25F42680"/>
    <w:rsid w:val="25F5765E"/>
    <w:rsid w:val="25FF71F0"/>
    <w:rsid w:val="26031625"/>
    <w:rsid w:val="26624F0C"/>
    <w:rsid w:val="26663961"/>
    <w:rsid w:val="267E6C87"/>
    <w:rsid w:val="26A12E02"/>
    <w:rsid w:val="26A25B6C"/>
    <w:rsid w:val="26B11081"/>
    <w:rsid w:val="26F45FE8"/>
    <w:rsid w:val="26F5375D"/>
    <w:rsid w:val="271832C6"/>
    <w:rsid w:val="27217F50"/>
    <w:rsid w:val="27341B5F"/>
    <w:rsid w:val="275D3E4C"/>
    <w:rsid w:val="276A122F"/>
    <w:rsid w:val="276B2F4E"/>
    <w:rsid w:val="279D2263"/>
    <w:rsid w:val="27AA1AFA"/>
    <w:rsid w:val="27EC5CB3"/>
    <w:rsid w:val="280478D6"/>
    <w:rsid w:val="28081174"/>
    <w:rsid w:val="286F08E6"/>
    <w:rsid w:val="287A6EA8"/>
    <w:rsid w:val="288A6088"/>
    <w:rsid w:val="289F15C7"/>
    <w:rsid w:val="28E57BBA"/>
    <w:rsid w:val="28F21DEB"/>
    <w:rsid w:val="28FF7D69"/>
    <w:rsid w:val="2902302E"/>
    <w:rsid w:val="29396EFA"/>
    <w:rsid w:val="294136FE"/>
    <w:rsid w:val="2967011C"/>
    <w:rsid w:val="296B4003"/>
    <w:rsid w:val="29C966E1"/>
    <w:rsid w:val="29F7670F"/>
    <w:rsid w:val="29FD006C"/>
    <w:rsid w:val="2A32384A"/>
    <w:rsid w:val="2A404244"/>
    <w:rsid w:val="2A4A174A"/>
    <w:rsid w:val="2A827808"/>
    <w:rsid w:val="2A8D61A4"/>
    <w:rsid w:val="2A9F5381"/>
    <w:rsid w:val="2AA40EDE"/>
    <w:rsid w:val="2AAB5EEB"/>
    <w:rsid w:val="2AE15CAC"/>
    <w:rsid w:val="2B3B360F"/>
    <w:rsid w:val="2B4C3EC9"/>
    <w:rsid w:val="2B960845"/>
    <w:rsid w:val="2B975B00"/>
    <w:rsid w:val="2B9B4592"/>
    <w:rsid w:val="2BCD0A6E"/>
    <w:rsid w:val="2BFF463C"/>
    <w:rsid w:val="2C27148C"/>
    <w:rsid w:val="2C354016"/>
    <w:rsid w:val="2C7652A9"/>
    <w:rsid w:val="2CCC3583"/>
    <w:rsid w:val="2CD31625"/>
    <w:rsid w:val="2CD939B2"/>
    <w:rsid w:val="2CEB2208"/>
    <w:rsid w:val="2D16678B"/>
    <w:rsid w:val="2D60735C"/>
    <w:rsid w:val="2D6B36B6"/>
    <w:rsid w:val="2D7D04F6"/>
    <w:rsid w:val="2D87193E"/>
    <w:rsid w:val="2DE57862"/>
    <w:rsid w:val="2DF112E3"/>
    <w:rsid w:val="2E0B376C"/>
    <w:rsid w:val="2E0C1292"/>
    <w:rsid w:val="2E255492"/>
    <w:rsid w:val="2E2E4AD7"/>
    <w:rsid w:val="2E786556"/>
    <w:rsid w:val="2EC954BE"/>
    <w:rsid w:val="2EDD3C05"/>
    <w:rsid w:val="2F1D79F3"/>
    <w:rsid w:val="2F1E6B07"/>
    <w:rsid w:val="2FEA19F8"/>
    <w:rsid w:val="30017F6B"/>
    <w:rsid w:val="3022361C"/>
    <w:rsid w:val="30766201"/>
    <w:rsid w:val="30894C2B"/>
    <w:rsid w:val="308A7982"/>
    <w:rsid w:val="30A75524"/>
    <w:rsid w:val="30ED5B06"/>
    <w:rsid w:val="31423879"/>
    <w:rsid w:val="31475C3D"/>
    <w:rsid w:val="3148438F"/>
    <w:rsid w:val="314F236E"/>
    <w:rsid w:val="31915D35"/>
    <w:rsid w:val="31997053"/>
    <w:rsid w:val="31A63EFA"/>
    <w:rsid w:val="31BD6DE3"/>
    <w:rsid w:val="31C872F8"/>
    <w:rsid w:val="320E446D"/>
    <w:rsid w:val="323A6E3C"/>
    <w:rsid w:val="32590FE4"/>
    <w:rsid w:val="325B50D8"/>
    <w:rsid w:val="32695B45"/>
    <w:rsid w:val="32936683"/>
    <w:rsid w:val="32F61A17"/>
    <w:rsid w:val="336851BD"/>
    <w:rsid w:val="33846A94"/>
    <w:rsid w:val="338A391C"/>
    <w:rsid w:val="338C5397"/>
    <w:rsid w:val="33A31678"/>
    <w:rsid w:val="33A439BA"/>
    <w:rsid w:val="33C6713C"/>
    <w:rsid w:val="33CA51D2"/>
    <w:rsid w:val="34037F38"/>
    <w:rsid w:val="34191D49"/>
    <w:rsid w:val="343F1729"/>
    <w:rsid w:val="344B3EE6"/>
    <w:rsid w:val="3453300E"/>
    <w:rsid w:val="34631948"/>
    <w:rsid w:val="347412C9"/>
    <w:rsid w:val="349B0E24"/>
    <w:rsid w:val="34B44ACF"/>
    <w:rsid w:val="35137D50"/>
    <w:rsid w:val="351C0723"/>
    <w:rsid w:val="351E493F"/>
    <w:rsid w:val="35622F34"/>
    <w:rsid w:val="3594122D"/>
    <w:rsid w:val="35965B6E"/>
    <w:rsid w:val="35B171E8"/>
    <w:rsid w:val="35B53FBD"/>
    <w:rsid w:val="35E95339"/>
    <w:rsid w:val="360879A5"/>
    <w:rsid w:val="3618762F"/>
    <w:rsid w:val="362A49AB"/>
    <w:rsid w:val="362B5020"/>
    <w:rsid w:val="364779B7"/>
    <w:rsid w:val="3688380E"/>
    <w:rsid w:val="36E256B2"/>
    <w:rsid w:val="36FC6348"/>
    <w:rsid w:val="373A4D44"/>
    <w:rsid w:val="3745693D"/>
    <w:rsid w:val="374A4338"/>
    <w:rsid w:val="37675CB0"/>
    <w:rsid w:val="378F17CD"/>
    <w:rsid w:val="37AF69F4"/>
    <w:rsid w:val="37B805E5"/>
    <w:rsid w:val="37CB0D94"/>
    <w:rsid w:val="37D227DC"/>
    <w:rsid w:val="37F14509"/>
    <w:rsid w:val="37F74370"/>
    <w:rsid w:val="3803536C"/>
    <w:rsid w:val="380C2FA2"/>
    <w:rsid w:val="382533D4"/>
    <w:rsid w:val="384B54BA"/>
    <w:rsid w:val="3861429D"/>
    <w:rsid w:val="38653B77"/>
    <w:rsid w:val="38A734CE"/>
    <w:rsid w:val="38AE6310"/>
    <w:rsid w:val="38C63F2C"/>
    <w:rsid w:val="38E61E80"/>
    <w:rsid w:val="390E2362"/>
    <w:rsid w:val="391923A9"/>
    <w:rsid w:val="393F39FD"/>
    <w:rsid w:val="39587A5F"/>
    <w:rsid w:val="398E1149"/>
    <w:rsid w:val="39A02876"/>
    <w:rsid w:val="39BC4DC8"/>
    <w:rsid w:val="39C90EC0"/>
    <w:rsid w:val="39DD3AE3"/>
    <w:rsid w:val="39DF3CFF"/>
    <w:rsid w:val="39F33F96"/>
    <w:rsid w:val="3A216DEA"/>
    <w:rsid w:val="3A2A25BD"/>
    <w:rsid w:val="3A31048C"/>
    <w:rsid w:val="3A6D2D5F"/>
    <w:rsid w:val="3A840D8A"/>
    <w:rsid w:val="3AC05B98"/>
    <w:rsid w:val="3AE9658E"/>
    <w:rsid w:val="3AF5165A"/>
    <w:rsid w:val="3B294B84"/>
    <w:rsid w:val="3B401E4A"/>
    <w:rsid w:val="3B970DFD"/>
    <w:rsid w:val="3C111D45"/>
    <w:rsid w:val="3C6132D4"/>
    <w:rsid w:val="3C775321"/>
    <w:rsid w:val="3C7E7080"/>
    <w:rsid w:val="3CC44DFC"/>
    <w:rsid w:val="3CEB6FA5"/>
    <w:rsid w:val="3D0C2F35"/>
    <w:rsid w:val="3D106EA8"/>
    <w:rsid w:val="3D4B2A69"/>
    <w:rsid w:val="3D675213"/>
    <w:rsid w:val="3D705CAA"/>
    <w:rsid w:val="3D8D4C12"/>
    <w:rsid w:val="3DA35AEA"/>
    <w:rsid w:val="3DA940B9"/>
    <w:rsid w:val="3DB93259"/>
    <w:rsid w:val="3DBF283F"/>
    <w:rsid w:val="3DD8073C"/>
    <w:rsid w:val="3DE50E3F"/>
    <w:rsid w:val="3DEB44F9"/>
    <w:rsid w:val="3E33357D"/>
    <w:rsid w:val="3E883383"/>
    <w:rsid w:val="3E921D0C"/>
    <w:rsid w:val="3EDE2FDA"/>
    <w:rsid w:val="3EE213D5"/>
    <w:rsid w:val="3EF70D0C"/>
    <w:rsid w:val="3EF71B24"/>
    <w:rsid w:val="3F306BC1"/>
    <w:rsid w:val="3F6B79CE"/>
    <w:rsid w:val="3F6E195D"/>
    <w:rsid w:val="3F82034F"/>
    <w:rsid w:val="3F917E5C"/>
    <w:rsid w:val="3F9F370C"/>
    <w:rsid w:val="3FBB6674"/>
    <w:rsid w:val="3FBC6D60"/>
    <w:rsid w:val="3FC01EDD"/>
    <w:rsid w:val="404A1C7B"/>
    <w:rsid w:val="40604610"/>
    <w:rsid w:val="40AA46A6"/>
    <w:rsid w:val="40D92974"/>
    <w:rsid w:val="414032D5"/>
    <w:rsid w:val="4152490D"/>
    <w:rsid w:val="415563F3"/>
    <w:rsid w:val="41EC4A68"/>
    <w:rsid w:val="41FD7B77"/>
    <w:rsid w:val="42081656"/>
    <w:rsid w:val="421227E9"/>
    <w:rsid w:val="4250579A"/>
    <w:rsid w:val="425758BF"/>
    <w:rsid w:val="426E3E5E"/>
    <w:rsid w:val="42AE6B08"/>
    <w:rsid w:val="42B222A1"/>
    <w:rsid w:val="42CB5526"/>
    <w:rsid w:val="431C776B"/>
    <w:rsid w:val="43237A65"/>
    <w:rsid w:val="43256EB4"/>
    <w:rsid w:val="434C4A8C"/>
    <w:rsid w:val="43630837"/>
    <w:rsid w:val="438B1AD2"/>
    <w:rsid w:val="43C24475"/>
    <w:rsid w:val="43D54E3C"/>
    <w:rsid w:val="43DB791E"/>
    <w:rsid w:val="440579AF"/>
    <w:rsid w:val="441D1ACF"/>
    <w:rsid w:val="447E4A57"/>
    <w:rsid w:val="44862F50"/>
    <w:rsid w:val="449B7BAA"/>
    <w:rsid w:val="44BC7578"/>
    <w:rsid w:val="44D73F50"/>
    <w:rsid w:val="45101210"/>
    <w:rsid w:val="45177D35"/>
    <w:rsid w:val="45212B51"/>
    <w:rsid w:val="452F17AC"/>
    <w:rsid w:val="453C1825"/>
    <w:rsid w:val="45475FAD"/>
    <w:rsid w:val="4582096A"/>
    <w:rsid w:val="458F6A79"/>
    <w:rsid w:val="45943BEF"/>
    <w:rsid w:val="45B45D7D"/>
    <w:rsid w:val="45B974A7"/>
    <w:rsid w:val="45C506BC"/>
    <w:rsid w:val="45D264C6"/>
    <w:rsid w:val="45ED74FF"/>
    <w:rsid w:val="46130A53"/>
    <w:rsid w:val="462F2B71"/>
    <w:rsid w:val="466221DD"/>
    <w:rsid w:val="46684CFC"/>
    <w:rsid w:val="467171AF"/>
    <w:rsid w:val="46932F3D"/>
    <w:rsid w:val="46A47F54"/>
    <w:rsid w:val="46DB59F4"/>
    <w:rsid w:val="47613FA5"/>
    <w:rsid w:val="47901351"/>
    <w:rsid w:val="47975C19"/>
    <w:rsid w:val="47B447B8"/>
    <w:rsid w:val="47CA7D9C"/>
    <w:rsid w:val="48273C8C"/>
    <w:rsid w:val="4851307D"/>
    <w:rsid w:val="48557B7D"/>
    <w:rsid w:val="48AE74B2"/>
    <w:rsid w:val="48B8617D"/>
    <w:rsid w:val="48D9732C"/>
    <w:rsid w:val="49420D48"/>
    <w:rsid w:val="49580489"/>
    <w:rsid w:val="4959087F"/>
    <w:rsid w:val="495D3758"/>
    <w:rsid w:val="496E6789"/>
    <w:rsid w:val="49BB5BEF"/>
    <w:rsid w:val="49CD76D0"/>
    <w:rsid w:val="49CF1C21"/>
    <w:rsid w:val="49D374A6"/>
    <w:rsid w:val="4A027854"/>
    <w:rsid w:val="4A4540C0"/>
    <w:rsid w:val="4A466713"/>
    <w:rsid w:val="4A4957BD"/>
    <w:rsid w:val="4A631216"/>
    <w:rsid w:val="4A68036E"/>
    <w:rsid w:val="4A752C1D"/>
    <w:rsid w:val="4A7B0125"/>
    <w:rsid w:val="4A873F27"/>
    <w:rsid w:val="4A893F03"/>
    <w:rsid w:val="4AA84AD3"/>
    <w:rsid w:val="4AB8212E"/>
    <w:rsid w:val="4ADD1A5D"/>
    <w:rsid w:val="4AE11405"/>
    <w:rsid w:val="4B1032E1"/>
    <w:rsid w:val="4B2C6A31"/>
    <w:rsid w:val="4B724926"/>
    <w:rsid w:val="4B7D103C"/>
    <w:rsid w:val="4BCC7617"/>
    <w:rsid w:val="4BCF6EDD"/>
    <w:rsid w:val="4C373527"/>
    <w:rsid w:val="4C49293F"/>
    <w:rsid w:val="4C9D1C5D"/>
    <w:rsid w:val="4C9F011F"/>
    <w:rsid w:val="4CA847E5"/>
    <w:rsid w:val="4CEC30A9"/>
    <w:rsid w:val="4D2E21F3"/>
    <w:rsid w:val="4D492340"/>
    <w:rsid w:val="4D585A0E"/>
    <w:rsid w:val="4D7D4D42"/>
    <w:rsid w:val="4DA00D3E"/>
    <w:rsid w:val="4DB51D1E"/>
    <w:rsid w:val="4E306C62"/>
    <w:rsid w:val="4E314BC2"/>
    <w:rsid w:val="4E447454"/>
    <w:rsid w:val="4E5713A7"/>
    <w:rsid w:val="4E9D0F60"/>
    <w:rsid w:val="4EA11130"/>
    <w:rsid w:val="4EC57C70"/>
    <w:rsid w:val="4ECE28CA"/>
    <w:rsid w:val="4EF51408"/>
    <w:rsid w:val="4F2F0AC3"/>
    <w:rsid w:val="4F427D20"/>
    <w:rsid w:val="4F6C1915"/>
    <w:rsid w:val="4FAE4891"/>
    <w:rsid w:val="4FD277EE"/>
    <w:rsid w:val="50067FD5"/>
    <w:rsid w:val="500B5E8E"/>
    <w:rsid w:val="501F0559"/>
    <w:rsid w:val="503308CA"/>
    <w:rsid w:val="50362716"/>
    <w:rsid w:val="50396248"/>
    <w:rsid w:val="50516A80"/>
    <w:rsid w:val="506325F2"/>
    <w:rsid w:val="509B3CC4"/>
    <w:rsid w:val="50B83DB4"/>
    <w:rsid w:val="50E235DE"/>
    <w:rsid w:val="50E704E7"/>
    <w:rsid w:val="510023D9"/>
    <w:rsid w:val="511C3B18"/>
    <w:rsid w:val="51AB6549"/>
    <w:rsid w:val="51B81079"/>
    <w:rsid w:val="520B5981"/>
    <w:rsid w:val="521079F1"/>
    <w:rsid w:val="52294486"/>
    <w:rsid w:val="522D4C64"/>
    <w:rsid w:val="52367B84"/>
    <w:rsid w:val="524B3888"/>
    <w:rsid w:val="524E52F4"/>
    <w:rsid w:val="524F6783"/>
    <w:rsid w:val="52500E9E"/>
    <w:rsid w:val="526F6DA1"/>
    <w:rsid w:val="52990ADE"/>
    <w:rsid w:val="529B29EF"/>
    <w:rsid w:val="52B668B4"/>
    <w:rsid w:val="52D01FDF"/>
    <w:rsid w:val="52F3506A"/>
    <w:rsid w:val="53106882"/>
    <w:rsid w:val="5392361E"/>
    <w:rsid w:val="53A36493"/>
    <w:rsid w:val="53C47D96"/>
    <w:rsid w:val="53C56E8C"/>
    <w:rsid w:val="542D72CE"/>
    <w:rsid w:val="5438153A"/>
    <w:rsid w:val="545801CE"/>
    <w:rsid w:val="54594C92"/>
    <w:rsid w:val="545C1D7C"/>
    <w:rsid w:val="54E05616"/>
    <w:rsid w:val="54E66983"/>
    <w:rsid w:val="54EB5AB4"/>
    <w:rsid w:val="54F3433F"/>
    <w:rsid w:val="552C2DEE"/>
    <w:rsid w:val="5545669B"/>
    <w:rsid w:val="55562519"/>
    <w:rsid w:val="55587F35"/>
    <w:rsid w:val="555E3278"/>
    <w:rsid w:val="55806D7B"/>
    <w:rsid w:val="558B545B"/>
    <w:rsid w:val="56244111"/>
    <w:rsid w:val="563E3019"/>
    <w:rsid w:val="56464A92"/>
    <w:rsid w:val="564D6C42"/>
    <w:rsid w:val="565253DC"/>
    <w:rsid w:val="567A7599"/>
    <w:rsid w:val="56A42F7F"/>
    <w:rsid w:val="56B77B44"/>
    <w:rsid w:val="56BE25AB"/>
    <w:rsid w:val="56C7630F"/>
    <w:rsid w:val="56EC4F28"/>
    <w:rsid w:val="56FA73DA"/>
    <w:rsid w:val="5707112B"/>
    <w:rsid w:val="57414CDF"/>
    <w:rsid w:val="574F6734"/>
    <w:rsid w:val="57717268"/>
    <w:rsid w:val="578A6B80"/>
    <w:rsid w:val="57CA187A"/>
    <w:rsid w:val="57EF5823"/>
    <w:rsid w:val="57F873D8"/>
    <w:rsid w:val="581806B0"/>
    <w:rsid w:val="58752D76"/>
    <w:rsid w:val="587A4DAD"/>
    <w:rsid w:val="588418A2"/>
    <w:rsid w:val="58F20F01"/>
    <w:rsid w:val="59051D0E"/>
    <w:rsid w:val="590C7CEE"/>
    <w:rsid w:val="590E3CFF"/>
    <w:rsid w:val="59217BF6"/>
    <w:rsid w:val="593B1A23"/>
    <w:rsid w:val="596714B3"/>
    <w:rsid w:val="597513FA"/>
    <w:rsid w:val="59875AED"/>
    <w:rsid w:val="59881B7B"/>
    <w:rsid w:val="59886BC1"/>
    <w:rsid w:val="59983AAF"/>
    <w:rsid w:val="59BE48B6"/>
    <w:rsid w:val="59C22E50"/>
    <w:rsid w:val="59CB6CA7"/>
    <w:rsid w:val="5A285CC6"/>
    <w:rsid w:val="5A484144"/>
    <w:rsid w:val="5A5A4FB0"/>
    <w:rsid w:val="5A7B78E3"/>
    <w:rsid w:val="5A9C268F"/>
    <w:rsid w:val="5AA3704E"/>
    <w:rsid w:val="5AAC64E0"/>
    <w:rsid w:val="5B1F16F4"/>
    <w:rsid w:val="5B3F3F40"/>
    <w:rsid w:val="5B5B72AF"/>
    <w:rsid w:val="5B5E63DA"/>
    <w:rsid w:val="5B865931"/>
    <w:rsid w:val="5B8D7867"/>
    <w:rsid w:val="5BB26726"/>
    <w:rsid w:val="5BB97AB4"/>
    <w:rsid w:val="5BBD7EED"/>
    <w:rsid w:val="5BCE7E31"/>
    <w:rsid w:val="5BE74621"/>
    <w:rsid w:val="5BEA5712"/>
    <w:rsid w:val="5BF25889"/>
    <w:rsid w:val="5C0F3B78"/>
    <w:rsid w:val="5C1C37BF"/>
    <w:rsid w:val="5C2D1CB7"/>
    <w:rsid w:val="5C62791E"/>
    <w:rsid w:val="5C9A1269"/>
    <w:rsid w:val="5CD95A20"/>
    <w:rsid w:val="5CDE6E86"/>
    <w:rsid w:val="5D1F7BEE"/>
    <w:rsid w:val="5D403FF9"/>
    <w:rsid w:val="5D4E06D0"/>
    <w:rsid w:val="5DCD2689"/>
    <w:rsid w:val="5DD230AF"/>
    <w:rsid w:val="5DDC1816"/>
    <w:rsid w:val="5DE643F2"/>
    <w:rsid w:val="5DEB5F1F"/>
    <w:rsid w:val="5DED549E"/>
    <w:rsid w:val="5E193C48"/>
    <w:rsid w:val="5E1C257C"/>
    <w:rsid w:val="5E20787C"/>
    <w:rsid w:val="5E3E24F3"/>
    <w:rsid w:val="5EBD47DF"/>
    <w:rsid w:val="5ECD3278"/>
    <w:rsid w:val="5EDC16EA"/>
    <w:rsid w:val="5F032186"/>
    <w:rsid w:val="5F1C4909"/>
    <w:rsid w:val="5F793AEE"/>
    <w:rsid w:val="5FD105B8"/>
    <w:rsid w:val="60253736"/>
    <w:rsid w:val="60397415"/>
    <w:rsid w:val="60556D54"/>
    <w:rsid w:val="60677708"/>
    <w:rsid w:val="608C39E9"/>
    <w:rsid w:val="60B06C4B"/>
    <w:rsid w:val="60B90C1E"/>
    <w:rsid w:val="60C52C05"/>
    <w:rsid w:val="60E82C75"/>
    <w:rsid w:val="6106247A"/>
    <w:rsid w:val="613D7581"/>
    <w:rsid w:val="616404C2"/>
    <w:rsid w:val="616B35FF"/>
    <w:rsid w:val="61813FB1"/>
    <w:rsid w:val="61911887"/>
    <w:rsid w:val="61AF3124"/>
    <w:rsid w:val="61D74BB1"/>
    <w:rsid w:val="61E13276"/>
    <w:rsid w:val="621078BB"/>
    <w:rsid w:val="6247574C"/>
    <w:rsid w:val="629B3D52"/>
    <w:rsid w:val="62B67A01"/>
    <w:rsid w:val="62E57D44"/>
    <w:rsid w:val="63263794"/>
    <w:rsid w:val="63463955"/>
    <w:rsid w:val="63527F7F"/>
    <w:rsid w:val="639B62B7"/>
    <w:rsid w:val="63D6521E"/>
    <w:rsid w:val="63FD6F73"/>
    <w:rsid w:val="640D145E"/>
    <w:rsid w:val="646764D0"/>
    <w:rsid w:val="64BE4E43"/>
    <w:rsid w:val="64DA09F6"/>
    <w:rsid w:val="64F255D7"/>
    <w:rsid w:val="651E4D27"/>
    <w:rsid w:val="65674A25"/>
    <w:rsid w:val="656D72C2"/>
    <w:rsid w:val="65711400"/>
    <w:rsid w:val="657D7F67"/>
    <w:rsid w:val="65F8742B"/>
    <w:rsid w:val="66442670"/>
    <w:rsid w:val="668C20CA"/>
    <w:rsid w:val="66B54E46"/>
    <w:rsid w:val="66F11867"/>
    <w:rsid w:val="66FF3FD7"/>
    <w:rsid w:val="673B3590"/>
    <w:rsid w:val="673E4F10"/>
    <w:rsid w:val="677121BA"/>
    <w:rsid w:val="67F96FE9"/>
    <w:rsid w:val="67FA56DC"/>
    <w:rsid w:val="68A27894"/>
    <w:rsid w:val="68BC6E36"/>
    <w:rsid w:val="68BE4D6B"/>
    <w:rsid w:val="68DD3DA0"/>
    <w:rsid w:val="68E11533"/>
    <w:rsid w:val="69205385"/>
    <w:rsid w:val="69311704"/>
    <w:rsid w:val="69454BE8"/>
    <w:rsid w:val="694D0864"/>
    <w:rsid w:val="697C6302"/>
    <w:rsid w:val="699461BB"/>
    <w:rsid w:val="699D0A15"/>
    <w:rsid w:val="699E56D1"/>
    <w:rsid w:val="69B46A69"/>
    <w:rsid w:val="69BC0885"/>
    <w:rsid w:val="69CF772C"/>
    <w:rsid w:val="69D92E85"/>
    <w:rsid w:val="6A2706DD"/>
    <w:rsid w:val="6A5B188A"/>
    <w:rsid w:val="6A635409"/>
    <w:rsid w:val="6A7A0AFD"/>
    <w:rsid w:val="6AA31330"/>
    <w:rsid w:val="6AD65F1A"/>
    <w:rsid w:val="6ADF4C02"/>
    <w:rsid w:val="6B285911"/>
    <w:rsid w:val="6BC4735A"/>
    <w:rsid w:val="6C192D34"/>
    <w:rsid w:val="6C394162"/>
    <w:rsid w:val="6C50751C"/>
    <w:rsid w:val="6C81461E"/>
    <w:rsid w:val="6C823BC8"/>
    <w:rsid w:val="6CD06DBF"/>
    <w:rsid w:val="6CF748E0"/>
    <w:rsid w:val="6D1A2E8D"/>
    <w:rsid w:val="6D415DCA"/>
    <w:rsid w:val="6D5459C8"/>
    <w:rsid w:val="6D57537F"/>
    <w:rsid w:val="6D6655C2"/>
    <w:rsid w:val="6DA844E7"/>
    <w:rsid w:val="6DAE6D1E"/>
    <w:rsid w:val="6DE30DE0"/>
    <w:rsid w:val="6DF51090"/>
    <w:rsid w:val="6E3A7667"/>
    <w:rsid w:val="6E483795"/>
    <w:rsid w:val="6E6B376F"/>
    <w:rsid w:val="6E922B12"/>
    <w:rsid w:val="6ED35045"/>
    <w:rsid w:val="6EEA2DFA"/>
    <w:rsid w:val="6EF966EE"/>
    <w:rsid w:val="6F40431D"/>
    <w:rsid w:val="6F6C3F53"/>
    <w:rsid w:val="6FB3608C"/>
    <w:rsid w:val="6FB46083"/>
    <w:rsid w:val="6FBA177F"/>
    <w:rsid w:val="6FCF6313"/>
    <w:rsid w:val="700E63AE"/>
    <w:rsid w:val="706A321E"/>
    <w:rsid w:val="708979F2"/>
    <w:rsid w:val="70C506F5"/>
    <w:rsid w:val="70C53AD7"/>
    <w:rsid w:val="70C5492D"/>
    <w:rsid w:val="71052712"/>
    <w:rsid w:val="710C7C3A"/>
    <w:rsid w:val="711019EF"/>
    <w:rsid w:val="71195EA7"/>
    <w:rsid w:val="71712412"/>
    <w:rsid w:val="717228B9"/>
    <w:rsid w:val="71C76D8F"/>
    <w:rsid w:val="71E3711A"/>
    <w:rsid w:val="71EC078C"/>
    <w:rsid w:val="72161365"/>
    <w:rsid w:val="7278201F"/>
    <w:rsid w:val="728F14BC"/>
    <w:rsid w:val="72A65280"/>
    <w:rsid w:val="72C26647"/>
    <w:rsid w:val="72CE1C3F"/>
    <w:rsid w:val="72D5767E"/>
    <w:rsid w:val="7319414F"/>
    <w:rsid w:val="731C3297"/>
    <w:rsid w:val="73284B69"/>
    <w:rsid w:val="732D0AC7"/>
    <w:rsid w:val="73587D46"/>
    <w:rsid w:val="735C30C0"/>
    <w:rsid w:val="738F02A6"/>
    <w:rsid w:val="739D35B3"/>
    <w:rsid w:val="73AE02E4"/>
    <w:rsid w:val="742D62A9"/>
    <w:rsid w:val="7435549A"/>
    <w:rsid w:val="744578EA"/>
    <w:rsid w:val="744F0EC3"/>
    <w:rsid w:val="74AD5AAB"/>
    <w:rsid w:val="74B9247B"/>
    <w:rsid w:val="74D76CC5"/>
    <w:rsid w:val="74D96BDD"/>
    <w:rsid w:val="74EC61F0"/>
    <w:rsid w:val="75041948"/>
    <w:rsid w:val="75386BF8"/>
    <w:rsid w:val="75483F70"/>
    <w:rsid w:val="75560F54"/>
    <w:rsid w:val="758D2D19"/>
    <w:rsid w:val="759F5B15"/>
    <w:rsid w:val="75DD2401"/>
    <w:rsid w:val="75E44BFA"/>
    <w:rsid w:val="75FB057A"/>
    <w:rsid w:val="76106D9C"/>
    <w:rsid w:val="76124A8D"/>
    <w:rsid w:val="761E5115"/>
    <w:rsid w:val="76210EC3"/>
    <w:rsid w:val="769F1517"/>
    <w:rsid w:val="76B203CF"/>
    <w:rsid w:val="76D70391"/>
    <w:rsid w:val="76ED0722"/>
    <w:rsid w:val="76FA503D"/>
    <w:rsid w:val="77091498"/>
    <w:rsid w:val="777431F1"/>
    <w:rsid w:val="77C8353F"/>
    <w:rsid w:val="77E27292"/>
    <w:rsid w:val="77EC511C"/>
    <w:rsid w:val="77ED29C7"/>
    <w:rsid w:val="77F00ADA"/>
    <w:rsid w:val="77F0217C"/>
    <w:rsid w:val="780C246F"/>
    <w:rsid w:val="78442B1E"/>
    <w:rsid w:val="78444046"/>
    <w:rsid w:val="78547D9F"/>
    <w:rsid w:val="78632E2A"/>
    <w:rsid w:val="786B1CDE"/>
    <w:rsid w:val="78760C46"/>
    <w:rsid w:val="7885143E"/>
    <w:rsid w:val="78896395"/>
    <w:rsid w:val="78921F1B"/>
    <w:rsid w:val="78981798"/>
    <w:rsid w:val="78E82AAC"/>
    <w:rsid w:val="78F5604D"/>
    <w:rsid w:val="79074DBC"/>
    <w:rsid w:val="791F4C81"/>
    <w:rsid w:val="794D2926"/>
    <w:rsid w:val="79722296"/>
    <w:rsid w:val="79934D68"/>
    <w:rsid w:val="79B541BA"/>
    <w:rsid w:val="79D6770C"/>
    <w:rsid w:val="79DC10E6"/>
    <w:rsid w:val="79F67FD5"/>
    <w:rsid w:val="7A2B2283"/>
    <w:rsid w:val="7A2D77A3"/>
    <w:rsid w:val="7A444C7F"/>
    <w:rsid w:val="7A697340"/>
    <w:rsid w:val="7AA23A30"/>
    <w:rsid w:val="7AB61503"/>
    <w:rsid w:val="7AF34939"/>
    <w:rsid w:val="7B7266CD"/>
    <w:rsid w:val="7B9826D1"/>
    <w:rsid w:val="7BA33F23"/>
    <w:rsid w:val="7BB33D4D"/>
    <w:rsid w:val="7BDC361F"/>
    <w:rsid w:val="7BDF6C6B"/>
    <w:rsid w:val="7C0434FD"/>
    <w:rsid w:val="7C084414"/>
    <w:rsid w:val="7C0A7AD5"/>
    <w:rsid w:val="7C184A9B"/>
    <w:rsid w:val="7C604E18"/>
    <w:rsid w:val="7C8758ED"/>
    <w:rsid w:val="7C8E19A7"/>
    <w:rsid w:val="7CE704CD"/>
    <w:rsid w:val="7D30272F"/>
    <w:rsid w:val="7D341239"/>
    <w:rsid w:val="7D362EF0"/>
    <w:rsid w:val="7D5D57CA"/>
    <w:rsid w:val="7D7D6280"/>
    <w:rsid w:val="7DAC465E"/>
    <w:rsid w:val="7DB04694"/>
    <w:rsid w:val="7DD537E0"/>
    <w:rsid w:val="7E033689"/>
    <w:rsid w:val="7E51667A"/>
    <w:rsid w:val="7ECF4994"/>
    <w:rsid w:val="7ED122C0"/>
    <w:rsid w:val="7ED75D22"/>
    <w:rsid w:val="7EDA7A78"/>
    <w:rsid w:val="7EF4220C"/>
    <w:rsid w:val="7F092175"/>
    <w:rsid w:val="7F2A28F3"/>
    <w:rsid w:val="7F3D653D"/>
    <w:rsid w:val="7F7D341B"/>
    <w:rsid w:val="7FAA6D06"/>
    <w:rsid w:val="FF5FE950"/>
  </w:rsids>
  <m:mathPr>
    <m:mathFont m:val="Cambria Math"/>
    <m:brkBin m:val="before"/>
    <m:brkBinSub m:val="--"/>
    <m:smallFrac m:val="1"/>
    <m:dispDef/>
    <m:lMargin m:val="0"/>
    <m:rMargin m:val="0"/>
    <m:defJc m:val="centerGroup"/>
    <m:wrapIndent m:val="1440"/>
    <m:intLim m:val="subSup"/>
    <m:naryLim m:val="undOvr"/>
  </m:mathPr>
  <w:attachedSchema w:val="urn:schemas-microsoft-com:office:smarttags"/>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qFormat="1"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uiPriority="1" w:name="Default Paragraph Font"/>
    <w:lsdException w:qFormat="1"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2"/>
    <w:basedOn w:val="1"/>
    <w:next w:val="1"/>
    <w:semiHidden/>
    <w:unhideWhenUsed/>
    <w:qFormat/>
    <w:locked/>
    <w:uiPriority w:val="0"/>
    <w:pPr>
      <w:spacing w:beforeAutospacing="1" w:afterAutospacing="1"/>
      <w:jc w:val="left"/>
      <w:outlineLvl w:val="1"/>
    </w:pPr>
    <w:rPr>
      <w:rFonts w:hint="eastAsia" w:ascii="宋体" w:hAnsi="宋体"/>
      <w:b/>
      <w:bCs/>
      <w:kern w:val="0"/>
      <w:sz w:val="36"/>
      <w:szCs w:val="36"/>
    </w:rPr>
  </w:style>
  <w:style w:type="character" w:default="1" w:styleId="14">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2">
    <w:name w:val="No Spacing"/>
    <w:qFormat/>
    <w:uiPriority w:val="0"/>
    <w:pPr>
      <w:adjustRightInd w:val="0"/>
      <w:snapToGrid w:val="0"/>
    </w:pPr>
    <w:rPr>
      <w:rFonts w:ascii="Tahoma" w:hAnsi="Tahoma" w:eastAsia="微软雅黑" w:cs="Times New Roman"/>
      <w:sz w:val="22"/>
      <w:szCs w:val="22"/>
      <w:lang w:val="en-US" w:eastAsia="zh-CN" w:bidi="ar-SA"/>
    </w:rPr>
  </w:style>
  <w:style w:type="paragraph" w:styleId="4">
    <w:name w:val="annotation text"/>
    <w:basedOn w:val="1"/>
    <w:link w:val="31"/>
    <w:semiHidden/>
    <w:unhideWhenUsed/>
    <w:qFormat/>
    <w:uiPriority w:val="99"/>
    <w:pPr>
      <w:jc w:val="left"/>
    </w:pPr>
  </w:style>
  <w:style w:type="paragraph" w:styleId="5">
    <w:name w:val="Body Text"/>
    <w:basedOn w:val="1"/>
    <w:unhideWhenUsed/>
    <w:qFormat/>
    <w:uiPriority w:val="1"/>
    <w:pPr>
      <w:autoSpaceDE w:val="0"/>
      <w:autoSpaceDN w:val="0"/>
      <w:adjustRightInd w:val="0"/>
      <w:jc w:val="left"/>
    </w:pPr>
    <w:rPr>
      <w:rFonts w:ascii="宋体" w:hAnsi="宋体" w:cs="宋体"/>
      <w:kern w:val="0"/>
      <w:sz w:val="23"/>
      <w:szCs w:val="23"/>
    </w:rPr>
  </w:style>
  <w:style w:type="paragraph" w:styleId="6">
    <w:name w:val="Date"/>
    <w:basedOn w:val="1"/>
    <w:next w:val="1"/>
    <w:link w:val="25"/>
    <w:semiHidden/>
    <w:qFormat/>
    <w:uiPriority w:val="99"/>
    <w:pPr>
      <w:ind w:left="100" w:leftChars="2500"/>
    </w:pPr>
  </w:style>
  <w:style w:type="paragraph" w:styleId="7">
    <w:name w:val="Balloon Text"/>
    <w:basedOn w:val="1"/>
    <w:link w:val="24"/>
    <w:semiHidden/>
    <w:qFormat/>
    <w:uiPriority w:val="99"/>
    <w:rPr>
      <w:sz w:val="18"/>
      <w:szCs w:val="18"/>
    </w:rPr>
  </w:style>
  <w:style w:type="paragraph" w:styleId="8">
    <w:name w:val="footer"/>
    <w:basedOn w:val="1"/>
    <w:link w:val="22"/>
    <w:qFormat/>
    <w:uiPriority w:val="99"/>
    <w:pPr>
      <w:tabs>
        <w:tab w:val="center" w:pos="4153"/>
        <w:tab w:val="right" w:pos="8306"/>
      </w:tabs>
      <w:wordWrap w:val="0"/>
      <w:snapToGrid w:val="0"/>
      <w:jc w:val="right"/>
    </w:pPr>
    <w:rPr>
      <w:rFonts w:ascii="Times New Roman" w:hAnsi="Times New Roman"/>
      <w:sz w:val="28"/>
      <w:szCs w:val="28"/>
    </w:rPr>
  </w:style>
  <w:style w:type="paragraph" w:styleId="9">
    <w:name w:val="header"/>
    <w:basedOn w:val="1"/>
    <w:link w:val="21"/>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100" w:beforeAutospacing="1" w:after="100" w:afterAutospacing="1"/>
      <w:jc w:val="left"/>
    </w:pPr>
    <w:rPr>
      <w:kern w:val="0"/>
      <w:sz w:val="24"/>
    </w:rPr>
  </w:style>
  <w:style w:type="paragraph" w:styleId="11">
    <w:name w:val="Title"/>
    <w:basedOn w:val="1"/>
    <w:next w:val="1"/>
    <w:link w:val="26"/>
    <w:qFormat/>
    <w:uiPriority w:val="99"/>
    <w:pPr>
      <w:widowControl/>
      <w:spacing w:before="240" w:after="60"/>
      <w:jc w:val="center"/>
      <w:outlineLvl w:val="0"/>
    </w:pPr>
    <w:rPr>
      <w:rFonts w:ascii="Cambria" w:hAnsi="Cambria"/>
      <w:b/>
      <w:bCs/>
      <w:sz w:val="32"/>
      <w:szCs w:val="32"/>
    </w:rPr>
  </w:style>
  <w:style w:type="paragraph" w:styleId="12">
    <w:name w:val="annotation subject"/>
    <w:basedOn w:val="4"/>
    <w:next w:val="4"/>
    <w:link w:val="32"/>
    <w:semiHidden/>
    <w:unhideWhenUsed/>
    <w:qFormat/>
    <w:uiPriority w:val="99"/>
    <w:rPr>
      <w:b/>
      <w:bCs/>
    </w:rPr>
  </w:style>
  <w:style w:type="character" w:styleId="15">
    <w:name w:val="Strong"/>
    <w:basedOn w:val="14"/>
    <w:qFormat/>
    <w:locked/>
    <w:uiPriority w:val="0"/>
    <w:rPr>
      <w:b/>
    </w:rPr>
  </w:style>
  <w:style w:type="character" w:styleId="16">
    <w:name w:val="page number"/>
    <w:qFormat/>
    <w:uiPriority w:val="99"/>
    <w:rPr>
      <w:rFonts w:cs="Times New Roman"/>
    </w:rPr>
  </w:style>
  <w:style w:type="character" w:styleId="17">
    <w:name w:val="FollowedHyperlink"/>
    <w:basedOn w:val="14"/>
    <w:semiHidden/>
    <w:unhideWhenUsed/>
    <w:qFormat/>
    <w:uiPriority w:val="99"/>
    <w:rPr>
      <w:color w:val="00007E"/>
      <w:u w:val="none"/>
    </w:rPr>
  </w:style>
  <w:style w:type="character" w:styleId="18">
    <w:name w:val="line number"/>
    <w:basedOn w:val="14"/>
    <w:semiHidden/>
    <w:unhideWhenUsed/>
    <w:qFormat/>
    <w:uiPriority w:val="99"/>
  </w:style>
  <w:style w:type="character" w:styleId="19">
    <w:name w:val="Hyperlink"/>
    <w:qFormat/>
    <w:uiPriority w:val="99"/>
    <w:rPr>
      <w:rFonts w:cs="Times New Roman"/>
      <w:color w:val="0000FF"/>
      <w:u w:val="single"/>
    </w:rPr>
  </w:style>
  <w:style w:type="character" w:styleId="20">
    <w:name w:val="annotation reference"/>
    <w:semiHidden/>
    <w:unhideWhenUsed/>
    <w:qFormat/>
    <w:uiPriority w:val="99"/>
    <w:rPr>
      <w:sz w:val="21"/>
      <w:szCs w:val="21"/>
    </w:rPr>
  </w:style>
  <w:style w:type="character" w:customStyle="1" w:styleId="21">
    <w:name w:val="页眉 字符"/>
    <w:link w:val="9"/>
    <w:qFormat/>
    <w:locked/>
    <w:uiPriority w:val="99"/>
    <w:rPr>
      <w:rFonts w:cs="Times New Roman"/>
      <w:sz w:val="18"/>
      <w:szCs w:val="18"/>
    </w:rPr>
  </w:style>
  <w:style w:type="character" w:customStyle="1" w:styleId="22">
    <w:name w:val="页脚 字符"/>
    <w:link w:val="8"/>
    <w:qFormat/>
    <w:locked/>
    <w:uiPriority w:val="99"/>
    <w:rPr>
      <w:kern w:val="2"/>
      <w:sz w:val="28"/>
      <w:szCs w:val="28"/>
    </w:rPr>
  </w:style>
  <w:style w:type="paragraph" w:styleId="23">
    <w:name w:val="List Paragraph"/>
    <w:basedOn w:val="1"/>
    <w:qFormat/>
    <w:uiPriority w:val="99"/>
    <w:pPr>
      <w:ind w:firstLine="420" w:firstLineChars="200"/>
      <w:jc w:val="left"/>
    </w:pPr>
  </w:style>
  <w:style w:type="character" w:customStyle="1" w:styleId="24">
    <w:name w:val="批注框文本 字符"/>
    <w:link w:val="7"/>
    <w:semiHidden/>
    <w:qFormat/>
    <w:locked/>
    <w:uiPriority w:val="99"/>
    <w:rPr>
      <w:rFonts w:cs="Times New Roman"/>
      <w:sz w:val="18"/>
      <w:szCs w:val="18"/>
    </w:rPr>
  </w:style>
  <w:style w:type="character" w:customStyle="1" w:styleId="25">
    <w:name w:val="日期 字符"/>
    <w:link w:val="6"/>
    <w:semiHidden/>
    <w:qFormat/>
    <w:locked/>
    <w:uiPriority w:val="99"/>
    <w:rPr>
      <w:rFonts w:cs="Times New Roman"/>
    </w:rPr>
  </w:style>
  <w:style w:type="character" w:customStyle="1" w:styleId="26">
    <w:name w:val="标题 字符"/>
    <w:link w:val="11"/>
    <w:qFormat/>
    <w:locked/>
    <w:uiPriority w:val="99"/>
    <w:rPr>
      <w:rFonts w:ascii="Cambria" w:hAnsi="Cambria" w:eastAsia="宋体" w:cs="Times New Roman"/>
      <w:b/>
      <w:bCs/>
      <w:sz w:val="32"/>
      <w:szCs w:val="32"/>
    </w:rPr>
  </w:style>
  <w:style w:type="paragraph" w:customStyle="1" w:styleId="27">
    <w:name w:val="列出段落1"/>
    <w:basedOn w:val="1"/>
    <w:qFormat/>
    <w:uiPriority w:val="99"/>
    <w:pPr>
      <w:widowControl/>
      <w:ind w:left="720"/>
      <w:contextualSpacing/>
      <w:jc w:val="left"/>
    </w:pPr>
    <w:rPr>
      <w:kern w:val="0"/>
      <w:sz w:val="24"/>
      <w:szCs w:val="24"/>
      <w:lang w:eastAsia="en-US"/>
    </w:rPr>
  </w:style>
  <w:style w:type="paragraph" w:customStyle="1" w:styleId="2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table" w:customStyle="1" w:styleId="29">
    <w:name w:val="网格型1"/>
    <w:basedOn w:val="13"/>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
    <w:name w:val="网格型2"/>
    <w:basedOn w:val="13"/>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1">
    <w:name w:val="批注文字 字符"/>
    <w:link w:val="4"/>
    <w:semiHidden/>
    <w:qFormat/>
    <w:uiPriority w:val="99"/>
    <w:rPr>
      <w:kern w:val="2"/>
      <w:sz w:val="21"/>
      <w:szCs w:val="22"/>
    </w:rPr>
  </w:style>
  <w:style w:type="character" w:customStyle="1" w:styleId="32">
    <w:name w:val="批注主题 字符"/>
    <w:link w:val="12"/>
    <w:semiHidden/>
    <w:qFormat/>
    <w:uiPriority w:val="99"/>
    <w:rPr>
      <w:b/>
      <w:bCs/>
      <w:kern w:val="2"/>
      <w:sz w:val="21"/>
      <w:szCs w:val="22"/>
    </w:rPr>
  </w:style>
  <w:style w:type="paragraph" w:customStyle="1" w:styleId="33">
    <w:name w:val="_Style 11"/>
    <w:basedOn w:val="1"/>
    <w:next w:val="23"/>
    <w:qFormat/>
    <w:uiPriority w:val="0"/>
    <w:pPr>
      <w:ind w:firstLine="420" w:firstLineChars="200"/>
    </w:pPr>
  </w:style>
  <w:style w:type="paragraph" w:customStyle="1" w:styleId="3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5">
    <w:name w:val="修订1"/>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SNB</Company>
  <Pages>20</Pages>
  <Words>6571</Words>
  <Characters>6824</Characters>
  <Lines>75</Lines>
  <Paragraphs>21</Paragraphs>
  <TotalTime>17</TotalTime>
  <ScaleCrop>false</ScaleCrop>
  <LinksUpToDate>false</LinksUpToDate>
  <CharactersWithSpaces>6842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2026-08-12T01:08:00Z</dcterms:created>
  <dc:creator>qhtf</dc:creator>
  <cp:lastModifiedBy>紅葉裡的信念Victoria</cp:lastModifiedBy>
  <cp:lastPrinted>2024-05-23T16:46:00Z</cp:lastPrinted>
  <dcterms:modified xsi:type="dcterms:W3CDTF">2026-08-12T06:48:26Z</dcterms:modified>
  <dc:title>附件4</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8E8769E7BBDD4D16BFE10F67DA375852_13</vt:lpwstr>
  </property>
  <property fmtid="{D5CDD505-2E9C-101B-9397-08002B2CF9AE}" pid="4" name="KSOTemplateDocerSaveRecord">
    <vt:lpwstr>eyJoZGlkIjoiMmVlYWVmZTJhMDNjMDkyNDI2OGE1NzBkNjIyMjRkYmYiLCJ1c2VySWQiOiIyNjgzMDI3NDAifQ==</vt:lpwstr>
  </property>
</Properties>
</file>