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98340">
      <w:pPr>
        <w:spacing w:line="520" w:lineRule="exact"/>
        <w:ind w:right="-67" w:rightChars="-32"/>
        <w:jc w:val="center"/>
        <w:rPr>
          <w:rFonts w:ascii="Times New Roman" w:hAnsi="Times New Roman" w:eastAsia="方正小标宋简体"/>
          <w:spacing w:val="-6"/>
          <w:sz w:val="44"/>
          <w:szCs w:val="44"/>
          <w:highlight w:val="none"/>
        </w:rPr>
      </w:pPr>
      <w:r>
        <w:rPr>
          <w:rFonts w:hint="eastAsia" w:ascii="Times New Roman" w:hAnsi="Times New Roman" w:eastAsia="方正小标宋简体"/>
          <w:spacing w:val="-6"/>
          <w:sz w:val="44"/>
          <w:szCs w:val="44"/>
          <w:highlight w:val="none"/>
          <w:lang w:val="en-US" w:eastAsia="zh-CN"/>
        </w:rPr>
        <w:t>甲状旁腺激素测定</w:t>
      </w:r>
      <w:r>
        <w:rPr>
          <w:rFonts w:ascii="Times New Roman" w:hAnsi="Times New Roman" w:eastAsia="方正小标宋简体"/>
          <w:spacing w:val="-6"/>
          <w:sz w:val="44"/>
          <w:szCs w:val="44"/>
          <w:highlight w:val="none"/>
        </w:rPr>
        <w:t>试剂注册审查指导原则</w:t>
      </w:r>
    </w:p>
    <w:p w14:paraId="7F80FAD3">
      <w:pPr>
        <w:spacing w:line="520" w:lineRule="exact"/>
        <w:ind w:right="-67" w:rightChars="-32"/>
        <w:jc w:val="center"/>
        <w:rPr>
          <w:rFonts w:hint="eastAsia" w:ascii="Times New Roman" w:hAnsi="Times New Roman" w:eastAsia="方正小标宋简体"/>
          <w:spacing w:val="-6"/>
          <w:sz w:val="44"/>
          <w:szCs w:val="44"/>
          <w:highlight w:val="none"/>
          <w:lang w:eastAsia="zh-CN"/>
        </w:rPr>
      </w:pPr>
      <w:r>
        <w:rPr>
          <w:rFonts w:hint="eastAsia" w:ascii="Times New Roman" w:hAnsi="Times New Roman" w:eastAsia="方正小标宋简体"/>
          <w:spacing w:val="-6"/>
          <w:sz w:val="44"/>
          <w:szCs w:val="44"/>
          <w:highlight w:val="none"/>
          <w:lang w:eastAsia="zh-CN"/>
        </w:rPr>
        <w:t>（征求意见稿）</w:t>
      </w:r>
    </w:p>
    <w:p w14:paraId="7804651A">
      <w:pPr>
        <w:spacing w:line="520" w:lineRule="exact"/>
        <w:ind w:firstLine="640" w:firstLineChars="200"/>
        <w:jc w:val="center"/>
        <w:rPr>
          <w:rFonts w:ascii="Times New Roman" w:hAnsi="Times New Roman" w:eastAsia="仿宋_GB2312"/>
          <w:sz w:val="32"/>
          <w:szCs w:val="32"/>
          <w:highlight w:val="none"/>
        </w:rPr>
      </w:pPr>
    </w:p>
    <w:p w14:paraId="6754A681">
      <w:pPr>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本指导原则旨在指导注册申请人对</w:t>
      </w:r>
      <w:r>
        <w:rPr>
          <w:rFonts w:hint="eastAsia" w:ascii="Times New Roman" w:hAnsi="Times New Roman" w:eastAsia="仿宋_GB2312"/>
          <w:sz w:val="32"/>
          <w:szCs w:val="32"/>
          <w:highlight w:val="none"/>
          <w:lang w:eastAsia="zh-CN"/>
        </w:rPr>
        <w:t>甲状旁腺激素测定试剂</w:t>
      </w:r>
      <w:r>
        <w:rPr>
          <w:rFonts w:ascii="Times New Roman" w:hAnsi="Times New Roman" w:eastAsia="仿宋_GB2312"/>
          <w:sz w:val="32"/>
          <w:szCs w:val="32"/>
          <w:highlight w:val="none"/>
        </w:rPr>
        <w:t>注册申报资料的准备及撰写，同时也为技术审评部门审评注册申报资料提供参考。</w:t>
      </w:r>
    </w:p>
    <w:p w14:paraId="3802CB0E">
      <w:pPr>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本指导原则是对</w:t>
      </w:r>
      <w:r>
        <w:rPr>
          <w:rFonts w:hint="eastAsia" w:ascii="Times New Roman" w:hAnsi="Times New Roman" w:eastAsia="仿宋_GB2312"/>
          <w:sz w:val="32"/>
          <w:szCs w:val="32"/>
          <w:highlight w:val="none"/>
          <w:lang w:eastAsia="zh-CN"/>
        </w:rPr>
        <w:t>甲状旁腺激素测定试剂</w:t>
      </w:r>
      <w:r>
        <w:rPr>
          <w:rFonts w:hint="eastAsia" w:ascii="Times New Roman" w:hAnsi="Times New Roman" w:eastAsia="仿宋_GB2312"/>
          <w:sz w:val="32"/>
          <w:szCs w:val="32"/>
          <w:highlight w:val="none"/>
          <w:lang w:val="en-US" w:eastAsia="zh-CN"/>
        </w:rPr>
        <w:t>注册申报</w:t>
      </w:r>
      <w:r>
        <w:rPr>
          <w:rFonts w:ascii="Times New Roman" w:hAnsi="Times New Roman" w:eastAsia="仿宋_GB2312"/>
          <w:sz w:val="32"/>
          <w:szCs w:val="32"/>
          <w:highlight w:val="none"/>
        </w:rPr>
        <w:t>的一般要求，申请人应依据产品的具体特性确定其中的具体内容是否适用，若不适用，需具体阐述理由及相应的科学依据，并依据产品的具体特征对注册申报资料的内容进行充实和细化。</w:t>
      </w:r>
    </w:p>
    <w:p w14:paraId="472E104B">
      <w:pPr>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本指导原则是供申请人和审查人员</w:t>
      </w:r>
      <w:r>
        <w:rPr>
          <w:rFonts w:hint="eastAsia" w:ascii="Times New Roman" w:hAnsi="Times New Roman" w:eastAsia="仿宋_GB2312"/>
          <w:sz w:val="32"/>
          <w:szCs w:val="32"/>
          <w:highlight w:val="none"/>
        </w:rPr>
        <w:t>使用</w:t>
      </w:r>
      <w:r>
        <w:rPr>
          <w:rFonts w:ascii="Times New Roman" w:hAnsi="Times New Roman" w:eastAsia="仿宋_GB2312"/>
          <w:sz w:val="32"/>
          <w:szCs w:val="32"/>
          <w:highlight w:val="none"/>
        </w:rPr>
        <w:t>的指导文件，不涉及注册审批等行政事项，亦不作为法规强制执行，如果有能够满足相关法规要求的其他方法，也可以采用，但应提供详细的研究资料和验证资料。应在遵循相关法规、国家标准、行业标准的前提下使用本指导原则。</w:t>
      </w:r>
    </w:p>
    <w:p w14:paraId="46F3144F">
      <w:pPr>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本指导原则是在现行法规、标准体系及当前认知水平下制定的，随着法规、标准体系的不断完善和科学技术的不断发展，本指导原则相关内容也将适时进行调整。</w:t>
      </w:r>
    </w:p>
    <w:p w14:paraId="24105DA8">
      <w:pPr>
        <w:pStyle w:val="2"/>
        <w:spacing w:before="0" w:after="0" w:line="520" w:lineRule="exact"/>
        <w:ind w:firstLine="640" w:firstLineChars="200"/>
        <w:rPr>
          <w:rFonts w:ascii="Times New Roman" w:hAnsi="Times New Roman" w:eastAsia="黑体"/>
          <w:sz w:val="32"/>
          <w:szCs w:val="32"/>
          <w:highlight w:val="none"/>
        </w:rPr>
      </w:pPr>
      <w:r>
        <w:rPr>
          <w:rFonts w:ascii="Times New Roman" w:hAnsi="Times New Roman" w:eastAsia="黑体"/>
          <w:b w:val="0"/>
          <w:bCs w:val="0"/>
          <w:sz w:val="32"/>
          <w:szCs w:val="32"/>
          <w:highlight w:val="none"/>
        </w:rPr>
        <w:t>一、适用范围</w:t>
      </w:r>
    </w:p>
    <w:p w14:paraId="4CF592B9">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eastAsia="zh-CN"/>
        </w:rPr>
        <w:t>甲状旁腺激素测定试剂</w:t>
      </w:r>
      <w:r>
        <w:rPr>
          <w:rFonts w:hint="eastAsia" w:ascii="Times New Roman" w:hAnsi="Times New Roman" w:eastAsia="仿宋_GB2312"/>
          <w:sz w:val="32"/>
          <w:szCs w:val="32"/>
          <w:highlight w:val="none"/>
          <w:lang w:val="en-US" w:eastAsia="zh-CN"/>
        </w:rPr>
        <w:t>是指</w:t>
      </w:r>
      <w:r>
        <w:rPr>
          <w:rFonts w:hint="eastAsia" w:ascii="Times New Roman" w:hAnsi="Times New Roman" w:eastAsia="仿宋_GB2312"/>
          <w:sz w:val="32"/>
          <w:szCs w:val="32"/>
          <w:highlight w:val="none"/>
        </w:rPr>
        <w:t>用于</w:t>
      </w:r>
      <w:r>
        <w:rPr>
          <w:rFonts w:hint="eastAsia" w:ascii="Times New Roman" w:hAnsi="Times New Roman" w:eastAsia="仿宋_GB2312"/>
          <w:sz w:val="32"/>
          <w:szCs w:val="32"/>
          <w:highlight w:val="none"/>
          <w:lang w:val="en-US" w:eastAsia="zh-CN"/>
        </w:rPr>
        <w:t>体外定量检测</w:t>
      </w:r>
      <w:r>
        <w:rPr>
          <w:rFonts w:hint="eastAsia" w:ascii="Times New Roman" w:hAnsi="Times New Roman" w:eastAsia="仿宋_GB2312"/>
          <w:sz w:val="32"/>
          <w:szCs w:val="32"/>
          <w:highlight w:val="none"/>
        </w:rPr>
        <w:t>人体血清</w:t>
      </w:r>
      <w:r>
        <w:rPr>
          <w:rFonts w:hint="eastAsia" w:ascii="Times New Roman" w:hAnsi="Times New Roman" w:eastAsia="仿宋_GB2312"/>
          <w:sz w:val="32"/>
          <w:szCs w:val="32"/>
          <w:highlight w:val="none"/>
          <w:lang w:val="en-US" w:eastAsia="zh-CN"/>
        </w:rPr>
        <w:t>/</w:t>
      </w:r>
      <w:r>
        <w:rPr>
          <w:rFonts w:hint="eastAsia" w:ascii="Times New Roman" w:hAnsi="Times New Roman" w:eastAsia="仿宋_GB2312"/>
          <w:sz w:val="32"/>
          <w:szCs w:val="32"/>
          <w:highlight w:val="none"/>
        </w:rPr>
        <w:t>血浆</w:t>
      </w:r>
      <w:r>
        <w:rPr>
          <w:rFonts w:hint="eastAsia" w:ascii="Times New Roman" w:hAnsi="Times New Roman" w:eastAsia="仿宋_GB2312"/>
          <w:sz w:val="32"/>
          <w:szCs w:val="32"/>
          <w:highlight w:val="none"/>
          <w:lang w:val="en-US" w:eastAsia="zh-CN"/>
        </w:rPr>
        <w:t>/全血</w:t>
      </w:r>
      <w:r>
        <w:rPr>
          <w:rFonts w:hint="eastAsia" w:ascii="Times New Roman" w:hAnsi="Times New Roman" w:eastAsia="仿宋_GB2312"/>
          <w:sz w:val="32"/>
          <w:szCs w:val="32"/>
          <w:highlight w:val="none"/>
        </w:rPr>
        <w:t>样本中甲状旁腺激素含量</w:t>
      </w:r>
      <w:r>
        <w:rPr>
          <w:rFonts w:hint="eastAsia" w:ascii="Times New Roman" w:hAnsi="Times New Roman" w:eastAsia="仿宋_GB2312"/>
          <w:sz w:val="32"/>
          <w:szCs w:val="32"/>
          <w:highlight w:val="none"/>
          <w:lang w:val="en-US" w:eastAsia="zh-CN"/>
        </w:rPr>
        <w:t>的试剂</w:t>
      </w:r>
      <w:r>
        <w:rPr>
          <w:rFonts w:hint="eastAsia" w:ascii="Times New Roman" w:hAnsi="Times New Roman" w:eastAsia="仿宋_GB2312"/>
          <w:sz w:val="32"/>
          <w:szCs w:val="32"/>
          <w:highlight w:val="none"/>
        </w:rPr>
        <w:t>。临床上用于评价甲状旁腺功能，以及高钙血症或低钙血症的辅助诊断。</w:t>
      </w:r>
    </w:p>
    <w:p w14:paraId="6DD9840A">
      <w:pPr>
        <w:autoSpaceDE/>
        <w:autoSpaceDN/>
        <w:spacing w:line="520" w:lineRule="exact"/>
        <w:ind w:firstLine="640" w:firstLineChars="200"/>
        <w:rPr>
          <w:rFonts w:ascii="Times New Roman" w:hAnsi="Times New Roman" w:eastAsia="黑体"/>
          <w:sz w:val="32"/>
          <w:szCs w:val="32"/>
          <w:highlight w:val="none"/>
        </w:rPr>
      </w:pPr>
      <w:r>
        <w:rPr>
          <w:rFonts w:ascii="Times New Roman" w:hAnsi="Times New Roman" w:eastAsia="仿宋_GB2312"/>
          <w:sz w:val="32"/>
          <w:szCs w:val="32"/>
          <w:highlight w:val="none"/>
        </w:rPr>
        <w:t>本指导原则适用于以化学发光</w:t>
      </w:r>
      <w:r>
        <w:rPr>
          <w:rFonts w:hint="eastAsia" w:ascii="Times New Roman" w:hAnsi="Times New Roman" w:eastAsia="仿宋_GB2312"/>
          <w:sz w:val="32"/>
          <w:szCs w:val="32"/>
          <w:highlight w:val="none"/>
          <w:lang w:val="en-US" w:eastAsia="zh-CN"/>
        </w:rPr>
        <w:t>免疫分析</w:t>
      </w:r>
      <w:r>
        <w:rPr>
          <w:rFonts w:ascii="Times New Roman" w:hAnsi="Times New Roman" w:eastAsia="仿宋_GB2312"/>
          <w:sz w:val="32"/>
          <w:szCs w:val="32"/>
          <w:highlight w:val="none"/>
        </w:rPr>
        <w:t>法</w:t>
      </w:r>
      <w:r>
        <w:rPr>
          <w:rFonts w:hint="eastAsia" w:ascii="Times New Roman" w:hAnsi="Times New Roman" w:eastAsia="仿宋_GB2312"/>
          <w:sz w:val="32"/>
          <w:szCs w:val="32"/>
          <w:highlight w:val="none"/>
        </w:rPr>
        <w:t>、酶联免疫法、荧光免疫法</w:t>
      </w:r>
      <w:r>
        <w:rPr>
          <w:rFonts w:ascii="Times New Roman" w:hAnsi="Times New Roman" w:eastAsia="仿宋_GB2312"/>
          <w:sz w:val="32"/>
          <w:szCs w:val="32"/>
          <w:highlight w:val="none"/>
        </w:rPr>
        <w:t>等</w:t>
      </w:r>
      <w:r>
        <w:rPr>
          <w:rFonts w:hint="eastAsia" w:ascii="Times New Roman" w:hAnsi="Times New Roman" w:eastAsia="仿宋_GB2312"/>
          <w:sz w:val="32"/>
          <w:szCs w:val="32"/>
          <w:highlight w:val="none"/>
          <w:lang w:val="en-US" w:eastAsia="zh-CN"/>
        </w:rPr>
        <w:t>方法对</w:t>
      </w:r>
      <w:r>
        <w:rPr>
          <w:rFonts w:hint="eastAsia" w:ascii="Times New Roman" w:hAnsi="Times New Roman" w:eastAsia="仿宋_GB2312"/>
          <w:sz w:val="32"/>
          <w:szCs w:val="32"/>
          <w:highlight w:val="none"/>
        </w:rPr>
        <w:t>人血清</w:t>
      </w:r>
      <w:r>
        <w:rPr>
          <w:rFonts w:hint="eastAsia" w:ascii="Times New Roman" w:hAnsi="Times New Roman" w:eastAsia="仿宋_GB2312"/>
          <w:sz w:val="32"/>
          <w:szCs w:val="32"/>
          <w:highlight w:val="none"/>
          <w:lang w:val="en-US" w:eastAsia="zh-CN"/>
        </w:rPr>
        <w:t>/</w:t>
      </w:r>
      <w:r>
        <w:rPr>
          <w:rFonts w:hint="eastAsia" w:ascii="Times New Roman" w:hAnsi="Times New Roman" w:eastAsia="仿宋_GB2312"/>
          <w:sz w:val="32"/>
          <w:szCs w:val="32"/>
          <w:highlight w:val="none"/>
        </w:rPr>
        <w:t>血浆</w:t>
      </w:r>
      <w:r>
        <w:rPr>
          <w:rFonts w:hint="eastAsia" w:ascii="Times New Roman" w:hAnsi="Times New Roman" w:eastAsia="仿宋_GB2312"/>
          <w:sz w:val="32"/>
          <w:szCs w:val="32"/>
          <w:highlight w:val="none"/>
          <w:lang w:val="en-US" w:eastAsia="zh-CN"/>
        </w:rPr>
        <w:t>/全血</w:t>
      </w:r>
      <w:r>
        <w:rPr>
          <w:rFonts w:hint="eastAsia" w:ascii="Times New Roman" w:hAnsi="Times New Roman" w:eastAsia="仿宋_GB2312"/>
          <w:sz w:val="32"/>
          <w:szCs w:val="32"/>
          <w:highlight w:val="none"/>
        </w:rPr>
        <w:t>样本中的</w:t>
      </w:r>
      <w:r>
        <w:rPr>
          <w:rFonts w:hint="eastAsia" w:ascii="Times New Roman" w:hAnsi="Times New Roman" w:eastAsia="仿宋_GB2312"/>
          <w:sz w:val="32"/>
          <w:szCs w:val="32"/>
          <w:highlight w:val="none"/>
          <w:lang w:eastAsia="zh-CN"/>
        </w:rPr>
        <w:t>甲状旁腺激素</w:t>
      </w:r>
      <w:r>
        <w:rPr>
          <w:rFonts w:hint="eastAsia" w:ascii="Times New Roman" w:hAnsi="Times New Roman" w:eastAsia="仿宋_GB2312"/>
          <w:sz w:val="32"/>
          <w:szCs w:val="32"/>
          <w:highlight w:val="none"/>
          <w:lang w:val="en-US" w:eastAsia="zh-CN"/>
        </w:rPr>
        <w:t>进行</w:t>
      </w:r>
      <w:r>
        <w:rPr>
          <w:rFonts w:ascii="Times New Roman" w:hAnsi="Times New Roman" w:eastAsia="仿宋_GB2312"/>
          <w:sz w:val="32"/>
          <w:szCs w:val="32"/>
          <w:highlight w:val="none"/>
        </w:rPr>
        <w:t>定量</w:t>
      </w:r>
      <w:r>
        <w:rPr>
          <w:rFonts w:hint="eastAsia" w:ascii="Times New Roman" w:hAnsi="Times New Roman" w:eastAsia="仿宋_GB2312"/>
          <w:sz w:val="32"/>
          <w:szCs w:val="32"/>
          <w:highlight w:val="none"/>
        </w:rPr>
        <w:t>检测</w:t>
      </w:r>
      <w:r>
        <w:rPr>
          <w:rFonts w:ascii="Times New Roman" w:hAnsi="Times New Roman" w:eastAsia="仿宋_GB2312"/>
          <w:sz w:val="32"/>
          <w:szCs w:val="32"/>
          <w:highlight w:val="none"/>
        </w:rPr>
        <w:t>的</w:t>
      </w:r>
      <w:r>
        <w:rPr>
          <w:rFonts w:hint="eastAsia" w:ascii="Times New Roman" w:hAnsi="Times New Roman" w:eastAsia="仿宋_GB2312"/>
          <w:sz w:val="32"/>
          <w:szCs w:val="32"/>
          <w:highlight w:val="none"/>
          <w:lang w:val="en-US" w:eastAsia="zh-CN"/>
        </w:rPr>
        <w:t>体外诊断</w:t>
      </w:r>
      <w:r>
        <w:rPr>
          <w:rFonts w:ascii="Times New Roman" w:hAnsi="Times New Roman" w:eastAsia="仿宋_GB2312"/>
          <w:sz w:val="32"/>
          <w:szCs w:val="32"/>
          <w:highlight w:val="none"/>
        </w:rPr>
        <w:t>试剂</w:t>
      </w:r>
      <w:r>
        <w:rPr>
          <w:rFonts w:hint="eastAsia" w:ascii="Times New Roman" w:hAnsi="Times New Roman" w:eastAsia="仿宋_GB2312"/>
          <w:sz w:val="32"/>
          <w:szCs w:val="32"/>
          <w:highlight w:val="none"/>
        </w:rPr>
        <w:t>。不适用于胶体金法、</w:t>
      </w:r>
      <w:r>
        <w:rPr>
          <w:rFonts w:hint="eastAsia" w:ascii="Times New Roman" w:hAnsi="Times New Roman" w:eastAsia="仿宋_GB2312"/>
          <w:sz w:val="32"/>
          <w:szCs w:val="32"/>
          <w:highlight w:val="none"/>
          <w:lang w:val="en-US" w:eastAsia="zh-CN"/>
        </w:rPr>
        <w:t>放射免疫</w:t>
      </w:r>
      <w:r>
        <w:rPr>
          <w:rFonts w:hint="eastAsia" w:ascii="Times New Roman" w:hAnsi="Times New Roman" w:eastAsia="仿宋_GB2312"/>
          <w:sz w:val="32"/>
          <w:szCs w:val="32"/>
          <w:highlight w:val="none"/>
        </w:rPr>
        <w:t>等方法学。</w:t>
      </w:r>
      <w:r>
        <w:rPr>
          <w:rFonts w:ascii="Times New Roman" w:hAnsi="Times New Roman" w:eastAsia="仿宋_GB2312"/>
          <w:sz w:val="32"/>
          <w:szCs w:val="32"/>
          <w:highlight w:val="none"/>
        </w:rPr>
        <w:t>对基于其他方法学的试剂，</w:t>
      </w:r>
      <w:r>
        <w:rPr>
          <w:rFonts w:ascii="Times New Roman" w:hAnsi="Times New Roman" w:eastAsia="仿宋_GB2312"/>
          <w:bCs/>
          <w:color w:val="000000"/>
          <w:sz w:val="32"/>
          <w:szCs w:val="32"/>
          <w:highlight w:val="none"/>
        </w:rPr>
        <w:t>可能部分要求不完全适用或本文所述内容不够全面，申请人可以参照本指导原则，</w:t>
      </w:r>
      <w:r>
        <w:rPr>
          <w:rFonts w:hint="eastAsia" w:ascii="Times New Roman" w:hAnsi="Times New Roman" w:eastAsia="仿宋_GB2312"/>
          <w:bCs/>
          <w:color w:val="000000"/>
          <w:sz w:val="32"/>
          <w:szCs w:val="32"/>
          <w:highlight w:val="none"/>
          <w:lang w:val="en-US" w:eastAsia="zh-CN"/>
        </w:rPr>
        <w:t>但应</w:t>
      </w:r>
      <w:r>
        <w:rPr>
          <w:rFonts w:ascii="Times New Roman" w:hAnsi="Times New Roman" w:eastAsia="仿宋_GB2312"/>
          <w:bCs/>
          <w:color w:val="000000"/>
          <w:sz w:val="32"/>
          <w:szCs w:val="32"/>
          <w:highlight w:val="none"/>
        </w:rPr>
        <w:t>根据产品</w:t>
      </w:r>
      <w:r>
        <w:rPr>
          <w:rFonts w:hint="eastAsia" w:ascii="Times New Roman" w:hAnsi="Times New Roman" w:eastAsia="仿宋_GB2312"/>
          <w:bCs/>
          <w:color w:val="000000"/>
          <w:sz w:val="32"/>
          <w:szCs w:val="32"/>
          <w:highlight w:val="none"/>
          <w:lang w:val="en-US" w:eastAsia="zh-CN"/>
        </w:rPr>
        <w:t>的具体</w:t>
      </w:r>
      <w:r>
        <w:rPr>
          <w:rFonts w:ascii="Times New Roman" w:hAnsi="Times New Roman" w:eastAsia="仿宋_GB2312"/>
          <w:bCs/>
          <w:color w:val="000000"/>
          <w:sz w:val="32"/>
          <w:szCs w:val="32"/>
          <w:highlight w:val="none"/>
        </w:rPr>
        <w:t>特性对适用部分进行评价或补充其他的评价资料进行相应验证。</w:t>
      </w:r>
      <w:r>
        <w:rPr>
          <w:rFonts w:ascii="Times New Roman" w:hAnsi="Times New Roman" w:eastAsia="黑体"/>
          <w:sz w:val="32"/>
          <w:szCs w:val="32"/>
          <w:highlight w:val="none"/>
        </w:rPr>
        <w:t xml:space="preserve"> </w:t>
      </w:r>
    </w:p>
    <w:p w14:paraId="415F5F4E">
      <w:pPr>
        <w:pStyle w:val="2"/>
        <w:spacing w:before="0" w:after="0" w:line="520" w:lineRule="exact"/>
        <w:ind w:firstLine="640" w:firstLineChars="200"/>
        <w:rPr>
          <w:rFonts w:ascii="Times New Roman" w:hAnsi="Times New Roman" w:eastAsia="黑体"/>
          <w:sz w:val="32"/>
          <w:szCs w:val="32"/>
          <w:highlight w:val="none"/>
        </w:rPr>
      </w:pPr>
      <w:r>
        <w:rPr>
          <w:rFonts w:ascii="Times New Roman" w:hAnsi="Times New Roman" w:eastAsia="黑体"/>
          <w:b w:val="0"/>
          <w:bCs w:val="0"/>
          <w:sz w:val="32"/>
          <w:szCs w:val="32"/>
          <w:highlight w:val="none"/>
        </w:rPr>
        <w:t>二、注册审查要点</w:t>
      </w:r>
    </w:p>
    <w:p w14:paraId="5052F4A0">
      <w:pPr>
        <w:tabs>
          <w:tab w:val="left" w:pos="6720"/>
        </w:tabs>
        <w:spacing w:line="520" w:lineRule="exact"/>
        <w:ind w:firstLine="640" w:firstLineChars="200"/>
        <w:outlineLvl w:val="0"/>
        <w:rPr>
          <w:rFonts w:ascii="Times New Roman" w:hAnsi="Times New Roman" w:eastAsia="楷体_GB2312"/>
          <w:sz w:val="32"/>
          <w:szCs w:val="32"/>
          <w:highlight w:val="none"/>
        </w:rPr>
      </w:pPr>
      <w:r>
        <w:rPr>
          <w:rFonts w:ascii="Times New Roman" w:hAnsi="Times New Roman" w:eastAsia="楷体_GB2312"/>
          <w:sz w:val="32"/>
          <w:szCs w:val="32"/>
          <w:highlight w:val="none"/>
        </w:rPr>
        <w:t>（</w:t>
      </w:r>
      <w:r>
        <w:rPr>
          <w:rFonts w:hint="eastAsia" w:ascii="Times New Roman" w:hAnsi="Times New Roman" w:eastAsia="楷体_GB2312"/>
          <w:sz w:val="32"/>
          <w:szCs w:val="32"/>
          <w:highlight w:val="none"/>
        </w:rPr>
        <w:t>一</w:t>
      </w:r>
      <w:r>
        <w:rPr>
          <w:rFonts w:ascii="Times New Roman" w:hAnsi="Times New Roman" w:eastAsia="楷体_GB2312"/>
          <w:sz w:val="32"/>
          <w:szCs w:val="32"/>
          <w:highlight w:val="none"/>
        </w:rPr>
        <w:t>）监管信息</w:t>
      </w:r>
    </w:p>
    <w:p w14:paraId="32A3B644">
      <w:pPr>
        <w:tabs>
          <w:tab w:val="left" w:pos="6720"/>
        </w:tabs>
        <w:spacing w:line="520" w:lineRule="exact"/>
        <w:ind w:firstLine="640" w:firstLineChars="200"/>
        <w:outlineLvl w:val="0"/>
        <w:rPr>
          <w:rFonts w:ascii="Times New Roman" w:hAnsi="Times New Roman" w:eastAsia="仿宋_GB2312"/>
          <w:sz w:val="32"/>
          <w:szCs w:val="32"/>
          <w:highlight w:val="none"/>
        </w:rPr>
      </w:pPr>
      <w:r>
        <w:rPr>
          <w:rFonts w:ascii="Times New Roman" w:hAnsi="Times New Roman" w:eastAsia="仿宋_GB2312"/>
          <w:sz w:val="32"/>
          <w:szCs w:val="32"/>
          <w:highlight w:val="none"/>
        </w:rPr>
        <w:t>1</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产品名称</w:t>
      </w:r>
    </w:p>
    <w:p w14:paraId="2E1E0497">
      <w:pPr>
        <w:autoSpaceDE/>
        <w:autoSpaceDN/>
        <w:spacing w:line="520" w:lineRule="exact"/>
        <w:ind w:firstLine="640" w:firstLineChars="200"/>
        <w:rPr>
          <w:rFonts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28"/>
          <w14:textFill>
            <w14:solidFill>
              <w14:schemeClr w14:val="tx1"/>
            </w14:solidFill>
          </w14:textFill>
        </w:rPr>
        <w:t>产品</w:t>
      </w:r>
      <w:r>
        <w:rPr>
          <w:rFonts w:ascii="Times New Roman" w:hAnsi="Times New Roman" w:eastAsia="仿宋_GB2312"/>
          <w:color w:val="000000" w:themeColor="text1"/>
          <w:sz w:val="32"/>
          <w:szCs w:val="28"/>
          <w14:textFill>
            <w14:solidFill>
              <w14:schemeClr w14:val="tx1"/>
            </w14:solidFill>
          </w14:textFill>
        </w:rPr>
        <w:t>名称</w:t>
      </w:r>
      <w:r>
        <w:rPr>
          <w:rFonts w:hint="eastAsia" w:ascii="Times New Roman" w:hAnsi="Times New Roman" w:eastAsia="仿宋_GB2312"/>
          <w:color w:val="000000" w:themeColor="text1"/>
          <w:sz w:val="32"/>
          <w:szCs w:val="28"/>
          <w14:textFill>
            <w14:solidFill>
              <w14:schemeClr w14:val="tx1"/>
            </w14:solidFill>
          </w14:textFill>
        </w:rPr>
        <w:t>一般由三部分组成。第一部分：被测物</w:t>
      </w:r>
      <w:r>
        <w:rPr>
          <w:rFonts w:ascii="Times New Roman" w:hAnsi="Times New Roman" w:eastAsia="仿宋_GB2312"/>
          <w:color w:val="000000" w:themeColor="text1"/>
          <w:sz w:val="32"/>
          <w:szCs w:val="28"/>
          <w14:textFill>
            <w14:solidFill>
              <w14:schemeClr w14:val="tx1"/>
            </w14:solidFill>
          </w14:textFill>
        </w:rPr>
        <w:t>名称</w:t>
      </w:r>
      <w:r>
        <w:rPr>
          <w:rFonts w:hint="eastAsia" w:ascii="Times New Roman" w:hAnsi="Times New Roman" w:eastAsia="仿宋_GB2312"/>
          <w:color w:val="000000" w:themeColor="text1"/>
          <w:sz w:val="32"/>
          <w:szCs w:val="28"/>
          <w14:textFill>
            <w14:solidFill>
              <w14:schemeClr w14:val="tx1"/>
            </w14:solidFill>
          </w14:textFill>
        </w:rPr>
        <w:t>为</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甲状旁腺激素</w:t>
      </w:r>
      <w:r>
        <w:rPr>
          <w:rFonts w:hint="eastAsia" w:ascii="Times New Roman" w:hAnsi="Times New Roman" w:eastAsia="仿宋_GB2312"/>
          <w:color w:val="000000" w:themeColor="text1"/>
          <w:sz w:val="32"/>
          <w:szCs w:val="28"/>
          <w14:textFill>
            <w14:solidFill>
              <w14:schemeClr w14:val="tx1"/>
            </w14:solidFill>
          </w14:textFill>
        </w:rPr>
        <w:t>；第二部分：用途，如测定试剂；第三部分：方法或者原理，如</w:t>
      </w:r>
      <w:r>
        <w:rPr>
          <w:rFonts w:ascii="Times New Roman" w:hAnsi="Times New Roman" w:eastAsia="仿宋_GB2312"/>
          <w:color w:val="000000" w:themeColor="text1"/>
          <w:sz w:val="32"/>
          <w:szCs w:val="32"/>
          <w:highlight w:val="none"/>
          <w14:textFill>
            <w14:solidFill>
              <w14:schemeClr w14:val="tx1"/>
            </w14:solidFill>
          </w14:textFill>
        </w:rPr>
        <w:t>化学发光</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免疫分析</w:t>
      </w:r>
      <w:r>
        <w:rPr>
          <w:rFonts w:ascii="Times New Roman" w:hAnsi="Times New Roman" w:eastAsia="仿宋_GB2312"/>
          <w:color w:val="000000" w:themeColor="text1"/>
          <w:sz w:val="32"/>
          <w:szCs w:val="32"/>
          <w:highlight w:val="none"/>
          <w14:textFill>
            <w14:solidFill>
              <w14:schemeClr w14:val="tx1"/>
            </w14:solidFill>
          </w14:textFill>
        </w:rPr>
        <w:t>法</w:t>
      </w:r>
      <w:r>
        <w:rPr>
          <w:rFonts w:hint="eastAsia" w:ascii="Times New Roman" w:hAnsi="Times New Roman" w:eastAsia="仿宋_GB2312"/>
          <w:color w:val="000000" w:themeColor="text1"/>
          <w:sz w:val="32"/>
          <w:szCs w:val="32"/>
          <w:highlight w:val="none"/>
          <w14:textFill>
            <w14:solidFill>
              <w14:schemeClr w14:val="tx1"/>
            </w14:solidFill>
          </w14:textFill>
        </w:rPr>
        <w:t>、酶联免疫法、荧光免疫法</w:t>
      </w:r>
      <w:r>
        <w:rPr>
          <w:rFonts w:ascii="Times New Roman" w:hAnsi="Times New Roman" w:eastAsia="仿宋_GB2312"/>
          <w:color w:val="000000" w:themeColor="text1"/>
          <w:sz w:val="32"/>
          <w:szCs w:val="32"/>
          <w:highlight w:val="none"/>
          <w14:textFill>
            <w14:solidFill>
              <w14:schemeClr w14:val="tx1"/>
            </w14:solidFill>
          </w14:textFill>
        </w:rPr>
        <w:t>等</w:t>
      </w:r>
      <w:r>
        <w:rPr>
          <w:rFonts w:hint="eastAsia" w:ascii="Times New Roman" w:hAnsi="Times New Roman" w:eastAsia="仿宋_GB2312"/>
          <w:color w:val="000000" w:themeColor="text1"/>
          <w:sz w:val="32"/>
          <w:szCs w:val="28"/>
          <w14:textFill>
            <w14:solidFill>
              <w14:schemeClr w14:val="tx1"/>
            </w14:solidFill>
          </w14:textFill>
        </w:rPr>
        <w:t>。</w:t>
      </w:r>
    </w:p>
    <w:p w14:paraId="309EEDDD">
      <w:pPr>
        <w:tabs>
          <w:tab w:val="left" w:pos="7140"/>
        </w:tabs>
        <w:autoSpaceDE/>
        <w:autoSpaceDN/>
        <w:spacing w:line="520" w:lineRule="exact"/>
        <w:ind w:firstLine="640" w:firstLineChars="200"/>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2.</w:t>
      </w:r>
      <w:r>
        <w:rPr>
          <w:rFonts w:ascii="Times New Roman" w:hAnsi="Times New Roman" w:eastAsia="仿宋_GB2312"/>
          <w:color w:val="000000" w:themeColor="text1"/>
          <w:sz w:val="32"/>
          <w:szCs w:val="32"/>
          <w:highlight w:val="none"/>
          <w14:textFill>
            <w14:solidFill>
              <w14:schemeClr w14:val="tx1"/>
            </w14:solidFill>
          </w14:textFill>
        </w:rPr>
        <w:t>分类</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依据</w:t>
      </w:r>
    </w:p>
    <w:p w14:paraId="72FB28F1">
      <w:pPr>
        <w:tabs>
          <w:tab w:val="left" w:pos="7140"/>
        </w:tabs>
        <w:autoSpaceDE/>
        <w:autoSpaceDN/>
        <w:spacing w:line="520" w:lineRule="exact"/>
        <w:ind w:firstLine="640" w:firstLineChars="200"/>
        <w:rPr>
          <w:rFonts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28"/>
          <w14:textFill>
            <w14:solidFill>
              <w14:schemeClr w14:val="tx1"/>
            </w14:solidFill>
          </w14:textFill>
        </w:rPr>
        <w:t>根据《体外诊断试剂分类目录》，</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甲状旁腺激素</w:t>
      </w:r>
      <w:r>
        <w:rPr>
          <w:rFonts w:hint="eastAsia" w:ascii="Times New Roman" w:hAnsi="Times New Roman" w:eastAsia="仿宋_GB2312"/>
          <w:color w:val="000000" w:themeColor="text1"/>
          <w:spacing w:val="0"/>
          <w:sz w:val="32"/>
          <w:szCs w:val="32"/>
          <w:highlight w:val="none"/>
          <w:lang w:val="en-US" w:eastAsia="zh-CN"/>
          <w14:textFill>
            <w14:solidFill>
              <w14:schemeClr w14:val="tx1"/>
            </w14:solidFill>
          </w14:textFill>
        </w:rPr>
        <w:t>测定</w:t>
      </w:r>
      <w:r>
        <w:rPr>
          <w:rFonts w:hint="eastAsia" w:ascii="Times New Roman" w:hAnsi="Times New Roman" w:eastAsia="仿宋_GB2312"/>
          <w:color w:val="000000" w:themeColor="text1"/>
          <w:spacing w:val="0"/>
          <w:sz w:val="32"/>
          <w:szCs w:val="32"/>
          <w:highlight w:val="none"/>
          <w14:textFill>
            <w14:solidFill>
              <w14:schemeClr w14:val="tx1"/>
            </w14:solidFill>
          </w14:textFill>
        </w:rPr>
        <w:t>试剂</w:t>
      </w:r>
      <w:r>
        <w:rPr>
          <w:rFonts w:hint="eastAsia" w:ascii="Times New Roman" w:hAnsi="Times New Roman" w:eastAsia="仿宋_GB2312"/>
          <w:color w:val="000000" w:themeColor="text1"/>
          <w:sz w:val="32"/>
          <w:szCs w:val="28"/>
          <w14:textFill>
            <w14:solidFill>
              <w14:schemeClr w14:val="tx1"/>
            </w14:solidFill>
          </w14:textFill>
        </w:rPr>
        <w:t>管理类别为</w:t>
      </w:r>
      <w:r>
        <w:rPr>
          <w:rFonts w:ascii="Times New Roman" w:hAnsi="Times New Roman" w:eastAsia="仿宋_GB2312"/>
          <w:color w:val="000000" w:themeColor="text1"/>
          <w:sz w:val="32"/>
          <w:szCs w:val="28"/>
          <w14:textFill>
            <w14:solidFill>
              <w14:schemeClr w14:val="tx1"/>
            </w14:solidFill>
          </w14:textFill>
        </w:rPr>
        <w:t>Ⅱ类</w:t>
      </w:r>
      <w:r>
        <w:rPr>
          <w:rFonts w:hint="eastAsia" w:ascii="Times New Roman" w:hAnsi="Times New Roman" w:eastAsia="仿宋_GB2312"/>
          <w:color w:val="000000" w:themeColor="text1"/>
          <w:sz w:val="32"/>
          <w:szCs w:val="28"/>
          <w14:textFill>
            <w14:solidFill>
              <w14:schemeClr w14:val="tx1"/>
            </w14:solidFill>
          </w14:textFill>
        </w:rPr>
        <w:t>，分类编码为</w:t>
      </w:r>
      <w:r>
        <w:rPr>
          <w:rFonts w:ascii="Times New Roman" w:hAnsi="Times New Roman" w:eastAsia="仿宋_GB2312"/>
          <w:color w:val="000000" w:themeColor="text1"/>
          <w:sz w:val="32"/>
          <w:szCs w:val="32"/>
          <w:highlight w:val="none"/>
          <w14:textFill>
            <w14:solidFill>
              <w14:schemeClr w14:val="tx1"/>
            </w14:solidFill>
          </w14:textFill>
        </w:rPr>
        <w:t>6840</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-10-10015</w:t>
      </w:r>
      <w:r>
        <w:rPr>
          <w:rFonts w:ascii="Times New Roman" w:hAnsi="Times New Roman" w:eastAsia="仿宋_GB2312"/>
          <w:color w:val="000000" w:themeColor="text1"/>
          <w:sz w:val="32"/>
          <w:szCs w:val="32"/>
          <w:highlight w:val="none"/>
          <w14:textFill>
            <w14:solidFill>
              <w14:schemeClr w14:val="tx1"/>
            </w14:solidFill>
          </w14:textFill>
        </w:rPr>
        <w:t>。</w:t>
      </w:r>
    </w:p>
    <w:p w14:paraId="5AB61C58">
      <w:pPr>
        <w:tabs>
          <w:tab w:val="left" w:pos="6720"/>
        </w:tabs>
        <w:spacing w:line="520" w:lineRule="exact"/>
        <w:ind w:firstLine="640" w:firstLineChars="200"/>
        <w:outlineLvl w:val="0"/>
        <w:rPr>
          <w:rFonts w:ascii="Times New Roman" w:hAnsi="Times New Roman" w:eastAsia="楷体_GB2312"/>
          <w:sz w:val="32"/>
          <w:szCs w:val="32"/>
          <w:highlight w:val="none"/>
        </w:rPr>
      </w:pPr>
      <w:r>
        <w:rPr>
          <w:rFonts w:ascii="Times New Roman" w:hAnsi="Times New Roman" w:eastAsia="楷体_GB2312"/>
          <w:sz w:val="32"/>
          <w:szCs w:val="32"/>
          <w:highlight w:val="none"/>
        </w:rPr>
        <w:t>（</w:t>
      </w:r>
      <w:r>
        <w:rPr>
          <w:rFonts w:hint="default" w:ascii="Times New Roman" w:hAnsi="Times New Roman" w:eastAsia="楷体_GB2312"/>
          <w:sz w:val="32"/>
          <w:szCs w:val="32"/>
          <w:highlight w:val="none"/>
        </w:rPr>
        <w:t>二</w:t>
      </w:r>
      <w:r>
        <w:rPr>
          <w:rFonts w:ascii="Times New Roman" w:hAnsi="Times New Roman" w:eastAsia="楷体_GB2312"/>
          <w:sz w:val="32"/>
          <w:szCs w:val="32"/>
          <w:highlight w:val="none"/>
        </w:rPr>
        <w:t>）综述资料</w:t>
      </w:r>
    </w:p>
    <w:p w14:paraId="400C1716">
      <w:pPr>
        <w:spacing w:line="520" w:lineRule="exact"/>
        <w:ind w:firstLine="640" w:firstLineChars="200"/>
        <w:rPr>
          <w:rFonts w:ascii="Times New Roman" w:hAnsi="Times New Roman" w:eastAsia="仿宋_GB2312"/>
          <w:sz w:val="32"/>
        </w:rPr>
      </w:pPr>
      <w:r>
        <w:rPr>
          <w:rFonts w:ascii="Times New Roman" w:hAnsi="Times New Roman" w:eastAsia="仿宋_GB2312"/>
          <w:sz w:val="32"/>
        </w:rPr>
        <w:t>综述资料主要包括产品</w:t>
      </w:r>
      <w:r>
        <w:rPr>
          <w:rFonts w:ascii="Times New Roman" w:hAnsi="Times New Roman" w:eastAsia="仿宋_GB2312"/>
          <w:spacing w:val="-1"/>
          <w:sz w:val="32"/>
          <w:szCs w:val="32"/>
        </w:rPr>
        <w:t>技术原理、</w:t>
      </w:r>
      <w:r>
        <w:rPr>
          <w:rFonts w:ascii="Times New Roman" w:hAnsi="Times New Roman" w:eastAsia="仿宋_GB2312"/>
          <w:sz w:val="32"/>
          <w:szCs w:val="32"/>
        </w:rPr>
        <w:t>主要生产工艺</w:t>
      </w:r>
      <w:r>
        <w:rPr>
          <w:rFonts w:ascii="Times New Roman" w:hAnsi="Times New Roman" w:eastAsia="仿宋_GB2312"/>
          <w:spacing w:val="-1"/>
          <w:sz w:val="32"/>
          <w:szCs w:val="32"/>
        </w:rPr>
        <w:t>、包装、研发历程、预期用途、预期使用环境、</w:t>
      </w:r>
      <w:r>
        <w:rPr>
          <w:rFonts w:ascii="Times New Roman" w:hAnsi="Times New Roman" w:eastAsia="仿宋_GB2312"/>
          <w:bCs/>
          <w:sz w:val="32"/>
          <w:szCs w:val="32"/>
        </w:rPr>
        <w:t>临床适应证</w:t>
      </w:r>
      <w:r>
        <w:rPr>
          <w:rFonts w:ascii="Times New Roman" w:hAnsi="Times New Roman" w:eastAsia="仿宋_GB2312"/>
          <w:spacing w:val="-1"/>
          <w:sz w:val="32"/>
          <w:szCs w:val="32"/>
        </w:rPr>
        <w:t>、不良事件情况等</w:t>
      </w:r>
      <w:r>
        <w:rPr>
          <w:rFonts w:ascii="Times New Roman" w:hAnsi="Times New Roman" w:eastAsia="仿宋_GB2312"/>
          <w:sz w:val="32"/>
        </w:rPr>
        <w:t>内容。</w:t>
      </w:r>
    </w:p>
    <w:p w14:paraId="6790B7B1">
      <w:pPr>
        <w:spacing w:line="520" w:lineRule="exact"/>
        <w:ind w:firstLine="640" w:firstLineChars="200"/>
        <w:rPr>
          <w:rFonts w:ascii="Times New Roman" w:hAnsi="Times New Roman" w:eastAsia="楷体_GB2312"/>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1.</w:t>
      </w:r>
      <w:r>
        <w:rPr>
          <w:rFonts w:hint="eastAsia" w:ascii="Times New Roman" w:hAnsi="Times New Roman" w:eastAsia="仿宋_GB2312"/>
          <w:color w:val="000000" w:themeColor="text1"/>
          <w:sz w:val="32"/>
          <w:highlight w:val="none"/>
          <w14:textFill>
            <w14:solidFill>
              <w14:schemeClr w14:val="tx1"/>
            </w14:solidFill>
          </w14:textFill>
        </w:rPr>
        <w:t>概述</w:t>
      </w:r>
    </w:p>
    <w:p w14:paraId="2C7211F6">
      <w:pPr>
        <w:spacing w:line="520" w:lineRule="exact"/>
        <w:ind w:firstLine="640"/>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根据《体外诊断试剂注册与备案管理办法》和《</w:t>
      </w:r>
      <w:r>
        <w:rPr>
          <w:rFonts w:hint="eastAsia" w:ascii="Times New Roman" w:hAnsi="Times New Roman" w:eastAsia="仿宋_GB2312" w:cs="Times New Roman"/>
          <w:b w:val="0"/>
          <w:bCs w:val="0"/>
          <w:i w:val="0"/>
          <w:iCs w:val="0"/>
          <w:caps w:val="0"/>
          <w:color w:val="000000" w:themeColor="text1"/>
          <w:spacing w:val="0"/>
          <w:sz w:val="32"/>
          <w:szCs w:val="32"/>
          <w:highlight w:val="none"/>
          <w:shd w:val="clear"/>
          <w14:textFill>
            <w14:solidFill>
              <w14:schemeClr w14:val="tx1"/>
            </w14:solidFill>
          </w14:textFill>
        </w:rPr>
        <w:t>国家药监局关于发布体外诊断试剂分类目录的公告</w:t>
      </w:r>
      <w:r>
        <w:rPr>
          <w:rFonts w:hint="eastAsia" w:ascii="Times New Roman" w:hAnsi="Times New Roman" w:eastAsia="仿宋_GB2312"/>
          <w:color w:val="000000" w:themeColor="text1"/>
          <w:sz w:val="32"/>
          <w:szCs w:val="32"/>
          <w:highlight w:val="none"/>
          <w14:textFill>
            <w14:solidFill>
              <w14:schemeClr w14:val="tx1"/>
            </w14:solidFill>
          </w14:textFill>
        </w:rPr>
        <w:t>》，应当描述</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甲状旁腺激素测定试剂</w:t>
      </w:r>
      <w:r>
        <w:rPr>
          <w:rFonts w:hint="eastAsia" w:ascii="Times New Roman" w:hAnsi="Times New Roman" w:eastAsia="仿宋_GB2312"/>
          <w:color w:val="000000" w:themeColor="text1"/>
          <w:sz w:val="32"/>
          <w:szCs w:val="32"/>
          <w:highlight w:val="none"/>
          <w14:textFill>
            <w14:solidFill>
              <w14:schemeClr w14:val="tx1"/>
            </w14:solidFill>
          </w14:textFill>
        </w:rPr>
        <w:t>通用名称及其确定依据；描述产品管理类别为Ⅱ类，分类编码为</w:t>
      </w:r>
      <w:r>
        <w:rPr>
          <w:rFonts w:ascii="Times New Roman" w:hAnsi="Times New Roman" w:eastAsia="仿宋_GB2312"/>
          <w:color w:val="000000" w:themeColor="text1"/>
          <w:sz w:val="32"/>
          <w:szCs w:val="32"/>
          <w:highlight w:val="none"/>
          <w14:textFill>
            <w14:solidFill>
              <w14:schemeClr w14:val="tx1"/>
            </w14:solidFill>
          </w14:textFill>
        </w:rPr>
        <w:t>6840</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-10-10015</w:t>
      </w:r>
      <w:r>
        <w:rPr>
          <w:rFonts w:hint="eastAsia" w:ascii="Times New Roman" w:hAnsi="Times New Roman" w:eastAsia="仿宋_GB2312"/>
          <w:color w:val="000000" w:themeColor="text1"/>
          <w:sz w:val="32"/>
          <w:szCs w:val="32"/>
          <w:highlight w:val="none"/>
          <w14:textFill>
            <w14:solidFill>
              <w14:schemeClr w14:val="tx1"/>
            </w14:solidFill>
          </w14:textFill>
        </w:rPr>
        <w:t>，明确所属分类目录名称；描述申报产品预期用途；描述有关申报产品的背景信息概述或特别细节，如：申报产品的历史概述、历次提交的信息，与其他经批准上市产品的关系等。</w:t>
      </w:r>
    </w:p>
    <w:p w14:paraId="16FFF3CE">
      <w:pPr>
        <w:spacing w:line="520" w:lineRule="exact"/>
        <w:ind w:firstLine="640" w:firstLineChars="200"/>
        <w:rPr>
          <w:rFonts w:ascii="Times New Roman" w:hAnsi="Times New Roman" w:eastAsia="仿宋_GB2312"/>
          <w:color w:val="000000" w:themeColor="text1"/>
          <w:sz w:val="32"/>
          <w:szCs w:val="28"/>
          <w14:textFill>
            <w14:solidFill>
              <w14:schemeClr w14:val="tx1"/>
            </w14:solidFill>
          </w14:textFill>
        </w:rPr>
      </w:pPr>
      <w:r>
        <w:rPr>
          <w:rFonts w:ascii="Times New Roman" w:hAnsi="Times New Roman" w:eastAsia="仿宋_GB2312"/>
          <w:color w:val="000000" w:themeColor="text1"/>
          <w:sz w:val="32"/>
          <w:szCs w:val="28"/>
          <w14:textFill>
            <w14:solidFill>
              <w14:schemeClr w14:val="tx1"/>
            </w14:solidFill>
          </w14:textFill>
        </w:rPr>
        <w:t>2.</w:t>
      </w:r>
      <w:r>
        <w:rPr>
          <w:rFonts w:ascii="Times New Roman" w:hAnsi="Times New Roman" w:eastAsia="仿宋_GB2312"/>
          <w:color w:val="000000" w:themeColor="text1"/>
          <w:sz w:val="32"/>
          <w14:textFill>
            <w14:solidFill>
              <w14:schemeClr w14:val="tx1"/>
            </w14:solidFill>
          </w14:textFill>
        </w:rPr>
        <w:t>产品描述</w:t>
      </w:r>
    </w:p>
    <w:p w14:paraId="0E4B858F">
      <w:pPr>
        <w:spacing w:line="52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14:textFill>
            <w14:solidFill>
              <w14:schemeClr w14:val="tx1"/>
            </w14:solidFill>
          </w14:textFill>
        </w:rPr>
        <w:t>应提供产品所采用的技术原理，产品组成，原材料的来源及制备方法，主要生产工艺，检验方法，质控品的制备方法及赋值情况，如产品检测需要进行校准，应提供校准品的制备方法及溯源情况。</w:t>
      </w:r>
      <w:r>
        <w:rPr>
          <w:rFonts w:ascii="Times New Roman" w:hAnsi="Times New Roman" w:eastAsia="仿宋_GB2312"/>
          <w:color w:val="000000" w:themeColor="text1"/>
          <w:sz w:val="32"/>
          <w:szCs w:val="32"/>
          <w14:textFill>
            <w14:solidFill>
              <w14:schemeClr w14:val="tx1"/>
            </w14:solidFill>
          </w14:textFill>
        </w:rPr>
        <w:t>应</w:t>
      </w:r>
      <w:r>
        <w:rPr>
          <w:rFonts w:ascii="Times New Roman" w:hAnsi="Times New Roman" w:eastAsia="仿宋_GB2312"/>
          <w:color w:val="000000" w:themeColor="text1"/>
          <w:sz w:val="32"/>
          <w14:textFill>
            <w14:solidFill>
              <w14:schemeClr w14:val="tx1"/>
            </w14:solidFill>
          </w14:textFill>
        </w:rPr>
        <w:t>提供</w:t>
      </w:r>
      <w:r>
        <w:rPr>
          <w:rFonts w:ascii="Times New Roman" w:hAnsi="Times New Roman" w:eastAsia="仿宋_GB2312"/>
          <w:color w:val="000000" w:themeColor="text1"/>
          <w:sz w:val="32"/>
          <w:szCs w:val="32"/>
          <w14:textFill>
            <w14:solidFill>
              <w14:schemeClr w14:val="tx1"/>
            </w14:solidFill>
          </w14:textFill>
        </w:rPr>
        <w:t>产品主要研究结果的总结和评价，包括分析性能评估、参考区间（如适用）、稳定性以及临床评价等。</w:t>
      </w:r>
      <w:r>
        <w:rPr>
          <w:rFonts w:ascii="Times New Roman" w:hAnsi="Times New Roman" w:eastAsia="仿宋_GB2312"/>
          <w:color w:val="000000" w:themeColor="text1"/>
          <w:sz w:val="32"/>
          <w14:textFill>
            <w14:solidFill>
              <w14:schemeClr w14:val="tx1"/>
            </w14:solidFill>
          </w14:textFill>
        </w:rPr>
        <w:t>提供</w:t>
      </w:r>
      <w:r>
        <w:rPr>
          <w:rFonts w:ascii="Times New Roman" w:hAnsi="Times New Roman" w:eastAsia="仿宋_GB2312"/>
          <w:color w:val="000000" w:themeColor="text1"/>
          <w:sz w:val="32"/>
          <w:szCs w:val="32"/>
          <w14:textFill>
            <w14:solidFill>
              <w14:schemeClr w14:val="tx1"/>
            </w14:solidFill>
          </w14:textFill>
        </w:rPr>
        <w:t>不同包装规格之间的差异。</w:t>
      </w:r>
      <w:r>
        <w:rPr>
          <w:rFonts w:ascii="Times New Roman" w:hAnsi="Times New Roman" w:eastAsia="仿宋_GB2312"/>
          <w:color w:val="000000" w:themeColor="text1"/>
          <w:sz w:val="32"/>
          <w14:textFill>
            <w14:solidFill>
              <w14:schemeClr w14:val="tx1"/>
            </w14:solidFill>
          </w14:textFill>
        </w:rPr>
        <w:t>提供</w:t>
      </w:r>
      <w:r>
        <w:rPr>
          <w:rFonts w:ascii="Times New Roman" w:hAnsi="Times New Roman" w:eastAsia="仿宋_GB2312"/>
          <w:color w:val="000000" w:themeColor="text1"/>
          <w:sz w:val="32"/>
          <w:szCs w:val="32"/>
          <w14:textFill>
            <w14:solidFill>
              <w14:schemeClr w14:val="tx1"/>
            </w14:solidFill>
          </w14:textFill>
        </w:rPr>
        <w:t>产品中使用的生物材料或衍生物（如适用），包括生物学来源（如人、动物、病原体、重组或发酵产物）和组织来源（如血液）。其他动物源及微生物来源的材料，应当说明其在产品运输、使用过程中对使用者和环境是安全的，并提供相关的文件。</w:t>
      </w:r>
    </w:p>
    <w:p w14:paraId="083EF3D6">
      <w:pPr>
        <w:spacing w:line="520" w:lineRule="exact"/>
        <w:ind w:firstLine="640" w:firstLineChars="200"/>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zCs w:val="28"/>
          <w14:textFill>
            <w14:solidFill>
              <w14:schemeClr w14:val="tx1"/>
            </w14:solidFill>
          </w14:textFill>
        </w:rPr>
        <w:t>3.</w:t>
      </w:r>
      <w:r>
        <w:rPr>
          <w:rFonts w:ascii="Times New Roman" w:hAnsi="Times New Roman" w:eastAsia="仿宋_GB2312"/>
          <w:color w:val="000000" w:themeColor="text1"/>
          <w:sz w:val="32"/>
          <w14:textFill>
            <w14:solidFill>
              <w14:schemeClr w14:val="tx1"/>
            </w14:solidFill>
          </w14:textFill>
        </w:rPr>
        <w:t>预期用途</w:t>
      </w:r>
    </w:p>
    <w:p w14:paraId="3533B9D2">
      <w:pPr>
        <w:adjustRightInd w:val="0"/>
        <w:snapToGrid w:val="0"/>
        <w:spacing w:line="520" w:lineRule="exact"/>
        <w:ind w:firstLine="640" w:firstLineChars="200"/>
        <w:rPr>
          <w:rFonts w:ascii="Times New Roman" w:hAnsi="Times New Roman" w:eastAsia="仿宋_GB2312"/>
          <w:color w:val="000000" w:themeColor="text1"/>
          <w:sz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3.1</w:t>
      </w:r>
      <w:r>
        <w:rPr>
          <w:rFonts w:hint="eastAsia" w:ascii="Times New Roman" w:hAnsi="Times New Roman" w:eastAsia="仿宋_GB2312"/>
          <w:color w:val="000000" w:themeColor="text1"/>
          <w:sz w:val="32"/>
          <w:highlight w:val="none"/>
          <w14:textFill>
            <w14:solidFill>
              <w14:schemeClr w14:val="tx1"/>
            </w14:solidFill>
          </w14:textFill>
        </w:rPr>
        <w:t>预期用途</w:t>
      </w:r>
    </w:p>
    <w:p w14:paraId="4E381B26">
      <w:pPr>
        <w:spacing w:line="520" w:lineRule="exact"/>
        <w:ind w:firstLine="640" w:firstLineChars="200"/>
        <w:rPr>
          <w:rFonts w:ascii="Times New Roman" w:hAnsi="Times New Roman" w:eastAsia="仿宋_GB2312"/>
          <w:color w:val="000000" w:themeColor="text1"/>
          <w:spacing w:val="-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用于体外定量检测人体样本中的甲状旁腺激素含量，</w:t>
      </w:r>
      <w:r>
        <w:rPr>
          <w:rFonts w:hint="eastAsia" w:ascii="Times New Roman" w:hAnsi="Times New Roman" w:eastAsia="仿宋_GB2312" w:cs="Times New Roman"/>
          <w:bCs w:val="0"/>
          <w:color w:val="000000" w:themeColor="text1"/>
          <w:sz w:val="32"/>
          <w:szCs w:val="32"/>
          <w:highlight w:val="none"/>
          <w14:textFill>
            <w14:solidFill>
              <w14:schemeClr w14:val="tx1"/>
            </w14:solidFill>
          </w14:textFill>
        </w:rPr>
        <w:t>应明确具体的样本类型如血清、血浆、</w:t>
      </w:r>
      <w:r>
        <w:rPr>
          <w:rFonts w:hint="eastAsia" w:ascii="Times New Roman" w:hAnsi="Times New Roman" w:eastAsia="仿宋_GB2312" w:cs="Times New Roman"/>
          <w:bCs w:val="0"/>
          <w:color w:val="000000" w:themeColor="text1"/>
          <w:sz w:val="32"/>
          <w:szCs w:val="32"/>
          <w:highlight w:val="none"/>
          <w:lang w:val="en-US" w:eastAsia="zh-CN"/>
          <w14:textFill>
            <w14:solidFill>
              <w14:schemeClr w14:val="tx1"/>
            </w14:solidFill>
          </w14:textFill>
        </w:rPr>
        <w:t>全血</w:t>
      </w:r>
      <w:r>
        <w:rPr>
          <w:rFonts w:hint="eastAsia" w:ascii="Times New Roman" w:hAnsi="Times New Roman" w:eastAsia="仿宋_GB2312" w:cs="Times New Roman"/>
          <w:bCs w:val="0"/>
          <w:color w:val="000000" w:themeColor="text1"/>
          <w:sz w:val="32"/>
          <w:szCs w:val="32"/>
          <w:highlight w:val="none"/>
          <w14:textFill>
            <w14:solidFill>
              <w14:schemeClr w14:val="tx1"/>
            </w14:solidFill>
          </w14:textFill>
        </w:rPr>
        <w:t>等，适用的样本类型应结合实际的分析性能研究及临床研究情况进行确认。</w:t>
      </w:r>
      <w:r>
        <w:rPr>
          <w:rFonts w:ascii="Times New Roman" w:hAnsi="Times New Roman" w:eastAsia="仿宋_GB2312"/>
          <w:color w:val="000000" w:themeColor="text1"/>
          <w:kern w:val="0"/>
          <w:sz w:val="32"/>
          <w:szCs w:val="32"/>
          <w14:textFill>
            <w14:solidFill>
              <w14:schemeClr w14:val="tx1"/>
            </w14:solidFill>
          </w14:textFill>
        </w:rPr>
        <w:t>应明确适用仪器及使用方法（</w:t>
      </w:r>
      <w:r>
        <w:rPr>
          <w:rFonts w:ascii="Times New Roman" w:hAnsi="Times New Roman" w:eastAsia="仿宋_GB2312"/>
          <w:color w:val="000000" w:themeColor="text1"/>
          <w:sz w:val="32"/>
          <w:szCs w:val="32"/>
          <w14:textFill>
            <w14:solidFill>
              <w14:schemeClr w14:val="tx1"/>
            </w14:solidFill>
          </w14:textFill>
        </w:rPr>
        <w:t>自动/半自动</w:t>
      </w:r>
      <w:r>
        <w:rPr>
          <w:rFonts w:ascii="Times New Roman" w:hAnsi="Times New Roman" w:eastAsia="仿宋_GB2312"/>
          <w:color w:val="000000" w:themeColor="text1"/>
          <w:kern w:val="0"/>
          <w:sz w:val="32"/>
          <w:szCs w:val="32"/>
          <w14:textFill>
            <w14:solidFill>
              <w14:schemeClr w14:val="tx1"/>
            </w14:solidFill>
          </w14:textFill>
        </w:rPr>
        <w:t>），样本采集</w:t>
      </w:r>
      <w:r>
        <w:rPr>
          <w:rFonts w:ascii="Times New Roman" w:hAnsi="Times New Roman" w:eastAsia="仿宋_GB2312"/>
          <w:color w:val="000000" w:themeColor="text1"/>
          <w:sz w:val="32"/>
          <w:szCs w:val="32"/>
          <w14:textFill>
            <w14:solidFill>
              <w14:schemeClr w14:val="tx1"/>
            </w14:solidFill>
          </w14:textFill>
        </w:rPr>
        <w:t>及保存装置和/或添加剂</w:t>
      </w:r>
      <w:r>
        <w:rPr>
          <w:rFonts w:hint="eastAsia" w:ascii="Times New Roman" w:hAnsi="Times New Roman" w:eastAsia="仿宋_GB2312"/>
          <w:color w:val="000000" w:themeColor="text1"/>
          <w:spacing w:val="-1"/>
          <w:sz w:val="32"/>
          <w:szCs w:val="32"/>
          <w14:textFill>
            <w14:solidFill>
              <w14:schemeClr w14:val="tx1"/>
            </w14:solidFill>
          </w14:textFill>
        </w:rPr>
        <w:t>（如</w:t>
      </w:r>
      <w:r>
        <w:rPr>
          <w:rFonts w:ascii="Times New Roman" w:hAnsi="Times New Roman" w:eastAsia="仿宋_GB2312"/>
          <w:color w:val="000000" w:themeColor="text1"/>
          <w:spacing w:val="-1"/>
          <w:sz w:val="32"/>
          <w:szCs w:val="32"/>
          <w14:textFill>
            <w14:solidFill>
              <w14:schemeClr w14:val="tx1"/>
            </w14:solidFill>
          </w14:textFill>
        </w:rPr>
        <w:t>抗凝剂</w:t>
      </w:r>
      <w:r>
        <w:rPr>
          <w:rFonts w:hint="eastAsia" w:ascii="Times New Roman" w:hAnsi="Times New Roman" w:eastAsia="仿宋_GB2312"/>
          <w:color w:val="000000" w:themeColor="text1"/>
          <w:spacing w:val="-1"/>
          <w:sz w:val="32"/>
          <w:szCs w:val="32"/>
          <w14:textFill>
            <w14:solidFill>
              <w14:schemeClr w14:val="tx1"/>
            </w14:solidFill>
          </w14:textFill>
        </w:rPr>
        <w:t>）</w:t>
      </w:r>
      <w:r>
        <w:rPr>
          <w:rFonts w:ascii="Times New Roman" w:hAnsi="Times New Roman" w:eastAsia="仿宋_GB2312"/>
          <w:color w:val="000000" w:themeColor="text1"/>
          <w:spacing w:val="-1"/>
          <w:sz w:val="32"/>
          <w:szCs w:val="32"/>
          <w14:textFill>
            <w14:solidFill>
              <w14:schemeClr w14:val="tx1"/>
            </w14:solidFill>
          </w14:textFill>
        </w:rPr>
        <w:t>使用情况。</w:t>
      </w:r>
    </w:p>
    <w:p w14:paraId="1989602D">
      <w:pPr>
        <w:spacing w:line="520" w:lineRule="exact"/>
        <w:ind w:firstLine="640" w:firstLineChars="200"/>
        <w:rPr>
          <w:rFonts w:hint="eastAsia" w:ascii="Times New Roman" w:hAnsi="Times New Roman" w:eastAsia="仿宋_GB2312"/>
          <w:color w:val="000000" w:themeColor="text1"/>
          <w:sz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3.2</w:t>
      </w:r>
      <w:r>
        <w:rPr>
          <w:rFonts w:hint="eastAsia" w:ascii="Times New Roman" w:hAnsi="Times New Roman" w:eastAsia="仿宋_GB2312"/>
          <w:color w:val="000000" w:themeColor="text1"/>
          <w:sz w:val="32"/>
          <w:highlight w:val="none"/>
          <w14:textFill>
            <w14:solidFill>
              <w14:schemeClr w14:val="tx1"/>
            </w14:solidFill>
          </w14:textFill>
        </w:rPr>
        <w:t>临床适应证</w:t>
      </w:r>
    </w:p>
    <w:p w14:paraId="09738DD2">
      <w:pPr>
        <w:spacing w:line="520" w:lineRule="exact"/>
        <w:ind w:firstLine="640" w:firstLineChars="200"/>
        <w:rPr>
          <w:rFonts w:hint="eastAsia"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临床适应证的发生率、易感人群、分析物的详细介绍及与临床适应证的关系，相关的临床或实验室诊断方法。</w:t>
      </w:r>
    </w:p>
    <w:p w14:paraId="075F3E38">
      <w:pPr>
        <w:widowControl/>
        <w:spacing w:line="520" w:lineRule="exact"/>
        <w:ind w:firstLine="640" w:firstLineChars="200"/>
        <w:jc w:val="left"/>
        <w:rPr>
          <w:rFonts w:hint="eastAsia"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甲状旁腺激素（parathyroid hormone，PTH）是由甲状旁腺主细胞合成的含有 84 个氨基酸</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的</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多肽激素，分子量约 9500 道尔顿，是调控人体钙磷代谢及骨骼稳态的关键内分泌指标。全段甲状旁腺激素（</w:t>
      </w:r>
      <w:r>
        <w:rPr>
          <w:rFonts w:hint="eastAsia" w:ascii="Times New Roman" w:hAnsi="Times New Roman" w:eastAsia="仿宋_GB2312" w:cs="Times New Roman"/>
          <w:i w:val="0"/>
          <w:iCs w:val="0"/>
          <w:caps w:val="0"/>
          <w:color w:val="000000" w:themeColor="text1"/>
          <w:spacing w:val="0"/>
          <w:sz w:val="32"/>
          <w:szCs w:val="32"/>
          <w:highlight w:val="none"/>
          <w:shd w:val="clear"/>
          <w14:textFill>
            <w14:solidFill>
              <w14:schemeClr w14:val="tx1"/>
            </w14:solidFill>
          </w14:textFill>
        </w:rPr>
        <w:t>intact Parathyroid Hormone</w:t>
      </w:r>
      <w:r>
        <w:rPr>
          <w:rFonts w:hint="eastAsia" w:ascii="Times New Roman" w:hAnsi="Times New Roman" w:eastAsia="仿宋_GB2312" w:cs="Times New Roman"/>
          <w:i w:val="0"/>
          <w:iCs w:val="0"/>
          <w:caps w:val="0"/>
          <w:color w:val="000000" w:themeColor="text1"/>
          <w:spacing w:val="0"/>
          <w:sz w:val="32"/>
          <w:szCs w:val="32"/>
          <w:highlight w:val="none"/>
          <w:shd w:val="clear"/>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iPTH） 指具有完整生物活性的 1–84 位氨基酸全长 PTH 分子，为甲状旁腺直接分泌的活性本体。iPTH 入血后半衰期仅 2～5 分钟，可快速经肝、肾代谢裂解，产生多种代谢片段。广义临床 PTH 包含活性全段 iPTH 及各类惰性代谢片段，可真实反映甲状旁腺实时分泌功能。PTH 检测</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若未</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区分活性 iPTH与7–84惰性片段，肾功能不全患者因片段清除障碍、体内蓄积，易出现检测结果假性升高。仅识别1–84全段活性分子iPTH，不与代谢片段发生交叉反应，检测结果更准确，</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更</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适配临床检测需求。</w:t>
      </w:r>
    </w:p>
    <w:p w14:paraId="21E2532E">
      <w:pPr>
        <w:widowControl/>
        <w:spacing w:line="520" w:lineRule="exact"/>
        <w:ind w:firstLine="640" w:firstLineChars="200"/>
        <w:jc w:val="left"/>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PTH和维生素D、降钙素联合作用，维持体内血钙水平稳定性。其作用对于钙相关紊乱的诊断具有重要的辅助作用。PTH 主要通过以下三个器官的协同作用来调节体内钙离子水平：骨、肠粘膜和肾。PTH 通过促进骨吸收，刺激肾脏对磷的排出和钙的重吸收，促进小肠对钙、磷的吸收，从而升高血钙；PTH 还可以升高肾 25-(OH)-D</w:t>
      </w:r>
      <w:r>
        <w:rPr>
          <w:rFonts w:hint="eastAsia" w:ascii="Times New Roman" w:hAnsi="Times New Roman" w:eastAsia="仿宋_GB2312" w:cs="Times New Roman"/>
          <w:color w:val="000000" w:themeColor="text1"/>
          <w:sz w:val="32"/>
          <w:szCs w:val="32"/>
          <w:highlight w:val="none"/>
          <w:vertAlign w:val="subscript"/>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-1-羟化酶活性，从而促进高活性的1，25-(OH)</w:t>
      </w:r>
      <w:r>
        <w:rPr>
          <w:rFonts w:hint="eastAsia" w:ascii="Times New Roman" w:hAnsi="Times New Roman" w:eastAsia="仿宋_GB2312" w:cs="Times New Roman"/>
          <w:color w:val="000000" w:themeColor="text1"/>
          <w:sz w:val="32"/>
          <w:szCs w:val="32"/>
          <w:highlight w:val="none"/>
          <w:vertAlign w:val="subscript"/>
          <w14:textFill>
            <w14:solidFill>
              <w14:schemeClr w14:val="tx1"/>
            </w14:solidFill>
          </w14:textFill>
        </w:rPr>
        <w:t>2</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-D</w:t>
      </w:r>
      <w:r>
        <w:rPr>
          <w:rFonts w:hint="eastAsia" w:ascii="Times New Roman" w:hAnsi="Times New Roman" w:eastAsia="仿宋_GB2312" w:cs="Times New Roman"/>
          <w:color w:val="000000" w:themeColor="text1"/>
          <w:sz w:val="32"/>
          <w:szCs w:val="32"/>
          <w:highlight w:val="none"/>
          <w:vertAlign w:val="subscript"/>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 xml:space="preserve"> 的生成。</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甲状</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旁腺激素（PTH）检测常用作甲状旁腺功能亢进或减退的鉴别诊断、</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高</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钙血症和低钙血症的鉴别诊断、慢性肾病</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患</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者骨代谢的监测及疗效评估、肾病患者骨营养不良的危险程度评估、</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骨</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质疏松症和维生素D缺乏症等疾病的辅助诊断指标之一，具有重要的临床意义</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p>
    <w:p w14:paraId="6AD67B8D">
      <w:pPr>
        <w:spacing w:line="520" w:lineRule="exact"/>
        <w:ind w:firstLine="640" w:firstLineChars="200"/>
        <w:rPr>
          <w:rFonts w:ascii="Times New Roman" w:hAnsi="Times New Roman" w:eastAsia="仿宋_GB2312"/>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3.3</w:t>
      </w:r>
      <w:r>
        <w:rPr>
          <w:rFonts w:hint="eastAsia" w:ascii="Times New Roman" w:hAnsi="Times New Roman" w:eastAsia="仿宋_GB2312"/>
          <w:color w:val="000000" w:themeColor="text1"/>
          <w:sz w:val="32"/>
          <w:szCs w:val="32"/>
          <w:highlight w:val="none"/>
          <w14:textFill>
            <w14:solidFill>
              <w14:schemeClr w14:val="tx1"/>
            </w14:solidFill>
          </w14:textFill>
        </w:rPr>
        <w:t>适用人群</w:t>
      </w:r>
    </w:p>
    <w:p w14:paraId="359302CF">
      <w:pPr>
        <w:spacing w:line="520" w:lineRule="exact"/>
        <w:ind w:firstLine="640" w:firstLineChars="200"/>
        <w:rPr>
          <w:rFonts w:hint="eastAsia"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适用人群：目标患者/人群的信息，对于适用人群包含儿童或新生儿的情况，应进行明确。</w:t>
      </w:r>
    </w:p>
    <w:p w14:paraId="4F910DC8">
      <w:pPr>
        <w:spacing w:line="520" w:lineRule="exact"/>
        <w:ind w:firstLine="640" w:firstLineChars="200"/>
        <w:rPr>
          <w:rFonts w:ascii="Times New Roman" w:hAnsi="Times New Roman" w:eastAsia="仿宋_GB2312"/>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3.4</w:t>
      </w:r>
      <w:r>
        <w:rPr>
          <w:rFonts w:hint="eastAsia" w:ascii="Times New Roman" w:hAnsi="Times New Roman" w:eastAsia="仿宋_GB2312"/>
          <w:color w:val="000000" w:themeColor="text1"/>
          <w:sz w:val="32"/>
          <w:szCs w:val="32"/>
          <w:highlight w:val="none"/>
          <w14:textFill>
            <w14:solidFill>
              <w14:schemeClr w14:val="tx1"/>
            </w14:solidFill>
          </w14:textFill>
        </w:rPr>
        <w:t>预期使用者</w:t>
      </w:r>
    </w:p>
    <w:p w14:paraId="27E1144F">
      <w:pPr>
        <w:spacing w:line="520" w:lineRule="exact"/>
        <w:ind w:firstLine="640" w:firstLineChars="200"/>
        <w:rPr>
          <w:rFonts w:hint="eastAsia"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使用者为经过专业培训的医务人员或实验室专业技术人员。</w:t>
      </w:r>
    </w:p>
    <w:p w14:paraId="758EE4A1">
      <w:pPr>
        <w:spacing w:line="520" w:lineRule="exact"/>
        <w:ind w:firstLine="640" w:firstLineChars="200"/>
        <w:rPr>
          <w:rFonts w:ascii="Times New Roman" w:hAnsi="Times New Roman" w:eastAsia="仿宋_GB2312"/>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3.5</w:t>
      </w:r>
      <w:r>
        <w:rPr>
          <w:rFonts w:hint="eastAsia" w:ascii="Times New Roman" w:hAnsi="Times New Roman" w:eastAsia="仿宋_GB2312"/>
          <w:color w:val="000000" w:themeColor="text1"/>
          <w:sz w:val="32"/>
          <w:szCs w:val="32"/>
          <w:highlight w:val="none"/>
          <w14:textFill>
            <w14:solidFill>
              <w14:schemeClr w14:val="tx1"/>
            </w14:solidFill>
          </w14:textFill>
        </w:rPr>
        <w:t>预期使用环境</w:t>
      </w:r>
    </w:p>
    <w:p w14:paraId="4A6B4E1F">
      <w:pPr>
        <w:spacing w:line="520" w:lineRule="exact"/>
        <w:ind w:firstLine="640" w:firstLineChars="200"/>
        <w:rPr>
          <w:rFonts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14:textFill>
            <w14:solidFill>
              <w14:schemeClr w14:val="tx1"/>
            </w14:solidFill>
          </w14:textFill>
        </w:rPr>
        <w:t>预期使用地点为医学检验实验室或医院、医疗/临床实验室，其检测过程中的环境条件应符合适用仪器正常工作环境条件，并且试剂储存需满足说明书规定的储存条件及有效期。</w:t>
      </w:r>
      <w:r>
        <w:rPr>
          <w:rFonts w:ascii="Times New Roman" w:hAnsi="Times New Roman" w:eastAsia="黑体"/>
          <w:color w:val="000000" w:themeColor="text1"/>
          <w:sz w:val="32"/>
          <w:szCs w:val="32"/>
          <w:highlight w:val="none"/>
          <w14:textFill>
            <w14:solidFill>
              <w14:schemeClr w14:val="tx1"/>
            </w14:solidFill>
          </w14:textFill>
        </w:rPr>
        <w:t xml:space="preserve"> </w:t>
      </w:r>
    </w:p>
    <w:p w14:paraId="57B673F5">
      <w:pPr>
        <w:pStyle w:val="22"/>
        <w:spacing w:line="520" w:lineRule="exact"/>
        <w:rPr>
          <w:rFonts w:ascii="Times New Roman" w:hAnsi="Times New Roman"/>
          <w:color w:val="000000" w:themeColor="text1"/>
          <w14:textFill>
            <w14:solidFill>
              <w14:schemeClr w14:val="tx1"/>
            </w14:solidFill>
          </w14:textFill>
        </w:rPr>
      </w:pPr>
    </w:p>
    <w:p w14:paraId="0E9CD0CC">
      <w:pPr>
        <w:numPr>
          <w:ilvl w:val="0"/>
          <w:numId w:val="0"/>
        </w:numPr>
        <w:spacing w:line="520" w:lineRule="exact"/>
        <w:ind w:firstLine="640" w:firstLineChars="200"/>
        <w:jc w:val="left"/>
        <w:rPr>
          <w:rFonts w:ascii="Times New Roman" w:hAnsi="Times New Roman" w:eastAsia="仿宋_GB2312"/>
          <w:color w:val="000000" w:themeColor="text1"/>
          <w:sz w:val="32"/>
          <w14:textFill>
            <w14:solidFill>
              <w14:schemeClr w14:val="tx1"/>
            </w14:solidFill>
          </w14:textFill>
        </w:rPr>
      </w:pPr>
      <w:r>
        <w:rPr>
          <w:rFonts w:hint="eastAsia" w:ascii="Times New Roman" w:hAnsi="Times New Roman" w:eastAsia="仿宋_GB2312"/>
          <w:color w:val="000000" w:themeColor="text1"/>
          <w:sz w:val="32"/>
          <w:szCs w:val="28"/>
          <w:lang w:val="en-US" w:eastAsia="zh-CN"/>
          <w14:textFill>
            <w14:solidFill>
              <w14:schemeClr w14:val="tx1"/>
            </w14:solidFill>
          </w14:textFill>
        </w:rPr>
        <w:t>4.</w:t>
      </w:r>
      <w:r>
        <w:rPr>
          <w:rFonts w:ascii="Times New Roman" w:hAnsi="Times New Roman" w:eastAsia="仿宋_GB2312"/>
          <w:color w:val="000000" w:themeColor="text1"/>
          <w:sz w:val="32"/>
          <w:szCs w:val="28"/>
          <w14:textFill>
            <w14:solidFill>
              <w14:schemeClr w14:val="tx1"/>
            </w14:solidFill>
          </w14:textFill>
        </w:rPr>
        <w:t>提供</w:t>
      </w:r>
      <w:r>
        <w:rPr>
          <w:rFonts w:ascii="Times New Roman" w:hAnsi="Times New Roman" w:eastAsia="仿宋_GB2312"/>
          <w:color w:val="000000" w:themeColor="text1"/>
          <w:sz w:val="32"/>
          <w14:textFill>
            <w14:solidFill>
              <w14:schemeClr w14:val="tx1"/>
            </w14:solidFill>
          </w14:textFill>
        </w:rPr>
        <w:t>申报产品上市历史情况（如适用）</w:t>
      </w:r>
    </w:p>
    <w:p w14:paraId="621E9611">
      <w:pPr>
        <w:numPr>
          <w:ilvl w:val="0"/>
          <w:numId w:val="0"/>
        </w:numPr>
        <w:spacing w:line="520" w:lineRule="exact"/>
        <w:ind w:firstLine="640" w:firstLineChars="200"/>
        <w:rPr>
          <w:rFonts w:ascii="Times New Roman" w:hAnsi="Times New Roman" w:eastAsia="仿宋_GB2312"/>
          <w:color w:val="000000" w:themeColor="text1"/>
          <w:sz w:val="32"/>
          <w:szCs w:val="28"/>
          <w14:textFill>
            <w14:solidFill>
              <w14:schemeClr w14:val="tx1"/>
            </w14:solidFill>
          </w14:textFill>
        </w:rPr>
      </w:pPr>
      <w:r>
        <w:rPr>
          <w:rFonts w:ascii="Times New Roman" w:hAnsi="Times New Roman" w:eastAsia="仿宋_GB2312"/>
          <w:color w:val="000000" w:themeColor="text1"/>
          <w:sz w:val="32"/>
          <w:szCs w:val="28"/>
          <w14:textFill>
            <w14:solidFill>
              <w14:schemeClr w14:val="tx1"/>
            </w14:solidFill>
          </w14:textFill>
        </w:rPr>
        <w:t>5.其他</w:t>
      </w:r>
    </w:p>
    <w:p w14:paraId="52D1EF2A">
      <w:pPr>
        <w:spacing w:line="520" w:lineRule="exact"/>
        <w:ind w:firstLine="640" w:firstLineChars="200"/>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除申报产品外，检测系统的其他组成部分，包括但不限于：样本处理用试剂、适用仪器、独立软件等基本信息，及其在检测中发挥的作用，必要时应提交相应的说明书。</w:t>
      </w:r>
    </w:p>
    <w:p w14:paraId="1F71D71E">
      <w:pPr>
        <w:spacing w:line="520" w:lineRule="exact"/>
        <w:ind w:firstLine="640" w:firstLineChars="200"/>
        <w:rPr>
          <w:rFonts w:hint="eastAsia"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 xml:space="preserve">对于已获得批准的检测系统的其他组成部分，应当提供注册证编号和国家药监局官方网站公布的注册证信息。 </w:t>
      </w:r>
    </w:p>
    <w:p w14:paraId="6FF7C682">
      <w:pPr>
        <w:tabs>
          <w:tab w:val="left" w:pos="6720"/>
        </w:tabs>
        <w:spacing w:line="520" w:lineRule="exact"/>
        <w:ind w:firstLine="0" w:firstLineChars="0"/>
        <w:outlineLvl w:val="0"/>
        <w:rPr>
          <w:rFonts w:ascii="Times New Roman" w:hAnsi="Times New Roman" w:eastAsia="楷体_GB2312"/>
          <w:sz w:val="32"/>
          <w:szCs w:val="32"/>
          <w:highlight w:val="none"/>
        </w:rPr>
      </w:pPr>
      <w:r>
        <w:rPr>
          <w:rFonts w:hint="eastAsia" w:ascii="Times New Roman" w:hAnsi="Times New Roman" w:eastAsia="仿宋_GB2312" w:cs="Times New Roman"/>
          <w:sz w:val="32"/>
          <w:szCs w:val="32"/>
          <w:highlight w:val="none"/>
          <w:lang w:val="en-US" w:eastAsia="zh-CN"/>
        </w:rPr>
        <w:t xml:space="preserve">    </w:t>
      </w:r>
      <w:r>
        <w:rPr>
          <w:rFonts w:ascii="Times New Roman" w:hAnsi="Times New Roman" w:eastAsia="楷体_GB2312"/>
          <w:sz w:val="32"/>
          <w:szCs w:val="32"/>
          <w:highlight w:val="none"/>
        </w:rPr>
        <w:t>（三）非临床资料</w:t>
      </w:r>
    </w:p>
    <w:p w14:paraId="1D9D78F9">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1.产品风险管理资料</w:t>
      </w:r>
    </w:p>
    <w:p w14:paraId="1720A29F">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申请人应考虑产品生命周期的各个环节，从产品设计开发、原材料的采购控制、生产、预期用途、可能的使用错误、与安全性有关的特征、已知和可预见的危害等方面的判定以及对患者风险的估计进行风险分析、风险评价和相应的风险控制基础上，综合评价产品风险可接受程度，形成风险管理资料。</w:t>
      </w:r>
    </w:p>
    <w:p w14:paraId="3FC06538">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风险管理资料至少应包括风险管理人员及其职责分工、风险可接受准则、风险评价、风险控制和风险控制措施、综合剩余风险的可接受性评价、风险控制措施验证、风险管理评审结论。应符合GB/T 42062《医疗器械</w:t>
      </w:r>
      <w:r>
        <w:rPr>
          <w:rFonts w:hint="eastAsia" w:ascii="Times New Roman" w:hAnsi="Times New Roman" w:eastAsia="仿宋_GB2312"/>
          <w:sz w:val="32"/>
          <w:szCs w:val="32"/>
          <w:highlight w:val="none"/>
          <w:lang w:val="en-US" w:eastAsia="zh-CN"/>
        </w:rPr>
        <w:t xml:space="preserve"> </w:t>
      </w:r>
      <w:r>
        <w:rPr>
          <w:rFonts w:hint="eastAsia" w:ascii="Times New Roman" w:hAnsi="Times New Roman" w:eastAsia="仿宋_GB2312"/>
          <w:sz w:val="32"/>
          <w:szCs w:val="32"/>
          <w:highlight w:val="none"/>
        </w:rPr>
        <w:t>风险管理对医疗器械的应用》的要求。</w:t>
      </w:r>
    </w:p>
    <w:p w14:paraId="5FCED600">
      <w:pPr>
        <w:autoSpaceDE/>
        <w:autoSpaceDN/>
        <w:adjustRightInd w:val="0"/>
        <w:snapToGrid w:val="0"/>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进行风险分析时，应识别出产品的其它特定风险，并对风险分析方法进行描述。常见风险分析项，如性能特征失效</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精密度失效</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准确度失效</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稳定性失效等</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。如果可以选择使用其它方法来解决所识别出的特定风险，或已识别出不同于本指南中风险的其它风险，应提供详细信息来支持所采用的、解决该风险的方法。</w:t>
      </w:r>
    </w:p>
    <w:p w14:paraId="767E6E3D">
      <w:pPr>
        <w:pStyle w:val="4"/>
        <w:autoSpaceDE/>
        <w:autoSpaceDN/>
        <w:adjustRightInd w:val="0"/>
        <w:snapToGrid w:val="0"/>
        <w:spacing w:before="0" w:after="0" w:line="520" w:lineRule="exact"/>
        <w:ind w:firstLine="640" w:firstLineChars="200"/>
        <w:rPr>
          <w:rFonts w:ascii="Times New Roman" w:hAnsi="Times New Roman" w:eastAsia="仿宋_GB2312"/>
          <w:b w:val="0"/>
          <w:bCs w:val="0"/>
          <w:highlight w:val="none"/>
        </w:rPr>
      </w:pPr>
      <w:r>
        <w:rPr>
          <w:rFonts w:hint="eastAsia" w:ascii="Times New Roman" w:hAnsi="Times New Roman" w:eastAsia="仿宋_GB2312"/>
          <w:b w:val="0"/>
          <w:bCs w:val="0"/>
          <w:highlight w:val="none"/>
        </w:rPr>
        <w:t>2.体外诊断试剂安全和性能基本原则清单</w:t>
      </w:r>
    </w:p>
    <w:p w14:paraId="6340CE4D">
      <w:pPr>
        <w:autoSpaceDE/>
        <w:autoSpaceDN/>
        <w:adjustRightInd w:val="0"/>
        <w:snapToGrid w:val="0"/>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说明产品符合《体外诊断试剂安全和性能基本原则清单》各项适用要求所采用的方法，以及证明其符合性的文件。对于其中不适用的各项要求，应当说明理由。</w:t>
      </w:r>
    </w:p>
    <w:p w14:paraId="26B7486A">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对于包含在产品注册申报资料中的文件，应当说明其在申报资料中的具体位置；对于未包含在产品注册申报资料中的文件，应当注明该证据文件名称及其在质量管理体系文件中的编号备查。</w:t>
      </w:r>
    </w:p>
    <w:p w14:paraId="196EFFBC">
      <w:pPr>
        <w:pStyle w:val="4"/>
        <w:spacing w:before="0" w:after="0" w:line="520" w:lineRule="exact"/>
        <w:ind w:left="630" w:leftChars="300"/>
        <w:rPr>
          <w:rFonts w:ascii="Times New Roman" w:hAnsi="Times New Roman" w:eastAsia="仿宋_GB2312"/>
          <w:highlight w:val="none"/>
        </w:rPr>
      </w:pPr>
      <w:r>
        <w:rPr>
          <w:rFonts w:ascii="Times New Roman" w:hAnsi="Times New Roman" w:eastAsia="仿宋_GB2312"/>
          <w:b w:val="0"/>
          <w:bCs w:val="0"/>
          <w:highlight w:val="none"/>
        </w:rPr>
        <w:t>3</w:t>
      </w:r>
      <w:r>
        <w:rPr>
          <w:rFonts w:hint="eastAsia" w:ascii="Times New Roman" w:hAnsi="Times New Roman" w:eastAsia="仿宋_GB2312"/>
          <w:b w:val="0"/>
          <w:bCs w:val="0"/>
          <w:highlight w:val="none"/>
        </w:rPr>
        <w:t>.</w:t>
      </w:r>
      <w:r>
        <w:rPr>
          <w:rFonts w:ascii="Times New Roman" w:hAnsi="Times New Roman" w:eastAsia="仿宋_GB2312"/>
          <w:b w:val="0"/>
          <w:bCs w:val="0"/>
          <w:highlight w:val="none"/>
        </w:rPr>
        <w:t>产品技术要求及检验报告</w:t>
      </w:r>
    </w:p>
    <w:p w14:paraId="0D543DD6">
      <w:pPr>
        <w:widowControl/>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产品技术要求应按照《体外诊断试剂注册与备案管理办法》和编制要求的相关规定进行编写。同</w:t>
      </w:r>
      <w:r>
        <w:rPr>
          <w:rFonts w:ascii="Times New Roman" w:hAnsi="Times New Roman" w:eastAsia="仿宋_GB2312"/>
          <w:bCs/>
          <w:sz w:val="32"/>
          <w:szCs w:val="30"/>
        </w:rPr>
        <w:t>时结合产品具体适用的指导原则或相关国家标准、行业标准以及产品的特点，明确保证产品安全、有效、质量可控的各项性能指标和检验方法。</w:t>
      </w:r>
    </w:p>
    <w:p w14:paraId="4F8157FF">
      <w:pPr>
        <w:overflowPunct w:val="0"/>
        <w:snapToGrid w:val="0"/>
        <w:spacing w:line="520" w:lineRule="exact"/>
        <w:ind w:firstLine="640" w:firstLineChars="200"/>
        <w:rPr>
          <w:rFonts w:hint="eastAsia" w:ascii="Times New Roman" w:hAnsi="Times New Roman" w:eastAsia="仿宋_GB2312"/>
          <w:sz w:val="32"/>
          <w:szCs w:val="32"/>
          <w:highlight w:val="none"/>
          <w:lang w:eastAsia="zh-CN"/>
        </w:rPr>
      </w:pPr>
      <w:r>
        <w:rPr>
          <w:rFonts w:ascii="Times New Roman" w:hAnsi="Times New Roman" w:eastAsia="仿宋_GB2312"/>
          <w:sz w:val="32"/>
          <w:szCs w:val="32"/>
          <w:highlight w:val="none"/>
        </w:rPr>
        <w:t>3.1适用的产品标准</w:t>
      </w:r>
    </w:p>
    <w:p w14:paraId="1EBF8C53">
      <w:pPr>
        <w:overflowPunct w:val="0"/>
        <w:snapToGrid w:val="0"/>
        <w:spacing w:line="520" w:lineRule="exact"/>
        <w:ind w:firstLine="640" w:firstLineChars="200"/>
        <w:rPr>
          <w:rFonts w:hint="eastAsia" w:ascii="Times New Roman" w:hAnsi="Times New Roman" w:eastAsia="仿宋_GB2312"/>
          <w:color w:val="000000"/>
          <w:sz w:val="32"/>
          <w:szCs w:val="32"/>
          <w:highlight w:val="none"/>
          <w:lang w:eastAsia="zh-CN"/>
        </w:rPr>
      </w:pPr>
      <w:r>
        <w:rPr>
          <w:rFonts w:hint="eastAsia" w:ascii="Times New Roman" w:hAnsi="Times New Roman" w:eastAsia="仿宋_GB2312"/>
          <w:color w:val="000000"/>
          <w:sz w:val="32"/>
          <w:szCs w:val="32"/>
          <w:highlight w:val="none"/>
          <w:lang w:eastAsia="zh-CN"/>
        </w:rPr>
        <w:t>YY/T</w:t>
      </w:r>
      <w:r>
        <w:rPr>
          <w:rFonts w:hint="eastAsia" w:ascii="Times New Roman" w:hAnsi="Times New Roman" w:eastAsia="仿宋_GB2312"/>
          <w:color w:val="000000"/>
          <w:sz w:val="32"/>
          <w:szCs w:val="32"/>
          <w:highlight w:val="none"/>
          <w:lang w:val="en-US" w:eastAsia="zh-CN"/>
        </w:rPr>
        <w:t xml:space="preserve"> </w:t>
      </w:r>
      <w:r>
        <w:rPr>
          <w:rFonts w:hint="eastAsia" w:ascii="Times New Roman" w:hAnsi="Times New Roman" w:eastAsia="仿宋_GB2312"/>
          <w:color w:val="000000"/>
          <w:sz w:val="32"/>
          <w:szCs w:val="32"/>
          <w:highlight w:val="none"/>
          <w:lang w:eastAsia="zh-CN"/>
        </w:rPr>
        <w:t>1</w:t>
      </w:r>
      <w:r>
        <w:rPr>
          <w:rFonts w:hint="eastAsia" w:ascii="Times New Roman" w:hAnsi="Times New Roman" w:eastAsia="仿宋_GB2312"/>
          <w:color w:val="000000"/>
          <w:sz w:val="32"/>
          <w:szCs w:val="32"/>
          <w:highlight w:val="none"/>
          <w:lang w:val="en-US" w:eastAsia="zh-CN"/>
        </w:rPr>
        <w:t>664</w:t>
      </w:r>
      <w:r>
        <w:rPr>
          <w:rFonts w:hint="eastAsia" w:ascii="Times New Roman" w:hAnsi="Times New Roman" w:eastAsia="仿宋_GB2312"/>
          <w:color w:val="000000"/>
          <w:sz w:val="32"/>
          <w:szCs w:val="32"/>
          <w:highlight w:val="none"/>
          <w:lang w:eastAsia="zh-CN"/>
        </w:rPr>
        <w:t>《甲状旁腺激素测定试剂盒》</w:t>
      </w:r>
    </w:p>
    <w:p w14:paraId="4B58A222">
      <w:pPr>
        <w:spacing w:line="520" w:lineRule="exact"/>
        <w:ind w:firstLine="640" w:firstLineChars="200"/>
        <w:rPr>
          <w:rFonts w:ascii="Times New Roman" w:hAnsi="Times New Roman" w:eastAsia="仿宋_GB2312"/>
          <w:color w:val="000000"/>
          <w:sz w:val="32"/>
          <w:szCs w:val="32"/>
          <w:highlight w:val="none"/>
        </w:rPr>
      </w:pPr>
      <w:r>
        <w:rPr>
          <w:rFonts w:hint="eastAsia" w:ascii="Times New Roman" w:hAnsi="Times New Roman" w:eastAsia="仿宋_GB2312"/>
          <w:sz w:val="32"/>
          <w:highlight w:val="none"/>
        </w:rPr>
        <w:t>注：以上标准使用最新版本。</w:t>
      </w:r>
    </w:p>
    <w:p w14:paraId="48EEC755">
      <w:pPr>
        <w:overflowPunct w:val="0"/>
        <w:snapToGrid w:val="0"/>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color w:val="000000"/>
          <w:sz w:val="32"/>
          <w:szCs w:val="32"/>
          <w:highlight w:val="none"/>
        </w:rPr>
        <w:t>申报产品应当符合适用的强制性标准。对于强制性行业标准，若申报产品结构特征、技术原理、预期用途、使用方式等与强制性标准的适用范围不一致，申请人应当提出不适用强制性标准的说明，并提供经</w:t>
      </w:r>
      <w:r>
        <w:rPr>
          <w:rFonts w:hint="eastAsia" w:ascii="Times New Roman" w:hAnsi="Times New Roman" w:eastAsia="仿宋_GB2312"/>
          <w:color w:val="000000"/>
          <w:sz w:val="32"/>
          <w:szCs w:val="32"/>
          <w:highlight w:val="none"/>
        </w:rPr>
        <w:t>验证</w:t>
      </w:r>
      <w:r>
        <w:rPr>
          <w:rFonts w:ascii="Times New Roman" w:hAnsi="Times New Roman" w:eastAsia="仿宋_GB2312"/>
          <w:color w:val="000000"/>
          <w:sz w:val="32"/>
          <w:szCs w:val="32"/>
          <w:highlight w:val="none"/>
        </w:rPr>
        <w:t>的证明性资料</w:t>
      </w:r>
      <w:r>
        <w:rPr>
          <w:rFonts w:ascii="Times New Roman" w:hAnsi="Times New Roman" w:eastAsia="仿宋_GB2312"/>
          <w:sz w:val="32"/>
          <w:szCs w:val="32"/>
          <w:highlight w:val="none"/>
        </w:rPr>
        <w:t>。</w:t>
      </w:r>
    </w:p>
    <w:p w14:paraId="13949843">
      <w:pPr>
        <w:overflowPunct w:val="0"/>
        <w:snapToGrid w:val="0"/>
        <w:spacing w:line="520" w:lineRule="exact"/>
        <w:ind w:firstLine="640" w:firstLineChars="200"/>
        <w:rPr>
          <w:rFonts w:ascii="Times New Roman" w:hAnsi="Times New Roman" w:eastAsia="仿宋_GB2312"/>
          <w:sz w:val="32"/>
          <w:highlight w:val="none"/>
        </w:rPr>
      </w:pPr>
      <w:r>
        <w:rPr>
          <w:rFonts w:hint="eastAsia" w:ascii="Times New Roman" w:hAnsi="Times New Roman" w:eastAsia="仿宋_GB2312"/>
          <w:sz w:val="32"/>
          <w:highlight w:val="none"/>
        </w:rPr>
        <w:t>注册申请人应关注相关国家标准和行业标准的有效性。申请人亦可根据自身产品的特点补充引用其他标准。</w:t>
      </w:r>
    </w:p>
    <w:p w14:paraId="68148045">
      <w:pPr>
        <w:overflowPunct w:val="0"/>
        <w:snapToGrid w:val="0"/>
        <w:spacing w:line="520" w:lineRule="exact"/>
        <w:ind w:firstLine="640" w:firstLineChars="200"/>
        <w:rPr>
          <w:rFonts w:ascii="Times New Roman" w:hAnsi="Times New Roman"/>
        </w:rPr>
      </w:pPr>
      <w:r>
        <w:rPr>
          <w:rFonts w:hint="eastAsia" w:ascii="Times New Roman" w:hAnsi="Times New Roman" w:eastAsia="仿宋_GB2312"/>
          <w:sz w:val="32"/>
          <w:highlight w:val="none"/>
        </w:rPr>
        <w:t>3.2产品技术要求</w:t>
      </w:r>
    </w:p>
    <w:p w14:paraId="621F698A">
      <w:pPr>
        <w:overflowPunct w:val="0"/>
        <w:snapToGrid w:val="0"/>
        <w:spacing w:line="520" w:lineRule="exact"/>
        <w:ind w:firstLine="420" w:firstLineChars="200"/>
        <w:rPr>
          <w:rFonts w:hint="default" w:ascii="Times New Roman" w:hAnsi="Times New Roman" w:eastAsia="仿宋_GB2312"/>
          <w:sz w:val="32"/>
          <w:highlight w:val="none"/>
          <w:lang w:val="en-US"/>
        </w:rPr>
      </w:pPr>
      <w:r>
        <w:rPr>
          <w:rFonts w:hint="eastAsia" w:ascii="Times New Roman" w:hAnsi="Times New Roman"/>
          <w:lang w:val="en-US" w:eastAsia="zh-CN"/>
        </w:rPr>
        <w:t xml:space="preserve">  </w:t>
      </w:r>
      <w:r>
        <w:rPr>
          <w:rFonts w:hint="default" w:ascii="Times New Roman" w:hAnsi="Times New Roman" w:eastAsia="仿宋_GB2312"/>
          <w:sz w:val="32"/>
          <w:szCs w:val="32"/>
          <w:lang w:val="en-US" w:eastAsia="zh-CN"/>
        </w:rPr>
        <w:t>3.2.1</w:t>
      </w:r>
      <w:r>
        <w:rPr>
          <w:rFonts w:ascii="Times New Roman" w:hAnsi="Times New Roman" w:eastAsia="仿宋_GB2312"/>
          <w:sz w:val="32"/>
          <w:szCs w:val="32"/>
        </w:rPr>
        <w:t>主要性能指标</w:t>
      </w:r>
    </w:p>
    <w:p w14:paraId="6C5BD56B">
      <w:pPr>
        <w:overflowPunct w:val="0"/>
        <w:snapToGrid w:val="0"/>
        <w:spacing w:line="520" w:lineRule="exact"/>
        <w:ind w:firstLine="640" w:firstLineChars="200"/>
        <w:rPr>
          <w:rFonts w:ascii="Times New Roman" w:hAnsi="Times New Roman" w:eastAsia="仿宋_GB2312"/>
          <w:sz w:val="32"/>
          <w:highlight w:val="none"/>
        </w:rPr>
      </w:pPr>
      <w:r>
        <w:rPr>
          <w:rFonts w:hint="eastAsia" w:ascii="Times New Roman" w:hAnsi="Times New Roman" w:eastAsia="仿宋_GB2312"/>
          <w:sz w:val="32"/>
          <w:highlight w:val="none"/>
        </w:rPr>
        <w:t>该产品作为定量测定试剂主要包括以下性能指标：外观、</w:t>
      </w:r>
      <w:r>
        <w:rPr>
          <w:rFonts w:hint="eastAsia" w:ascii="Times New Roman" w:hAnsi="Times New Roman" w:eastAsia="仿宋_GB2312"/>
          <w:sz w:val="32"/>
          <w:highlight w:val="none"/>
          <w:lang w:val="en-US" w:eastAsia="zh-CN"/>
        </w:rPr>
        <w:t>装量、检出</w:t>
      </w:r>
      <w:r>
        <w:rPr>
          <w:rFonts w:hint="eastAsia" w:ascii="Times New Roman" w:hAnsi="Times New Roman" w:eastAsia="仿宋_GB2312"/>
          <w:sz w:val="32"/>
          <w:highlight w:val="none"/>
        </w:rPr>
        <w:t>限、准确度、线性、精密度、特异性等。</w:t>
      </w:r>
    </w:p>
    <w:p w14:paraId="2FF77767">
      <w:pPr>
        <w:pStyle w:val="6"/>
        <w:overflowPunct w:val="0"/>
        <w:snapToGrid w:val="0"/>
        <w:spacing w:line="520" w:lineRule="exact"/>
        <w:ind w:firstLine="640" w:firstLineChars="200"/>
        <w:rPr>
          <w:rFonts w:ascii="Times New Roman" w:hAnsi="Times New Roman" w:eastAsia="仿宋_GB2312"/>
          <w:color w:val="000000"/>
          <w:sz w:val="32"/>
          <w:szCs w:val="32"/>
          <w:highlight w:val="none"/>
        </w:rPr>
      </w:pPr>
      <w:r>
        <w:rPr>
          <w:rFonts w:hint="eastAsia" w:ascii="Times New Roman" w:hAnsi="Times New Roman" w:eastAsia="仿宋_GB2312"/>
          <w:sz w:val="32"/>
          <w:highlight w:val="none"/>
        </w:rPr>
        <w:t>如试剂盒内含校准品/质控品，其性能指标至少应包含校准品的均匀性等，质控品的可接受区间/值、均匀性等。</w:t>
      </w:r>
      <w:r>
        <w:rPr>
          <w:rFonts w:ascii="Times New Roman" w:hAnsi="Times New Roman" w:eastAsia="仿宋_GB2312"/>
          <w:kern w:val="0"/>
          <w:sz w:val="32"/>
          <w:szCs w:val="32"/>
        </w:rPr>
        <w:t>冻干型校准品和质控品还应检测</w:t>
      </w:r>
      <w:r>
        <w:rPr>
          <w:rFonts w:hint="eastAsia" w:ascii="Times New Roman" w:hAnsi="Times New Roman" w:eastAsia="仿宋_GB2312"/>
          <w:kern w:val="0"/>
          <w:sz w:val="32"/>
          <w:szCs w:val="32"/>
          <w:lang w:val="en-US" w:eastAsia="zh-CN"/>
        </w:rPr>
        <w:t>其</w:t>
      </w:r>
      <w:r>
        <w:rPr>
          <w:rFonts w:hint="eastAsia" w:ascii="Times New Roman" w:hAnsi="Times New Roman" w:eastAsia="仿宋_GB2312"/>
          <w:kern w:val="0"/>
          <w:sz w:val="32"/>
          <w:szCs w:val="32"/>
        </w:rPr>
        <w:t>水分含量</w:t>
      </w:r>
      <w:r>
        <w:rPr>
          <w:rFonts w:ascii="Times New Roman" w:hAnsi="Times New Roman" w:eastAsia="仿宋_GB2312"/>
          <w:kern w:val="0"/>
          <w:sz w:val="32"/>
          <w:szCs w:val="32"/>
        </w:rPr>
        <w:t>。</w:t>
      </w:r>
      <w:r>
        <w:rPr>
          <w:rFonts w:hint="eastAsia" w:ascii="Times New Roman" w:hAnsi="Times New Roman" w:eastAsia="仿宋_GB2312"/>
          <w:color w:val="000000"/>
          <w:sz w:val="32"/>
          <w:szCs w:val="32"/>
          <w:highlight w:val="none"/>
        </w:rPr>
        <w:t>其他指标可依据产品的具体情况进行设置。</w:t>
      </w:r>
    </w:p>
    <w:p w14:paraId="0C09DF20">
      <w:pPr>
        <w:overflowPunct w:val="0"/>
        <w:snapToGrid w:val="0"/>
        <w:spacing w:line="520" w:lineRule="exact"/>
        <w:ind w:firstLine="640" w:firstLineChars="200"/>
        <w:rPr>
          <w:rFonts w:ascii="Times New Roman" w:hAnsi="Times New Roman" w:eastAsia="仿宋_GB2312"/>
          <w:color w:val="000000"/>
          <w:sz w:val="32"/>
          <w:szCs w:val="32"/>
          <w:highlight w:val="none"/>
        </w:rPr>
      </w:pPr>
      <w:r>
        <w:rPr>
          <w:rFonts w:ascii="Times New Roman" w:hAnsi="Times New Roman" w:eastAsia="仿宋_GB2312"/>
          <w:sz w:val="32"/>
          <w:szCs w:val="32"/>
        </w:rPr>
        <w:t>具体产品的性能指标需结合方法学本身特性，确定其性能指标或者提供此指标不适用的说明。</w:t>
      </w:r>
      <w:r>
        <w:rPr>
          <w:rFonts w:ascii="Times New Roman" w:hAnsi="Times New Roman" w:eastAsia="仿宋_GB2312"/>
          <w:color w:val="000000"/>
          <w:sz w:val="32"/>
          <w:szCs w:val="32"/>
          <w:highlight w:val="none"/>
        </w:rPr>
        <w:t>如有适用的强制性国家/行业标准发布或更新，则产品技术要求不低于其相关要求。</w:t>
      </w:r>
    </w:p>
    <w:p w14:paraId="30EFA4AE">
      <w:pPr>
        <w:overflowPunct w:val="0"/>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3.2.2检验方法</w:t>
      </w:r>
    </w:p>
    <w:p w14:paraId="12098B90">
      <w:pPr>
        <w:overflowPunct w:val="0"/>
        <w:spacing w:line="520" w:lineRule="exact"/>
        <w:ind w:firstLine="640" w:firstLineChars="200"/>
        <w:rPr>
          <w:rFonts w:ascii="Times New Roman" w:hAnsi="Times New Roman"/>
        </w:rPr>
      </w:pPr>
      <w:r>
        <w:rPr>
          <w:rFonts w:ascii="Times New Roman" w:hAnsi="Times New Roman" w:eastAsia="仿宋_GB2312"/>
          <w:sz w:val="32"/>
          <w:szCs w:val="32"/>
        </w:rPr>
        <w:t>产品的检验方法需根据技术性能指标设定，检验方法需优先采用公认的或已颁布的标准检验方法；自建检验方法需提供相应的方法学依据及理论基础，同时保证检验方法具有可操作性和可重现性，必要时可附相应图示进行说明，文本较大的可以附录形式提供。</w:t>
      </w:r>
    </w:p>
    <w:p w14:paraId="4F953E21">
      <w:pPr>
        <w:adjustRightInd w:val="0"/>
        <w:snapToGrid w:val="0"/>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3.3产品检验报告</w:t>
      </w:r>
    </w:p>
    <w:p w14:paraId="093C58B1">
      <w:pPr>
        <w:overflowPunct w:val="0"/>
        <w:spacing w:line="520" w:lineRule="exact"/>
        <w:ind w:firstLine="640" w:firstLineChars="200"/>
        <w:rPr>
          <w:rFonts w:ascii="Times New Roman" w:hAnsi="Times New Roman" w:eastAsia="仿宋_GB2312"/>
          <w:kern w:val="0"/>
          <w:sz w:val="32"/>
          <w:szCs w:val="32"/>
          <w:highlight w:val="none"/>
        </w:rPr>
      </w:pPr>
      <w:r>
        <w:rPr>
          <w:rFonts w:ascii="Times New Roman" w:hAnsi="Times New Roman" w:eastAsia="仿宋_GB2312"/>
          <w:sz w:val="32"/>
          <w:szCs w:val="32"/>
          <w:highlight w:val="none"/>
        </w:rPr>
        <w:t>应提供符合《医疗器械监督管理条例》及《体外诊断试剂注册与备案管理办法》规定要求的检验报告。</w:t>
      </w:r>
      <w:r>
        <w:rPr>
          <w:rFonts w:ascii="Times New Roman" w:hAnsi="Times New Roman" w:eastAsia="仿宋_GB2312"/>
          <w:sz w:val="32"/>
          <w:szCs w:val="32"/>
        </w:rPr>
        <w:t>在保证产品原材料和生产工艺稳定可靠的基础上，采用在符合医疗器械质量管理体系相关要求的条件下生产的产品进行检验。</w:t>
      </w:r>
      <w:r>
        <w:rPr>
          <w:rFonts w:hint="eastAsia" w:ascii="Times New Roman" w:hAnsi="Times New Roman" w:eastAsia="仿宋_GB2312"/>
          <w:sz w:val="32"/>
          <w:szCs w:val="32"/>
          <w:highlight w:val="none"/>
        </w:rPr>
        <w:t>有适用的国家标准品的，应当使用国家标准品对产品进行检验。申请人</w:t>
      </w:r>
      <w:r>
        <w:rPr>
          <w:rFonts w:ascii="Times New Roman" w:hAnsi="Times New Roman" w:eastAsia="仿宋_GB2312"/>
          <w:sz w:val="32"/>
          <w:szCs w:val="32"/>
          <w:highlight w:val="none"/>
        </w:rPr>
        <w:t>可提交以下任一形式的检验报告：</w:t>
      </w:r>
    </w:p>
    <w:p w14:paraId="2A7CDCCB">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3</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rPr>
        <w:t>3</w:t>
      </w:r>
      <w:r>
        <w:rPr>
          <w:rFonts w:ascii="Times New Roman" w:hAnsi="Times New Roman" w:eastAsia="仿宋_GB2312"/>
          <w:sz w:val="32"/>
          <w:szCs w:val="32"/>
          <w:highlight w:val="none"/>
        </w:rPr>
        <w:t>.1</w:t>
      </w:r>
      <w:r>
        <w:rPr>
          <w:rFonts w:hint="eastAsia" w:ascii="Times New Roman" w:hAnsi="Times New Roman" w:eastAsia="仿宋_GB2312"/>
          <w:sz w:val="32"/>
          <w:szCs w:val="32"/>
          <w:highlight w:val="none"/>
        </w:rPr>
        <w:t>具有自检能力</w:t>
      </w:r>
      <w:r>
        <w:rPr>
          <w:rFonts w:ascii="Times New Roman" w:hAnsi="Times New Roman" w:eastAsia="仿宋_GB2312"/>
          <w:sz w:val="32"/>
          <w:szCs w:val="32"/>
          <w:highlight w:val="none"/>
        </w:rPr>
        <w:t>的注册申请人出具的自检报告。</w:t>
      </w:r>
    </w:p>
    <w:p w14:paraId="4D52ADC5">
      <w:pPr>
        <w:spacing w:line="520" w:lineRule="exact"/>
        <w:ind w:firstLine="640" w:firstLineChars="200"/>
        <w:rPr>
          <w:rFonts w:ascii="Times New Roman" w:hAnsi="Times New Roman"/>
        </w:rPr>
      </w:pPr>
      <w:r>
        <w:rPr>
          <w:rFonts w:hint="eastAsia" w:ascii="Times New Roman" w:hAnsi="Times New Roman" w:eastAsia="仿宋_GB2312"/>
          <w:sz w:val="32"/>
          <w:szCs w:val="32"/>
          <w:highlight w:val="none"/>
        </w:rPr>
        <w:t>3</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rPr>
        <w:t>3</w:t>
      </w:r>
      <w:r>
        <w:rPr>
          <w:rFonts w:ascii="Times New Roman" w:hAnsi="Times New Roman" w:eastAsia="仿宋_GB2312"/>
          <w:sz w:val="32"/>
          <w:szCs w:val="32"/>
          <w:highlight w:val="none"/>
        </w:rPr>
        <w:t>.2委托有资质的医疗器械检验机构出具的检验报告。</w:t>
      </w:r>
    </w:p>
    <w:p w14:paraId="171AB3A0">
      <w:pPr>
        <w:spacing w:line="520" w:lineRule="exact"/>
        <w:ind w:firstLine="640" w:firstLineChars="200"/>
        <w:rPr>
          <w:rFonts w:ascii="Times New Roman" w:hAnsi="Times New Roman"/>
        </w:rPr>
      </w:pPr>
      <w:r>
        <w:rPr>
          <w:rFonts w:ascii="Times New Roman" w:hAnsi="Times New Roman" w:eastAsia="仿宋_GB2312"/>
          <w:sz w:val="32"/>
          <w:szCs w:val="32"/>
        </w:rPr>
        <w:t>如产品提交自检报告，还需按照《医疗器械注册自检管理规定》的要求提交相应资料。</w:t>
      </w:r>
    </w:p>
    <w:p w14:paraId="2B58881E">
      <w:pPr>
        <w:pStyle w:val="4"/>
        <w:spacing w:before="0" w:after="0" w:line="520" w:lineRule="exact"/>
        <w:ind w:left="630" w:leftChars="300"/>
        <w:rPr>
          <w:rFonts w:ascii="Times New Roman" w:hAnsi="Times New Roman" w:eastAsia="仿宋_GB2312"/>
          <w:highlight w:val="none"/>
        </w:rPr>
      </w:pPr>
      <w:r>
        <w:rPr>
          <w:rFonts w:ascii="Times New Roman" w:hAnsi="Times New Roman" w:eastAsia="仿宋_GB2312"/>
          <w:b w:val="0"/>
          <w:bCs w:val="0"/>
          <w:highlight w:val="none"/>
        </w:rPr>
        <w:t>4</w:t>
      </w:r>
      <w:r>
        <w:rPr>
          <w:rFonts w:hint="eastAsia" w:ascii="Times New Roman" w:hAnsi="Times New Roman" w:eastAsia="仿宋_GB2312"/>
          <w:b w:val="0"/>
          <w:bCs w:val="0"/>
          <w:highlight w:val="none"/>
        </w:rPr>
        <w:t>.</w:t>
      </w:r>
      <w:r>
        <w:rPr>
          <w:rFonts w:ascii="Times New Roman" w:hAnsi="Times New Roman" w:eastAsia="仿宋_GB2312"/>
          <w:b w:val="0"/>
          <w:bCs w:val="0"/>
          <w:highlight w:val="none"/>
        </w:rPr>
        <w:t>分析性能评估资料</w:t>
      </w:r>
    </w:p>
    <w:p w14:paraId="5ADC68E5">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分析性能评估主要包括样本稳定性，适用的样本类型，校准品的量值溯源和质控品的赋值，准确度/正确度，精密度，空白限、检出限及定量限，分析特异性，高剂量钩状效应，测量区间及可报告区间，反应体系等项目的研究资料，应当采用多批产品进行性能评估。</w:t>
      </w:r>
    </w:p>
    <w:p w14:paraId="1F2EAF91">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4.1.一般研究建议</w:t>
      </w:r>
    </w:p>
    <w:p w14:paraId="4718728E">
      <w:pPr>
        <w:widowControl/>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申请人应提交在符合质量管理体系的生产环境下生产的试剂进行的所有性能评估资料，包括具体研究方法、试验方案、试验数据、统计分析等详细资料。有关分析性能评估的背景信息也应在申报资料中进行描述，包括试验地点，采用的试剂名称、规格和批号，仪器名称和型号，样本类型和来源，样本的量值及确认方法等。</w:t>
      </w:r>
    </w:p>
    <w:p w14:paraId="7E28B4B0">
      <w:pPr>
        <w:widowControl/>
        <w:overflowPunct/>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可参考《定量检测体外诊断试剂分析性能评估注册审查指导原则》开展和提交相关性能的建立和验证资料</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如申报产品适用不同的机型，需要提交在不同机型上进行性能评估的资料</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如申报产品包含不同的包装规格，需对各包装规格间的差异进行分析或验证。如不同规格间存在性能差异，需采用每个包装规格产品进行性能评估；如不同规格间不存在性能差异，需要详细说明各规格间的差别及可能产生的影响。</w:t>
      </w:r>
    </w:p>
    <w:p w14:paraId="3AE30812">
      <w:pPr>
        <w:widowControl/>
        <w:overflowPunct/>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4.2对于本试剂，建议着重对以下性能进行研究：</w:t>
      </w:r>
    </w:p>
    <w:p w14:paraId="4F1CA499">
      <w:pPr>
        <w:widowControl/>
        <w:spacing w:line="520" w:lineRule="exact"/>
        <w:ind w:firstLine="640" w:firstLineChars="200"/>
        <w:outlineLvl w:val="9"/>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4</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.1样本稳定性</w:t>
      </w:r>
    </w:p>
    <w:p w14:paraId="4ACA61DE">
      <w:pPr>
        <w:widowControl/>
        <w:snapToGrid/>
        <w:spacing w:line="520" w:lineRule="exact"/>
        <w:ind w:firstLine="640" w:firstLineChars="20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应充分考虑实际使用过程中样本采集、处理、运输及保存等各个阶段的条件，对不同类型样本的稳定性分别进行评价并提交研究</w:t>
      </w:r>
      <w:r>
        <w:rPr>
          <w:rFonts w:hint="eastAsia" w:ascii="Times New Roman" w:hAnsi="Times New Roman" w:eastAsia="仿宋_GB2312"/>
          <w:color w:val="auto"/>
          <w:sz w:val="32"/>
          <w:szCs w:val="32"/>
          <w:highlight w:val="none"/>
        </w:rPr>
        <w:t>资料。对于冷冻保存的样本还应对冻融次数进行评价。内</w:t>
      </w:r>
      <w:r>
        <w:rPr>
          <w:rFonts w:hint="eastAsia" w:ascii="Times New Roman" w:hAnsi="Times New Roman" w:eastAsia="仿宋_GB2312"/>
          <w:sz w:val="32"/>
          <w:szCs w:val="32"/>
          <w:highlight w:val="none"/>
        </w:rPr>
        <w:t>容包括建议的保存条件、添加剂(如抗凝剂)和运输条件(如涉及）等。样本稳定性内容的研究结果应在说明书【样本要求】中进行详细描述。</w:t>
      </w:r>
    </w:p>
    <w:p w14:paraId="6210EC3D">
      <w:pPr>
        <w:widowControl/>
        <w:spacing w:line="520" w:lineRule="exact"/>
        <w:ind w:firstLine="640" w:firstLineChars="200"/>
        <w:outlineLvl w:val="9"/>
        <w:rPr>
          <w:rFonts w:hint="eastAsia" w:ascii="Times New Roman" w:hAnsi="Times New Roman" w:eastAsia="仿宋_GB2312"/>
          <w:sz w:val="32"/>
          <w:szCs w:val="32"/>
        </w:rPr>
      </w:pPr>
      <w:r>
        <w:rPr>
          <w:rFonts w:hint="eastAsia" w:ascii="Times New Roman" w:hAnsi="Times New Roman" w:eastAsia="仿宋_GB2312"/>
          <w:sz w:val="32"/>
          <w:szCs w:val="32"/>
          <w:highlight w:val="none"/>
        </w:rPr>
        <w:t>4.2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适用的样本类型</w:t>
      </w:r>
    </w:p>
    <w:p w14:paraId="1583CD49">
      <w:pPr>
        <w:widowControl/>
        <w:spacing w:line="520" w:lineRule="exact"/>
        <w:ind w:firstLine="640" w:firstLineChars="200"/>
        <w:rPr>
          <w:rFonts w:hint="eastAsia" w:ascii="Times New Roman" w:hAnsi="Times New Roman" w:eastAsia="仿宋_GB2312"/>
          <w:color w:val="auto"/>
          <w:kern w:val="2"/>
          <w:sz w:val="32"/>
          <w:szCs w:val="32"/>
          <w:highlight w:val="none"/>
        </w:rPr>
      </w:pPr>
      <w:r>
        <w:rPr>
          <w:rFonts w:hint="eastAsia" w:ascii="Times New Roman" w:hAnsi="Times New Roman" w:eastAsia="仿宋_GB2312"/>
          <w:sz w:val="32"/>
          <w:szCs w:val="32"/>
        </w:rPr>
        <w:t>申请人应对适用的样本类型及添加剂(如抗凝剂)进行适用性研究。如产品同时适用于多种血液样本类型，如同时适用于血清、血浆</w:t>
      </w:r>
      <w:r>
        <w:rPr>
          <w:rFonts w:hint="default" w:ascii="Times New Roman" w:hAnsi="Times New Roman" w:eastAsia="仿宋_GB2312"/>
          <w:sz w:val="32"/>
          <w:szCs w:val="32"/>
          <w:lang w:eastAsia="zh-CN"/>
        </w:rPr>
        <w:t>、</w:t>
      </w:r>
      <w:r>
        <w:rPr>
          <w:rFonts w:hint="default" w:ascii="Times New Roman" w:hAnsi="Times New Roman" w:eastAsia="仿宋_GB2312"/>
          <w:sz w:val="32"/>
          <w:szCs w:val="32"/>
          <w:lang w:val="en-US" w:eastAsia="zh-CN"/>
        </w:rPr>
        <w:t>全血</w:t>
      </w:r>
      <w:r>
        <w:rPr>
          <w:rFonts w:hint="eastAsia" w:ascii="Times New Roman" w:hAnsi="Times New Roman" w:eastAsia="仿宋_GB2312"/>
          <w:sz w:val="32"/>
          <w:szCs w:val="32"/>
        </w:rPr>
        <w:t>，则应进行同源样本检测一致性的对比试验研究。如适用于全血样本，应具体明确为末梢血或静脉血等。</w:t>
      </w:r>
      <w:r>
        <w:rPr>
          <w:rFonts w:hint="eastAsia" w:ascii="Times New Roman" w:hAnsi="Times New Roman" w:eastAsia="仿宋_GB2312"/>
          <w:kern w:val="2"/>
          <w:sz w:val="32"/>
          <w:szCs w:val="32"/>
        </w:rPr>
        <w:t>不具有可比性的样本类型，如</w:t>
      </w:r>
      <w:r>
        <w:rPr>
          <w:rFonts w:hint="eastAsia" w:ascii="Times New Roman" w:hAnsi="Times New Roman" w:eastAsia="仿宋_GB2312"/>
          <w:sz w:val="32"/>
          <w:szCs w:val="32"/>
        </w:rPr>
        <w:t>末梢血</w:t>
      </w:r>
      <w:r>
        <w:rPr>
          <w:rFonts w:hint="eastAsia" w:ascii="Times New Roman" w:hAnsi="Times New Roman" w:eastAsia="仿宋_GB2312"/>
          <w:sz w:val="32"/>
          <w:szCs w:val="32"/>
          <w:lang w:val="en-US" w:eastAsia="zh-CN"/>
        </w:rPr>
        <w:t>等</w:t>
      </w:r>
      <w:r>
        <w:rPr>
          <w:rFonts w:hint="eastAsia" w:ascii="Times New Roman" w:hAnsi="Times New Roman" w:eastAsia="仿宋_GB2312"/>
          <w:kern w:val="2"/>
          <w:sz w:val="32"/>
          <w:szCs w:val="32"/>
        </w:rPr>
        <w:t>，应对每种样本类型分别进行分析性能评估</w:t>
      </w:r>
      <w:r>
        <w:rPr>
          <w:rFonts w:hint="eastAsia" w:ascii="Times New Roman" w:hAnsi="Times New Roman" w:eastAsia="仿宋_GB2312"/>
          <w:sz w:val="32"/>
          <w:szCs w:val="32"/>
        </w:rPr>
        <w:t>。研究样本浓度应覆盖测量区间范围，包含医学决定水平附近样本。样本量</w:t>
      </w:r>
      <w:r>
        <w:rPr>
          <w:rFonts w:hint="eastAsia" w:ascii="Times New Roman" w:hAnsi="Times New Roman" w:eastAsia="仿宋_GB2312"/>
          <w:color w:val="auto"/>
          <w:kern w:val="2"/>
          <w:sz w:val="32"/>
          <w:szCs w:val="32"/>
          <w:highlight w:val="none"/>
        </w:rPr>
        <w:t>选择应具有统计学意义，并说明样本的来源。</w:t>
      </w:r>
    </w:p>
    <w:p w14:paraId="5889C492">
      <w:pPr>
        <w:snapToGrid/>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4.</w:t>
      </w:r>
      <w:r>
        <w:rPr>
          <w:rFonts w:hint="eastAsia" w:ascii="Times New Roman" w:hAnsi="Times New Roman" w:eastAsia="仿宋_GB2312"/>
          <w:sz w:val="32"/>
          <w:szCs w:val="32"/>
          <w:highlight w:val="none"/>
          <w:lang w:val="en-US" w:eastAsia="zh-CN"/>
        </w:rPr>
        <w:t>2.</w:t>
      </w:r>
      <w:r>
        <w:rPr>
          <w:rFonts w:ascii="Times New Roman" w:hAnsi="Times New Roman" w:eastAsia="仿宋_GB2312"/>
          <w:sz w:val="32"/>
          <w:szCs w:val="32"/>
          <w:highlight w:val="none"/>
        </w:rPr>
        <w:t>3校准品的量值溯源</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如适用</w:t>
      </w:r>
      <w:r>
        <w:rPr>
          <w:rFonts w:hint="eastAsia" w:ascii="Times New Roman" w:hAnsi="Times New Roman" w:eastAsia="仿宋_GB2312"/>
          <w:sz w:val="32"/>
          <w:szCs w:val="32"/>
          <w:highlight w:val="none"/>
          <w:lang w:eastAsia="zh-CN"/>
        </w:rPr>
        <w:t>）</w:t>
      </w:r>
    </w:p>
    <w:p w14:paraId="0F7324A2">
      <w:pPr>
        <w:snapToGrid w:val="0"/>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color w:val="000000"/>
          <w:sz w:val="32"/>
          <w:szCs w:val="32"/>
          <w:highlight w:val="none"/>
        </w:rPr>
        <w:t>本产品</w:t>
      </w:r>
      <w:r>
        <w:rPr>
          <w:rFonts w:ascii="Times New Roman" w:hAnsi="Times New Roman" w:eastAsia="仿宋_GB2312"/>
          <w:sz w:val="32"/>
          <w:szCs w:val="32"/>
          <w:highlight w:val="none"/>
        </w:rPr>
        <w:t>可参考GB/T 21415《</w:t>
      </w:r>
      <w:r>
        <w:rPr>
          <w:rFonts w:hint="eastAsia" w:ascii="Times New Roman" w:hAnsi="Times New Roman" w:eastAsia="仿宋_GB2312"/>
          <w:sz w:val="32"/>
          <w:szCs w:val="32"/>
          <w:highlight w:val="none"/>
        </w:rPr>
        <w:t>体外诊断医疗器械 建立校准品、正确度控制物质和人体样品赋值的计量溯源性要求</w:t>
      </w:r>
      <w:r>
        <w:rPr>
          <w:rFonts w:ascii="Times New Roman" w:hAnsi="Times New Roman" w:eastAsia="仿宋_GB2312"/>
          <w:sz w:val="32"/>
          <w:szCs w:val="32"/>
          <w:highlight w:val="none"/>
        </w:rPr>
        <w:t>》</w:t>
      </w:r>
      <w:r>
        <w:rPr>
          <w:rFonts w:hint="default" w:ascii="Times New Roman" w:hAnsi="Times New Roman" w:eastAsia="仿宋_GB2312"/>
          <w:sz w:val="32"/>
          <w:szCs w:val="32"/>
          <w:highlight w:val="none"/>
          <w:lang w:val="en-US" w:eastAsia="zh-CN"/>
        </w:rPr>
        <w:t>、</w:t>
      </w:r>
      <w:r>
        <w:rPr>
          <w:rFonts w:hint="default" w:ascii="Times New Roman" w:hAnsi="Times New Roman" w:eastAsia="仿宋_GB2312"/>
          <w:sz w:val="32"/>
          <w:szCs w:val="32"/>
          <w:highlight w:val="none"/>
        </w:rPr>
        <w:t>YY/T 1709《体外诊断试剂用校准物测量不确定度评定》的要求，提供</w:t>
      </w:r>
      <w:r>
        <w:rPr>
          <w:rFonts w:ascii="Times New Roman" w:hAnsi="Times New Roman" w:eastAsia="仿宋_GB2312"/>
          <w:sz w:val="32"/>
          <w:szCs w:val="32"/>
          <w:highlight w:val="none"/>
        </w:rPr>
        <w:t>试剂配套</w:t>
      </w:r>
      <w:r>
        <w:rPr>
          <w:rFonts w:hint="default" w:ascii="Times New Roman" w:hAnsi="Times New Roman" w:eastAsia="仿宋_GB2312"/>
          <w:sz w:val="32"/>
          <w:szCs w:val="32"/>
          <w:highlight w:val="none"/>
        </w:rPr>
        <w:t>校准品</w:t>
      </w:r>
      <w:r>
        <w:rPr>
          <w:rFonts w:ascii="Times New Roman" w:hAnsi="Times New Roman" w:eastAsia="仿宋_GB2312"/>
          <w:sz w:val="32"/>
          <w:szCs w:val="32"/>
          <w:highlight w:val="none"/>
        </w:rPr>
        <w:t>量值</w:t>
      </w:r>
      <w:r>
        <w:rPr>
          <w:rFonts w:hint="default" w:ascii="Times New Roman" w:hAnsi="Times New Roman" w:eastAsia="仿宋_GB2312"/>
          <w:sz w:val="32"/>
          <w:szCs w:val="32"/>
          <w:highlight w:val="none"/>
        </w:rPr>
        <w:t>溯源以及校准品定值及不确定度计算的相关资料。</w:t>
      </w:r>
      <w:r>
        <w:rPr>
          <w:rFonts w:ascii="Times New Roman" w:hAnsi="Times New Roman" w:eastAsia="仿宋_GB2312"/>
          <w:sz w:val="32"/>
          <w:szCs w:val="32"/>
          <w:highlight w:val="none"/>
        </w:rPr>
        <w:t>如校准品的基质不同于临床常用样本类型，还应提交</w:t>
      </w:r>
      <w:r>
        <w:rPr>
          <w:rFonts w:hint="default" w:ascii="Times New Roman" w:hAnsi="Times New Roman" w:eastAsia="仿宋_GB2312"/>
          <w:sz w:val="32"/>
          <w:szCs w:val="32"/>
          <w:highlight w:val="none"/>
        </w:rPr>
        <w:t>互换性研究资料</w:t>
      </w:r>
      <w:r>
        <w:rPr>
          <w:rFonts w:hint="default" w:ascii="Times New Roman" w:hAnsi="Times New Roman" w:eastAsia="仿宋_GB2312"/>
          <w:sz w:val="32"/>
          <w:szCs w:val="32"/>
          <w:highlight w:val="none"/>
          <w:lang w:eastAsia="zh-CN"/>
        </w:rPr>
        <w:t>，</w:t>
      </w:r>
      <w:r>
        <w:rPr>
          <w:rFonts w:hint="default" w:ascii="Times New Roman" w:hAnsi="Times New Roman" w:eastAsia="仿宋_GB2312"/>
          <w:sz w:val="32"/>
          <w:szCs w:val="32"/>
          <w:highlight w:val="none"/>
          <w:lang w:val="en-US" w:eastAsia="zh-CN"/>
        </w:rPr>
        <w:t>具体可参照WS/T 356《参考物质互换</w:t>
      </w:r>
      <w:r>
        <w:rPr>
          <w:rFonts w:hint="eastAsia" w:ascii="Times New Roman" w:hAnsi="Times New Roman" w:eastAsia="仿宋_GB2312"/>
          <w:sz w:val="32"/>
          <w:szCs w:val="32"/>
          <w:highlight w:val="none"/>
          <w:lang w:val="en-US" w:eastAsia="zh-CN"/>
        </w:rPr>
        <w:t>性评估指南》进行研究</w:t>
      </w:r>
      <w:r>
        <w:rPr>
          <w:rFonts w:ascii="Times New Roman" w:hAnsi="Times New Roman" w:eastAsia="仿宋_GB2312"/>
          <w:sz w:val="32"/>
          <w:szCs w:val="32"/>
          <w:highlight w:val="none"/>
        </w:rPr>
        <w:t>。</w:t>
      </w:r>
    </w:p>
    <w:p w14:paraId="0C484370">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4.</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4</w:t>
      </w:r>
      <w:r>
        <w:rPr>
          <w:rFonts w:ascii="Times New Roman" w:hAnsi="Times New Roman" w:eastAsia="仿宋_GB2312"/>
          <w:sz w:val="32"/>
          <w:szCs w:val="32"/>
          <w:highlight w:val="none"/>
        </w:rPr>
        <w:t>质控品的赋值</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如适用</w:t>
      </w:r>
      <w:r>
        <w:rPr>
          <w:rFonts w:hint="eastAsia" w:ascii="Times New Roman" w:hAnsi="Times New Roman" w:eastAsia="仿宋_GB2312"/>
          <w:sz w:val="32"/>
          <w:szCs w:val="32"/>
          <w:highlight w:val="none"/>
          <w:lang w:eastAsia="zh-CN"/>
        </w:rPr>
        <w:t>）</w:t>
      </w:r>
    </w:p>
    <w:p w14:paraId="49C3BACD">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可参考《质控品注册审查指导原则—质控品赋值研究》的要求，</w:t>
      </w:r>
      <w:r>
        <w:rPr>
          <w:rFonts w:ascii="Times New Roman" w:hAnsi="Times New Roman" w:eastAsia="仿宋_GB2312"/>
          <w:sz w:val="32"/>
          <w:szCs w:val="32"/>
          <w:highlight w:val="none"/>
        </w:rPr>
        <w:t>提供质控品赋值及其质控范围确定的相关资料</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应当提交在所有适用机型上进行赋值和验证的资料。</w:t>
      </w:r>
    </w:p>
    <w:p w14:paraId="1A1A1ABF">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同时，至少应对</w:t>
      </w:r>
      <w:r>
        <w:rPr>
          <w:rFonts w:ascii="Times New Roman" w:hAnsi="Times New Roman" w:eastAsia="仿宋_GB2312"/>
          <w:sz w:val="32"/>
          <w:szCs w:val="32"/>
          <w:highlight w:val="none"/>
        </w:rPr>
        <w:t>质控品的可接受区间/值（预期结果）</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均匀性进行评</w:t>
      </w:r>
      <w:r>
        <w:rPr>
          <w:rFonts w:hint="eastAsia" w:ascii="Times New Roman" w:hAnsi="Times New Roman" w:eastAsia="仿宋_GB2312"/>
          <w:sz w:val="32"/>
          <w:szCs w:val="32"/>
          <w:highlight w:val="none"/>
        </w:rPr>
        <w:t>估</w:t>
      </w:r>
      <w:r>
        <w:rPr>
          <w:rFonts w:ascii="Times New Roman" w:hAnsi="Times New Roman" w:eastAsia="仿宋_GB2312"/>
          <w:sz w:val="32"/>
          <w:szCs w:val="32"/>
          <w:highlight w:val="none"/>
        </w:rPr>
        <w:t>。</w:t>
      </w:r>
    </w:p>
    <w:p w14:paraId="1C999356">
      <w:pPr>
        <w:spacing w:line="520" w:lineRule="exact"/>
        <w:ind w:firstLine="640" w:firstLineChars="200"/>
        <w:rPr>
          <w:rFonts w:ascii="Times New Roman" w:hAnsi="Times New Roman" w:eastAsia="仿宋_GB2312"/>
          <w:color w:val="0000FF"/>
          <w:sz w:val="32"/>
          <w:szCs w:val="32"/>
          <w:highlight w:val="none"/>
        </w:rPr>
      </w:pPr>
      <w:r>
        <w:rPr>
          <w:rFonts w:hint="eastAsia" w:ascii="Times New Roman" w:hAnsi="Times New Roman" w:eastAsia="仿宋_GB2312"/>
          <w:color w:val="000000"/>
          <w:sz w:val="32"/>
          <w:szCs w:val="32"/>
          <w:highlight w:val="none"/>
        </w:rPr>
        <w:t>4.</w:t>
      </w:r>
      <w:r>
        <w:rPr>
          <w:rFonts w:hint="eastAsia" w:ascii="Times New Roman" w:hAnsi="Times New Roman" w:eastAsia="仿宋_GB2312"/>
          <w:color w:val="000000"/>
          <w:sz w:val="32"/>
          <w:szCs w:val="32"/>
          <w:highlight w:val="none"/>
          <w:lang w:val="en-US" w:eastAsia="zh-CN"/>
        </w:rPr>
        <w:t>2.</w:t>
      </w:r>
      <w:r>
        <w:rPr>
          <w:rFonts w:hint="eastAsia" w:ascii="Times New Roman" w:hAnsi="Times New Roman" w:eastAsia="仿宋_GB2312"/>
          <w:color w:val="000000"/>
          <w:sz w:val="32"/>
          <w:szCs w:val="32"/>
          <w:highlight w:val="none"/>
        </w:rPr>
        <w:t>5</w:t>
      </w:r>
      <w:r>
        <w:rPr>
          <w:rFonts w:hint="eastAsia" w:ascii="Times New Roman" w:hAnsi="Times New Roman" w:eastAsia="仿宋_GB2312"/>
          <w:color w:val="000000"/>
          <w:sz w:val="32"/>
          <w:szCs w:val="32"/>
          <w:highlight w:val="none"/>
          <w:lang w:val="en-US" w:eastAsia="zh-CN"/>
        </w:rPr>
        <w:t>正</w:t>
      </w:r>
      <w:r>
        <w:rPr>
          <w:rFonts w:hint="eastAsia" w:ascii="Times New Roman" w:hAnsi="Times New Roman" w:eastAsia="仿宋_GB2312"/>
          <w:color w:val="000000"/>
          <w:sz w:val="32"/>
          <w:szCs w:val="32"/>
          <w:highlight w:val="none"/>
        </w:rPr>
        <w:t>确度</w:t>
      </w:r>
    </w:p>
    <w:p w14:paraId="2D0D5719">
      <w:pPr>
        <w:spacing w:line="520" w:lineRule="exact"/>
        <w:ind w:firstLine="640" w:firstLineChars="200"/>
        <w:rPr>
          <w:rFonts w:ascii="Times New Roman" w:hAnsi="Times New Roman" w:eastAsia="仿宋_GB2312"/>
          <w:color w:val="000000"/>
          <w:sz w:val="32"/>
          <w:szCs w:val="32"/>
          <w:highlight w:val="none"/>
        </w:rPr>
      </w:pPr>
      <w:r>
        <w:rPr>
          <w:rFonts w:ascii="Times New Roman" w:hAnsi="Times New Roman" w:eastAsia="仿宋_GB2312"/>
          <w:sz w:val="32"/>
          <w:szCs w:val="28"/>
          <w:highlight w:val="none"/>
        </w:rPr>
        <w:t>对</w:t>
      </w:r>
      <w:r>
        <w:rPr>
          <w:rFonts w:hint="eastAsia" w:ascii="Times New Roman" w:hAnsi="Times New Roman" w:eastAsia="仿宋_GB2312"/>
          <w:sz w:val="32"/>
          <w:szCs w:val="32"/>
          <w:highlight w:val="none"/>
        </w:rPr>
        <w:t>准确度</w:t>
      </w:r>
      <w:r>
        <w:rPr>
          <w:rFonts w:ascii="Times New Roman" w:hAnsi="Times New Roman" w:eastAsia="仿宋_GB2312"/>
          <w:sz w:val="32"/>
          <w:szCs w:val="28"/>
          <w:highlight w:val="none"/>
        </w:rPr>
        <w:t>的评价包括：</w:t>
      </w:r>
      <w:r>
        <w:rPr>
          <w:rFonts w:hint="eastAsia" w:ascii="Times New Roman" w:hAnsi="Times New Roman" w:eastAsia="仿宋_GB2312"/>
          <w:sz w:val="32"/>
          <w:szCs w:val="28"/>
          <w:highlight w:val="none"/>
        </w:rPr>
        <w:t>使用参考物质的正确度评价</w:t>
      </w:r>
      <w:r>
        <w:rPr>
          <w:rFonts w:ascii="Times New Roman" w:hAnsi="Times New Roman" w:eastAsia="仿宋_GB2312"/>
          <w:sz w:val="32"/>
          <w:szCs w:val="28"/>
          <w:highlight w:val="none"/>
        </w:rPr>
        <w:t>、</w:t>
      </w:r>
      <w:r>
        <w:rPr>
          <w:rFonts w:hint="eastAsia" w:ascii="Times New Roman" w:hAnsi="Times New Roman" w:eastAsia="仿宋_GB2312"/>
          <w:sz w:val="32"/>
          <w:szCs w:val="28"/>
          <w:highlight w:val="none"/>
        </w:rPr>
        <w:t>方法学比对、</w:t>
      </w:r>
      <w:r>
        <w:rPr>
          <w:rFonts w:ascii="Times New Roman" w:hAnsi="Times New Roman" w:eastAsia="仿宋_GB2312"/>
          <w:sz w:val="32"/>
          <w:szCs w:val="28"/>
          <w:highlight w:val="none"/>
        </w:rPr>
        <w:t>回收试验等方法</w:t>
      </w:r>
      <w:r>
        <w:rPr>
          <w:rFonts w:hint="eastAsia" w:ascii="Times New Roman" w:hAnsi="Times New Roman" w:eastAsia="仿宋_GB2312"/>
          <w:sz w:val="32"/>
          <w:szCs w:val="28"/>
          <w:highlight w:val="none"/>
        </w:rPr>
        <w:t>。</w:t>
      </w:r>
      <w:r>
        <w:rPr>
          <w:rFonts w:hint="eastAsia" w:ascii="Times New Roman" w:hAnsi="Times New Roman" w:eastAsia="仿宋_GB2312"/>
          <w:color w:val="000000"/>
          <w:sz w:val="32"/>
          <w:szCs w:val="32"/>
          <w:highlight w:val="none"/>
          <w:lang w:val="en-US" w:eastAsia="zh-CN"/>
        </w:rPr>
        <w:t>根据产品实际情况</w:t>
      </w:r>
      <w:r>
        <w:rPr>
          <w:rFonts w:hint="eastAsia" w:ascii="Times New Roman" w:hAnsi="Times New Roman" w:eastAsia="仿宋_GB2312"/>
          <w:color w:val="000000"/>
          <w:sz w:val="32"/>
          <w:szCs w:val="32"/>
          <w:highlight w:val="none"/>
        </w:rPr>
        <w:t>选用合适的方法对准确度进行研究。</w:t>
      </w:r>
    </w:p>
    <w:p w14:paraId="057F46F6">
      <w:pPr>
        <w:spacing w:line="520" w:lineRule="exact"/>
        <w:ind w:firstLine="640" w:firstLineChars="200"/>
        <w:rPr>
          <w:rFonts w:ascii="Times New Roman" w:hAnsi="Times New Roman" w:eastAsia="仿宋_GB2312"/>
          <w:sz w:val="32"/>
          <w:szCs w:val="28"/>
          <w:highlight w:val="none"/>
        </w:rPr>
      </w:pPr>
      <w:r>
        <w:rPr>
          <w:rFonts w:hint="eastAsia" w:ascii="Times New Roman" w:hAnsi="Times New Roman" w:eastAsia="仿宋_GB2312"/>
          <w:sz w:val="32"/>
          <w:szCs w:val="28"/>
          <w:highlight w:val="none"/>
        </w:rPr>
        <w:t>4.</w:t>
      </w:r>
      <w:r>
        <w:rPr>
          <w:rFonts w:hint="eastAsia" w:ascii="Times New Roman" w:hAnsi="Times New Roman" w:eastAsia="仿宋_GB2312"/>
          <w:sz w:val="32"/>
          <w:szCs w:val="28"/>
          <w:highlight w:val="none"/>
          <w:lang w:val="en-US" w:eastAsia="zh-CN"/>
        </w:rPr>
        <w:t>2.</w:t>
      </w:r>
      <w:r>
        <w:rPr>
          <w:rFonts w:hint="eastAsia" w:ascii="Times New Roman" w:hAnsi="Times New Roman" w:eastAsia="仿宋_GB2312"/>
          <w:sz w:val="32"/>
          <w:szCs w:val="28"/>
          <w:highlight w:val="none"/>
        </w:rPr>
        <w:t>5.1使用参考物质的正确度评价</w:t>
      </w:r>
    </w:p>
    <w:p w14:paraId="07A377C5">
      <w:pPr>
        <w:spacing w:line="520" w:lineRule="exact"/>
        <w:ind w:firstLine="640" w:firstLineChars="200"/>
        <w:rPr>
          <w:rFonts w:hint="eastAsia" w:ascii="Times New Roman" w:hAnsi="Times New Roman" w:eastAsia="仿宋_GB2312"/>
          <w:sz w:val="32"/>
          <w:szCs w:val="28"/>
          <w:highlight w:val="none"/>
        </w:rPr>
      </w:pPr>
      <w:r>
        <w:rPr>
          <w:rFonts w:hint="eastAsia" w:ascii="Times New Roman" w:hAnsi="Times New Roman" w:eastAsia="仿宋_GB2312"/>
          <w:sz w:val="32"/>
          <w:szCs w:val="28"/>
          <w:highlight w:val="none"/>
        </w:rPr>
        <w:t>试剂盒测试可用于评价常规测量方法的参考物质。采用至少两个水平的参考物质，代表试剂测量范围的高、低浓度</w:t>
      </w:r>
      <w:r>
        <w:rPr>
          <w:rFonts w:hint="eastAsia" w:ascii="Times New Roman" w:hAnsi="Times New Roman" w:eastAsia="仿宋_GB2312"/>
          <w:sz w:val="32"/>
          <w:szCs w:val="28"/>
          <w:highlight w:val="none"/>
          <w:lang w:eastAsia="zh-CN"/>
        </w:rPr>
        <w:t>（</w:t>
      </w:r>
      <w:r>
        <w:rPr>
          <w:rFonts w:hint="eastAsia" w:ascii="Times New Roman" w:hAnsi="Times New Roman" w:eastAsia="仿宋_GB2312"/>
          <w:sz w:val="32"/>
          <w:szCs w:val="28"/>
          <w:highlight w:val="none"/>
          <w:lang w:val="en-US" w:eastAsia="zh-CN"/>
        </w:rPr>
        <w:t>其中一个应为医学决定水平或参考区间附近的浓度</w:t>
      </w:r>
      <w:r>
        <w:rPr>
          <w:rFonts w:hint="eastAsia" w:ascii="Times New Roman" w:hAnsi="Times New Roman" w:eastAsia="仿宋_GB2312"/>
          <w:sz w:val="32"/>
          <w:szCs w:val="28"/>
          <w:highlight w:val="none"/>
          <w:lang w:eastAsia="zh-CN"/>
        </w:rPr>
        <w:t>）</w:t>
      </w:r>
      <w:r>
        <w:rPr>
          <w:rFonts w:hint="eastAsia" w:ascii="Times New Roman" w:hAnsi="Times New Roman" w:eastAsia="仿宋_GB2312"/>
          <w:sz w:val="32"/>
          <w:szCs w:val="28"/>
          <w:highlight w:val="none"/>
        </w:rPr>
        <w:t>，进行重复检测至少3次，根据检测结果平均值与参考量值计算偏倚。</w:t>
      </w:r>
    </w:p>
    <w:p w14:paraId="15E3D6DF">
      <w:pPr>
        <w:spacing w:line="520" w:lineRule="exact"/>
        <w:ind w:firstLine="640" w:firstLineChars="200"/>
        <w:rPr>
          <w:rFonts w:ascii="Times New Roman" w:hAnsi="Times New Roman" w:eastAsia="仿宋_GB2312"/>
          <w:sz w:val="32"/>
          <w:szCs w:val="28"/>
          <w:highlight w:val="none"/>
        </w:rPr>
      </w:pPr>
      <w:r>
        <w:rPr>
          <w:rFonts w:hint="eastAsia" w:ascii="Times New Roman" w:hAnsi="Times New Roman" w:eastAsia="仿宋_GB2312"/>
          <w:sz w:val="32"/>
          <w:szCs w:val="28"/>
          <w:highlight w:val="none"/>
        </w:rPr>
        <w:t>4.</w:t>
      </w:r>
      <w:r>
        <w:rPr>
          <w:rFonts w:hint="eastAsia" w:ascii="Times New Roman" w:hAnsi="Times New Roman" w:eastAsia="仿宋_GB2312"/>
          <w:sz w:val="32"/>
          <w:szCs w:val="28"/>
          <w:highlight w:val="none"/>
          <w:lang w:val="en-US" w:eastAsia="zh-CN"/>
        </w:rPr>
        <w:t>2.</w:t>
      </w:r>
      <w:r>
        <w:rPr>
          <w:rFonts w:hint="eastAsia" w:ascii="Times New Roman" w:hAnsi="Times New Roman" w:eastAsia="仿宋_GB2312"/>
          <w:sz w:val="32"/>
          <w:szCs w:val="28"/>
          <w:highlight w:val="none"/>
        </w:rPr>
        <w:t>5.2方法学比对</w:t>
      </w:r>
    </w:p>
    <w:p w14:paraId="0950DA0F">
      <w:pPr>
        <w:spacing w:line="520" w:lineRule="exact"/>
        <w:ind w:firstLine="640" w:firstLineChars="200"/>
        <w:rPr>
          <w:rFonts w:ascii="Times New Roman" w:hAnsi="Times New Roman" w:eastAsia="仿宋_GB2312"/>
          <w:sz w:val="32"/>
          <w:szCs w:val="28"/>
          <w:highlight w:val="none"/>
        </w:rPr>
      </w:pPr>
      <w:r>
        <w:rPr>
          <w:rFonts w:hint="eastAsia" w:ascii="Times New Roman" w:hAnsi="Times New Roman" w:eastAsia="仿宋_GB2312"/>
          <w:sz w:val="32"/>
          <w:szCs w:val="28"/>
          <w:highlight w:val="none"/>
        </w:rPr>
        <w:t>采用参考测量程序或国内普遍认为质量较好的已上市同类试剂作为参比方法，与拟申报试剂同时测定同一批临床样本，样本浓度应覆盖申报试剂的测量区间。在性能建立时，建议对每个样本重复检测，以平均值或中位数进行回归分析，并评价医学决定水平或参考区间上/下限浓度的偏倚。比较两种方法之间的偏倚，如果偏倚在申请人给定的允许误差范围内，说明两测定系统对样本的测定结果基本相符。拟申报试剂与比对试剂相比，对同一份临床样本的医学解释不会产生差异结果。</w:t>
      </w:r>
    </w:p>
    <w:p w14:paraId="0618BFB5">
      <w:pPr>
        <w:snapToGrid w:val="0"/>
        <w:spacing w:line="520" w:lineRule="exact"/>
        <w:ind w:firstLine="640" w:firstLineChars="200"/>
        <w:rPr>
          <w:rFonts w:ascii="Times New Roman" w:hAnsi="Times New Roman" w:eastAsia="仿宋_GB2312"/>
          <w:sz w:val="32"/>
          <w:szCs w:val="28"/>
          <w:highlight w:val="none"/>
        </w:rPr>
      </w:pPr>
      <w:r>
        <w:rPr>
          <w:rFonts w:hint="eastAsia" w:ascii="Times New Roman" w:hAnsi="Times New Roman" w:eastAsia="仿宋_GB2312"/>
          <w:sz w:val="32"/>
          <w:szCs w:val="28"/>
          <w:highlight w:val="none"/>
        </w:rPr>
        <w:t>在实施方法学比对前，应分别对拟申报试剂和比对试剂进行初步评估，只有在确认两者都分别符合各自相关的质量标准后方可进行比对试验。方法学比对时应注意适用机型、质量控制、样本类型、浓度分布范围并对结果进行合理的统计学分析。</w:t>
      </w:r>
    </w:p>
    <w:p w14:paraId="34ED94CD">
      <w:pPr>
        <w:spacing w:line="520" w:lineRule="exact"/>
        <w:ind w:firstLine="640" w:firstLineChars="200"/>
        <w:rPr>
          <w:rFonts w:ascii="Times New Roman" w:hAnsi="Times New Roman" w:eastAsia="仿宋_GB2312"/>
          <w:sz w:val="32"/>
          <w:szCs w:val="28"/>
          <w:highlight w:val="none"/>
        </w:rPr>
      </w:pPr>
      <w:r>
        <w:rPr>
          <w:rFonts w:hint="eastAsia" w:ascii="Times New Roman" w:hAnsi="Times New Roman" w:eastAsia="仿宋_GB2312"/>
          <w:sz w:val="32"/>
          <w:szCs w:val="28"/>
          <w:highlight w:val="none"/>
        </w:rPr>
        <w:t>如条件允许，建议与具有相同溯源性的分析系统作比对。样本尽可能使用新鲜样本。</w:t>
      </w:r>
    </w:p>
    <w:p w14:paraId="57AA64E1">
      <w:pPr>
        <w:spacing w:line="520" w:lineRule="exact"/>
        <w:ind w:firstLine="640" w:firstLineChars="200"/>
        <w:rPr>
          <w:rFonts w:ascii="Times New Roman" w:hAnsi="Times New Roman" w:eastAsia="仿宋_GB2312"/>
          <w:sz w:val="32"/>
          <w:szCs w:val="28"/>
          <w:highlight w:val="none"/>
        </w:rPr>
      </w:pPr>
      <w:r>
        <w:rPr>
          <w:rFonts w:hint="eastAsia" w:ascii="Times New Roman" w:hAnsi="Times New Roman" w:eastAsia="仿宋_GB2312"/>
          <w:sz w:val="32"/>
          <w:szCs w:val="28"/>
          <w:highlight w:val="none"/>
        </w:rPr>
        <w:t>4.</w:t>
      </w:r>
      <w:r>
        <w:rPr>
          <w:rFonts w:hint="eastAsia" w:ascii="Times New Roman" w:hAnsi="Times New Roman" w:eastAsia="仿宋_GB2312"/>
          <w:sz w:val="32"/>
          <w:szCs w:val="28"/>
          <w:highlight w:val="none"/>
          <w:lang w:val="en-US" w:eastAsia="zh-CN"/>
        </w:rPr>
        <w:t>2.</w:t>
      </w:r>
      <w:r>
        <w:rPr>
          <w:rFonts w:hint="eastAsia" w:ascii="Times New Roman" w:hAnsi="Times New Roman" w:eastAsia="仿宋_GB2312"/>
          <w:sz w:val="32"/>
          <w:szCs w:val="28"/>
          <w:highlight w:val="none"/>
        </w:rPr>
        <w:t>5.3回收试验</w:t>
      </w:r>
    </w:p>
    <w:p w14:paraId="1E01AEA3">
      <w:pPr>
        <w:spacing w:line="520" w:lineRule="exact"/>
        <w:ind w:firstLine="640" w:firstLineChars="200"/>
        <w:rPr>
          <w:rFonts w:ascii="Times New Roman" w:hAnsi="Times New Roman" w:eastAsia="仿宋_GB2312"/>
          <w:sz w:val="32"/>
          <w:szCs w:val="28"/>
          <w:highlight w:val="none"/>
        </w:rPr>
      </w:pPr>
      <w:r>
        <w:rPr>
          <w:rFonts w:hint="eastAsia" w:ascii="Times New Roman" w:hAnsi="Times New Roman" w:eastAsia="仿宋_GB2312"/>
          <w:sz w:val="32"/>
          <w:szCs w:val="28"/>
          <w:highlight w:val="none"/>
        </w:rPr>
        <w:t>对于可获得标准溶液、标准物质或分析物纯品的试剂，可采用回收试验进行正确度评价。将标准溶液、标准物质或分析物纯品加入临床样本中，配制成回收样品，进行检测。标准溶液、标准物质的体积与临床样本的体积比应不会产生基质的变化，一般加入体积不超过总体积的10%。</w:t>
      </w:r>
    </w:p>
    <w:p w14:paraId="469DD6A2">
      <w:pPr>
        <w:snapToGrid w:val="0"/>
        <w:spacing w:line="520" w:lineRule="exact"/>
        <w:ind w:firstLine="640" w:firstLineChars="200"/>
        <w:rPr>
          <w:rFonts w:ascii="Times New Roman" w:hAnsi="Times New Roman" w:eastAsia="仿宋_GB2312"/>
          <w:sz w:val="32"/>
          <w:szCs w:val="28"/>
          <w:highlight w:val="none"/>
        </w:rPr>
      </w:pPr>
      <w:r>
        <w:rPr>
          <w:rFonts w:hint="eastAsia" w:ascii="Times New Roman" w:hAnsi="Times New Roman" w:eastAsia="仿宋_GB2312"/>
          <w:sz w:val="32"/>
          <w:szCs w:val="28"/>
          <w:highlight w:val="none"/>
        </w:rPr>
        <w:t>检测至少3个水平的回收样品，代表试剂测量区间内的高、中、低浓度，其中应包括医学决定水平或参考区间上/下限附近的浓度。每个浓度应进行多次重复检测，采用检测结果平均值计算回收率。建议回收率应在85%～115%范围内。</w:t>
      </w:r>
    </w:p>
    <w:p w14:paraId="1B5EE66E">
      <w:pPr>
        <w:spacing w:line="520" w:lineRule="exact"/>
        <w:ind w:firstLine="640" w:firstLineChars="200"/>
        <w:outlineLvl w:val="3"/>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4.</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6空白限（</w:t>
      </w:r>
      <w:r>
        <w:rPr>
          <w:rFonts w:ascii="Times New Roman" w:hAnsi="Times New Roman" w:eastAsia="仿宋_GB2312"/>
          <w:sz w:val="32"/>
          <w:szCs w:val="32"/>
          <w:highlight w:val="none"/>
        </w:rPr>
        <w:t>L</w:t>
      </w:r>
      <w:r>
        <w:rPr>
          <w:rFonts w:hint="eastAsia" w:ascii="Times New Roman" w:hAnsi="Times New Roman" w:eastAsia="仿宋_GB2312"/>
          <w:sz w:val="32"/>
          <w:szCs w:val="32"/>
          <w:highlight w:val="none"/>
        </w:rPr>
        <w:t>o</w:t>
      </w:r>
      <w:r>
        <w:rPr>
          <w:rFonts w:ascii="Times New Roman" w:hAnsi="Times New Roman" w:eastAsia="仿宋_GB2312"/>
          <w:sz w:val="32"/>
          <w:szCs w:val="32"/>
          <w:highlight w:val="none"/>
        </w:rPr>
        <w:t>B</w:t>
      </w:r>
      <w:r>
        <w:rPr>
          <w:rFonts w:hint="eastAsia" w:ascii="Times New Roman" w:hAnsi="Times New Roman" w:eastAsia="仿宋_GB2312"/>
          <w:sz w:val="32"/>
          <w:szCs w:val="32"/>
          <w:highlight w:val="none"/>
        </w:rPr>
        <w:t>）、检出限（</w:t>
      </w:r>
      <w:r>
        <w:rPr>
          <w:rFonts w:ascii="Times New Roman" w:hAnsi="Times New Roman" w:eastAsia="仿宋_GB2312"/>
          <w:sz w:val="32"/>
          <w:szCs w:val="32"/>
          <w:highlight w:val="none"/>
        </w:rPr>
        <w:t>L</w:t>
      </w:r>
      <w:r>
        <w:rPr>
          <w:rFonts w:hint="eastAsia" w:ascii="Times New Roman" w:hAnsi="Times New Roman" w:eastAsia="仿宋_GB2312"/>
          <w:sz w:val="32"/>
          <w:szCs w:val="32"/>
          <w:highlight w:val="none"/>
        </w:rPr>
        <w:t>o</w:t>
      </w:r>
      <w:r>
        <w:rPr>
          <w:rFonts w:ascii="Times New Roman" w:hAnsi="Times New Roman" w:eastAsia="仿宋_GB2312"/>
          <w:sz w:val="32"/>
          <w:szCs w:val="32"/>
          <w:highlight w:val="none"/>
        </w:rPr>
        <w:t>D</w:t>
      </w:r>
      <w:r>
        <w:rPr>
          <w:rFonts w:hint="eastAsia" w:ascii="Times New Roman" w:hAnsi="Times New Roman" w:eastAsia="仿宋_GB2312"/>
          <w:sz w:val="32"/>
          <w:szCs w:val="32"/>
          <w:highlight w:val="none"/>
        </w:rPr>
        <w:t>）和定量限（LoQ）</w:t>
      </w:r>
    </w:p>
    <w:p w14:paraId="7C700AD2">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空白限、检出限和定量限的研究包括建立和验证两个过程，至少采用3个批次试剂进行研究。</w:t>
      </w:r>
    </w:p>
    <w:p w14:paraId="4A44C6AA">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研究方法可参考《定量检测试剂分析性能评估注册技术审查指导原则》中的相关内容。</w:t>
      </w:r>
    </w:p>
    <w:p w14:paraId="6C15D7D6">
      <w:pPr>
        <w:spacing w:line="520" w:lineRule="exact"/>
        <w:ind w:firstLine="640" w:firstLineChars="200"/>
        <w:outlineLvl w:val="3"/>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4.</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7精密度</w:t>
      </w:r>
    </w:p>
    <w:p w14:paraId="2B4D72FD">
      <w:pPr>
        <w:adjustRightInd w:val="0"/>
        <w:snapToGrid w:val="0"/>
        <w:spacing w:line="520" w:lineRule="exact"/>
        <w:ind w:firstLine="640" w:firstLineChars="2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sz w:val="32"/>
          <w:szCs w:val="32"/>
          <w:highlight w:val="none"/>
        </w:rPr>
        <w:t>精密度需研究重复性、</w:t>
      </w:r>
      <w:r>
        <w:rPr>
          <w:rFonts w:hint="eastAsia" w:ascii="Times New Roman" w:hAnsi="Times New Roman" w:eastAsia="仿宋_GB2312"/>
          <w:sz w:val="32"/>
          <w:szCs w:val="32"/>
          <w:highlight w:val="none"/>
          <w:lang w:val="en-US" w:eastAsia="zh-CN"/>
        </w:rPr>
        <w:t>实验室内精密度</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实验室间精密度</w:t>
      </w:r>
      <w:r>
        <w:rPr>
          <w:rFonts w:hint="eastAsia" w:ascii="Times New Roman" w:hAnsi="Times New Roman" w:eastAsia="仿宋_GB2312"/>
          <w:sz w:val="32"/>
          <w:szCs w:val="32"/>
          <w:highlight w:val="none"/>
        </w:rPr>
        <w:t>、批间差。</w:t>
      </w:r>
      <w:r>
        <w:rPr>
          <w:rFonts w:hint="eastAsia" w:ascii="Times New Roman" w:hAnsi="Times New Roman" w:eastAsia="仿宋_GB2312" w:cs="Times New Roman"/>
          <w:color w:val="auto"/>
          <w:sz w:val="32"/>
          <w:szCs w:val="32"/>
          <w:highlight w:val="none"/>
        </w:rPr>
        <w:t>应考虑操作者、测量仪器、测量程序、试剂批次、校准</w:t>
      </w:r>
      <w:r>
        <w:rPr>
          <w:rFonts w:hint="eastAsia" w:ascii="Times New Roman" w:hAnsi="Times New Roman" w:eastAsia="仿宋_GB2312"/>
          <w:sz w:val="32"/>
          <w:szCs w:val="32"/>
        </w:rPr>
        <w:t>（校准品批次，校准周期）</w:t>
      </w:r>
      <w:r>
        <w:rPr>
          <w:rFonts w:hint="eastAsia" w:ascii="Times New Roman" w:hAnsi="Times New Roman" w:eastAsia="仿宋_GB2312" w:cs="Times New Roman"/>
          <w:color w:val="auto"/>
          <w:sz w:val="32"/>
          <w:szCs w:val="32"/>
          <w:highlight w:val="none"/>
        </w:rPr>
        <w:t>、运行、时间、地点</w:t>
      </w:r>
      <w:r>
        <w:rPr>
          <w:rFonts w:hint="eastAsia" w:ascii="Times New Roman" w:hAnsi="Times New Roman" w:eastAsia="仿宋_GB2312"/>
          <w:sz w:val="32"/>
          <w:szCs w:val="32"/>
        </w:rPr>
        <w:t>、环境条件（实验室温度、湿度、空气质量、管理等）</w:t>
      </w:r>
      <w:r>
        <w:rPr>
          <w:rFonts w:hint="eastAsia" w:ascii="Times New Roman" w:hAnsi="Times New Roman" w:eastAsia="仿宋_GB2312" w:cs="Times New Roman"/>
          <w:color w:val="auto"/>
          <w:sz w:val="32"/>
          <w:szCs w:val="32"/>
          <w:highlight w:val="none"/>
        </w:rPr>
        <w:t>等</w:t>
      </w:r>
      <w:r>
        <w:rPr>
          <w:rFonts w:hint="eastAsia" w:ascii="Times New Roman" w:hAnsi="Times New Roman" w:eastAsia="仿宋_GB2312" w:cs="Times New Roman"/>
          <w:color w:val="auto"/>
          <w:sz w:val="32"/>
          <w:szCs w:val="32"/>
          <w:highlight w:val="none"/>
          <w:lang w:eastAsia="zh-CN"/>
        </w:rPr>
        <w:t>影响精密度的条件</w:t>
      </w:r>
      <w:r>
        <w:rPr>
          <w:rFonts w:hint="eastAsia" w:ascii="Times New Roman" w:hAnsi="Times New Roman" w:eastAsia="仿宋_GB2312" w:cs="Times New Roman"/>
          <w:color w:val="auto"/>
          <w:sz w:val="32"/>
          <w:szCs w:val="32"/>
          <w:highlight w:val="none"/>
        </w:rPr>
        <w:t>，设计合理的精密度试验方案进行评价。</w:t>
      </w:r>
    </w:p>
    <w:p w14:paraId="4C8861CE">
      <w:pPr>
        <w:adjustRightInd w:val="0"/>
        <w:snapToGrid w:val="0"/>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rPr>
        <w:t>精密度研究用样本一般为临床实际检测样本或其混合物。样本浓度一般包括测量区间高、中、低在内的3～5个水平，应有医学决定水平或参考区间上/下限浓度附近的样本。精密度研究可能涉及多天、多地点检测，应确保样本的稳定性和一致性，可将样本等分保存。</w:t>
      </w:r>
    </w:p>
    <w:p w14:paraId="1A36B31C">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4.</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8分析特异性</w:t>
      </w:r>
    </w:p>
    <w:p w14:paraId="347DF002">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分析特异性受干扰和交叉反应的影响。申请人应分析待测样本中及试剂使用过程中潜在的干扰物质和交叉反应。</w:t>
      </w:r>
    </w:p>
    <w:p w14:paraId="7B90BA21">
      <w:pPr>
        <w:spacing w:line="520" w:lineRule="exact"/>
        <w:ind w:firstLine="640" w:firstLineChars="200"/>
        <w:rPr>
          <w:rFonts w:hint="eastAsia" w:ascii="Times New Roman" w:hAnsi="Times New Roman" w:eastAsia="仿宋_GB2312" w:cs="黑体"/>
          <w:sz w:val="28"/>
          <w:szCs w:val="28"/>
          <w:highlight w:val="yellow"/>
          <w:lang w:eastAsia="zh-CN"/>
        </w:rPr>
      </w:pPr>
      <w:r>
        <w:rPr>
          <w:rFonts w:ascii="Times New Roman" w:hAnsi="Times New Roman" w:eastAsia="仿宋_GB2312"/>
          <w:sz w:val="32"/>
          <w:szCs w:val="32"/>
          <w:highlight w:val="none"/>
        </w:rPr>
        <w:t>4.</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8</w:t>
      </w:r>
      <w:r>
        <w:rPr>
          <w:rFonts w:ascii="Times New Roman" w:hAnsi="Times New Roman" w:eastAsia="仿宋_GB2312"/>
          <w:sz w:val="32"/>
          <w:szCs w:val="32"/>
          <w:highlight w:val="none"/>
        </w:rPr>
        <w:t>.1</w:t>
      </w:r>
      <w:r>
        <w:rPr>
          <w:rFonts w:hint="eastAsia" w:ascii="Times New Roman" w:hAnsi="Times New Roman" w:eastAsia="仿宋_GB2312"/>
          <w:sz w:val="32"/>
          <w:szCs w:val="32"/>
          <w:highlight w:val="none"/>
        </w:rPr>
        <w:t>干扰试验</w:t>
      </w:r>
    </w:p>
    <w:p w14:paraId="21DD983E">
      <w:pPr>
        <w:pStyle w:val="26"/>
        <w:autoSpaceDE/>
        <w:autoSpaceDN/>
        <w:snapToGrid w:val="0"/>
        <w:spacing w:line="520" w:lineRule="exact"/>
        <w:ind w:firstLine="640"/>
        <w:rPr>
          <w:rFonts w:ascii="Times New Roman" w:hAnsi="Times New Roman" w:eastAsia="仿宋_GB2312"/>
          <w:sz w:val="32"/>
          <w:szCs w:val="32"/>
          <w:highlight w:val="none"/>
        </w:rPr>
      </w:pPr>
      <w:r>
        <w:rPr>
          <w:rFonts w:ascii="Times New Roman" w:hAnsi="Times New Roman" w:eastAsia="仿宋_GB2312"/>
          <w:sz w:val="32"/>
          <w:szCs w:val="32"/>
          <w:highlight w:val="none"/>
        </w:rPr>
        <w:t>应评估干扰物质并提交研究资料。干扰物质研究应当考虑常见的内源性干扰、外源性干扰和已有报道的干扰物质</w:t>
      </w:r>
      <w:r>
        <w:rPr>
          <w:rFonts w:hint="eastAsia" w:ascii="Times New Roman" w:hAnsi="Times New Roman" w:eastAsia="仿宋_GB2312"/>
          <w:sz w:val="32"/>
          <w:szCs w:val="32"/>
          <w:highlight w:val="none"/>
          <w:lang w:val="en-US" w:eastAsia="zh-CN"/>
        </w:rPr>
        <w:t>以</w:t>
      </w:r>
      <w:r>
        <w:rPr>
          <w:rFonts w:hint="default" w:ascii="Times New Roman" w:hAnsi="Times New Roman" w:eastAsia="仿宋_GB2312"/>
          <w:sz w:val="32"/>
          <w:szCs w:val="32"/>
          <w:highlight w:val="none"/>
          <w:lang w:val="en-US" w:eastAsia="zh-CN"/>
        </w:rPr>
        <w:t>及</w:t>
      </w:r>
      <w:r>
        <w:rPr>
          <w:rFonts w:hint="default" w:ascii="Times New Roman" w:hAnsi="Times New Roman" w:eastAsia="仿宋_GB2312"/>
          <w:sz w:val="32"/>
          <w:szCs w:val="32"/>
          <w:highlight w:val="none"/>
        </w:rPr>
        <w:t>红细胞压积（Hct）对全血样本影响</w:t>
      </w:r>
      <w:r>
        <w:rPr>
          <w:rFonts w:ascii="Times New Roman" w:hAnsi="Times New Roman" w:eastAsia="仿宋_GB2312"/>
          <w:sz w:val="32"/>
          <w:szCs w:val="32"/>
          <w:highlight w:val="none"/>
        </w:rPr>
        <w:t>等</w:t>
      </w:r>
      <w:r>
        <w:rPr>
          <w:rFonts w:hint="eastAsia" w:ascii="Times New Roman" w:hAnsi="Times New Roman" w:eastAsia="仿宋_GB2312"/>
          <w:sz w:val="32"/>
          <w:szCs w:val="32"/>
          <w:highlight w:val="none"/>
          <w:lang w:val="en-US" w:eastAsia="zh-CN"/>
        </w:rPr>
        <w:t>因素</w:t>
      </w:r>
      <w:r>
        <w:rPr>
          <w:rFonts w:ascii="Times New Roman" w:hAnsi="Times New Roman" w:eastAsia="仿宋_GB2312"/>
          <w:sz w:val="32"/>
          <w:szCs w:val="32"/>
          <w:highlight w:val="none"/>
        </w:rPr>
        <w:t>对产品测定结果的影响。</w:t>
      </w:r>
      <w:r>
        <w:rPr>
          <w:rFonts w:ascii="Times New Roman" w:hAnsi="Times New Roman" w:eastAsia="仿宋_GB2312"/>
          <w:kern w:val="0"/>
          <w:sz w:val="32"/>
          <w:szCs w:val="32"/>
          <w:highlight w:val="none"/>
        </w:rPr>
        <w:t>内源干扰物</w:t>
      </w:r>
      <w:r>
        <w:rPr>
          <w:rFonts w:hint="eastAsia" w:ascii="Times New Roman" w:hAnsi="Times New Roman" w:eastAsia="仿宋_GB2312"/>
          <w:bCs w:val="0"/>
          <w:sz w:val="32"/>
          <w:szCs w:val="32"/>
          <w:highlight w:val="none"/>
          <w:lang w:val="en-US" w:eastAsia="zh-CN"/>
        </w:rPr>
        <w:t>主要包括：</w:t>
      </w:r>
      <w:r>
        <w:rPr>
          <w:rFonts w:ascii="Times New Roman" w:hAnsi="Times New Roman" w:eastAsia="仿宋_GB2312"/>
          <w:bCs w:val="0"/>
          <w:sz w:val="32"/>
          <w:szCs w:val="32"/>
          <w:highlight w:val="none"/>
        </w:rPr>
        <w:t>脂血（甘油三酯）、黄疸（胆红素）、溶血（血红蛋白）、</w:t>
      </w:r>
      <w:r>
        <w:rPr>
          <w:rFonts w:hint="default" w:ascii="Times New Roman" w:hAnsi="Times New Roman" w:eastAsia="仿宋_GB2312"/>
          <w:bCs w:val="0"/>
          <w:sz w:val="32"/>
          <w:szCs w:val="32"/>
          <w:highlight w:val="none"/>
          <w:lang w:val="en-US" w:eastAsia="zh-CN"/>
        </w:rPr>
        <w:t>总蛋白、类风湿因子、</w:t>
      </w:r>
      <w:r>
        <w:rPr>
          <w:rFonts w:hint="default" w:ascii="Times New Roman" w:hAnsi="Times New Roman" w:eastAsia="仿宋_GB2312"/>
          <w:sz w:val="32"/>
          <w:szCs w:val="32"/>
          <w:highlight w:val="none"/>
        </w:rPr>
        <w:t xml:space="preserve">异嗜性抗体 </w:t>
      </w:r>
      <w:r>
        <w:rPr>
          <w:rFonts w:hint="default" w:ascii="Times New Roman" w:hAnsi="Times New Roman" w:eastAsia="仿宋_GB2312"/>
          <w:sz w:val="32"/>
          <w:szCs w:val="32"/>
          <w:highlight w:val="none"/>
          <w:lang w:eastAsia="zh-CN"/>
        </w:rPr>
        <w:t>、</w:t>
      </w:r>
      <w:r>
        <w:rPr>
          <w:rFonts w:hint="default" w:ascii="Times New Roman" w:hAnsi="Times New Roman" w:eastAsia="仿宋_GB2312"/>
          <w:sz w:val="32"/>
          <w:szCs w:val="32"/>
          <w:highlight w:val="none"/>
        </w:rPr>
        <w:t>人抗鼠抗体</w:t>
      </w:r>
      <w:r>
        <w:rPr>
          <w:rFonts w:ascii="Times New Roman" w:hAnsi="Times New Roman" w:eastAsia="仿宋_GB2312"/>
          <w:sz w:val="32"/>
          <w:szCs w:val="32"/>
          <w:highlight w:val="none"/>
        </w:rPr>
        <w:t>等</w:t>
      </w:r>
      <w:r>
        <w:rPr>
          <w:rFonts w:hint="eastAsia" w:ascii="Times New Roman" w:hAnsi="Times New Roman" w:eastAsia="仿宋_GB2312"/>
          <w:sz w:val="32"/>
          <w:szCs w:val="32"/>
          <w:highlight w:val="none"/>
          <w:lang w:eastAsia="zh-CN"/>
        </w:rPr>
        <w:t>；</w:t>
      </w:r>
      <w:r>
        <w:rPr>
          <w:rFonts w:hint="default" w:ascii="Times New Roman" w:hAnsi="Times New Roman" w:eastAsia="仿宋_GB2312"/>
          <w:sz w:val="32"/>
          <w:szCs w:val="32"/>
          <w:highlight w:val="none"/>
          <w:lang w:val="en-US" w:eastAsia="zh-CN"/>
        </w:rPr>
        <w:t>外源性干扰</w:t>
      </w:r>
      <w:r>
        <w:rPr>
          <w:rFonts w:ascii="Times New Roman" w:hAnsi="Times New Roman" w:eastAsia="仿宋_GB2312"/>
          <w:kern w:val="0"/>
          <w:sz w:val="32"/>
          <w:szCs w:val="32"/>
          <w:highlight w:val="none"/>
        </w:rPr>
        <w:t>物</w:t>
      </w:r>
      <w:r>
        <w:rPr>
          <w:rFonts w:hint="eastAsia" w:ascii="Times New Roman" w:hAnsi="Times New Roman" w:eastAsia="仿宋_GB2312"/>
          <w:kern w:val="0"/>
          <w:sz w:val="32"/>
          <w:szCs w:val="32"/>
          <w:highlight w:val="none"/>
          <w:lang w:val="en-US" w:eastAsia="zh-CN"/>
        </w:rPr>
        <w:t>主要包括</w:t>
      </w:r>
      <w:r>
        <w:rPr>
          <w:rFonts w:hint="eastAsia" w:ascii="Times New Roman" w:hAnsi="Times New Roman" w:eastAsia="仿宋_GB2312"/>
          <w:kern w:val="0"/>
          <w:sz w:val="32"/>
          <w:szCs w:val="32"/>
          <w:highlight w:val="none"/>
          <w:lang w:val="en-US" w:eastAsia="zh-CN"/>
        </w:rPr>
        <w:t>：</w:t>
      </w:r>
      <w:r>
        <w:rPr>
          <w:rFonts w:ascii="Times New Roman" w:hAnsi="Times New Roman" w:eastAsia="仿宋_GB2312"/>
          <w:kern w:val="0"/>
          <w:sz w:val="32"/>
          <w:szCs w:val="32"/>
          <w:highlight w:val="none"/>
        </w:rPr>
        <w:t>样本添加剂（如抗凝剂）</w:t>
      </w:r>
      <w:r>
        <w:rPr>
          <w:rFonts w:hint="default" w:ascii="Times New Roman" w:hAnsi="Times New Roman" w:eastAsia="仿宋_GB2312"/>
          <w:sz w:val="32"/>
          <w:szCs w:val="32"/>
          <w:highlight w:val="none"/>
          <w:lang w:eastAsia="zh-CN"/>
        </w:rPr>
        <w:t>、</w:t>
      </w:r>
      <w:r>
        <w:rPr>
          <w:rFonts w:hint="eastAsia" w:ascii="Times New Roman" w:hAnsi="Times New Roman" w:eastAsia="仿宋_GB2312"/>
          <w:sz w:val="32"/>
          <w:szCs w:val="32"/>
          <w:lang w:val="en-US" w:eastAsia="zh-CN"/>
        </w:rPr>
        <w:t>干扰</w:t>
      </w:r>
      <w:r>
        <w:rPr>
          <w:rFonts w:hint="eastAsia" w:ascii="Times New Roman" w:hAnsi="Times New Roman" w:eastAsia="仿宋_GB2312"/>
          <w:sz w:val="32"/>
          <w:szCs w:val="32"/>
        </w:rPr>
        <w:t>药</w:t>
      </w:r>
      <w:r>
        <w:rPr>
          <w:rFonts w:hint="eastAsia" w:ascii="Times New Roman" w:hAnsi="Times New Roman" w:eastAsia="仿宋_GB2312"/>
          <w:sz w:val="32"/>
          <w:szCs w:val="32"/>
          <w:lang w:val="en-US" w:eastAsia="zh-CN"/>
        </w:rPr>
        <w:t>物</w:t>
      </w:r>
      <w:r>
        <w:rPr>
          <w:rFonts w:hint="eastAsia" w:ascii="Times New Roman" w:hAnsi="Times New Roman" w:eastAsia="仿宋_GB2312"/>
          <w:sz w:val="32"/>
          <w:szCs w:val="32"/>
        </w:rPr>
        <w:t>（如</w:t>
      </w:r>
      <w:r>
        <w:rPr>
          <w:rFonts w:hint="eastAsia" w:ascii="Times New Roman" w:hAnsi="Times New Roman" w:eastAsia="仿宋_GB2312"/>
          <w:sz w:val="32"/>
          <w:szCs w:val="32"/>
          <w:highlight w:val="none"/>
        </w:rPr>
        <w:t>生物素</w:t>
      </w:r>
      <w:r>
        <w:rPr>
          <w:rFonts w:hint="eastAsia" w:ascii="Times New Roman" w:hAnsi="Times New Roman" w:eastAsia="仿宋_GB2312"/>
          <w:sz w:val="32"/>
          <w:szCs w:val="32"/>
          <w:highlight w:val="none"/>
          <w:lang w:eastAsia="zh-CN"/>
        </w:rPr>
        <w:t>、福善美、β-雌二醇、β-雌二醇-3-硫酸、青霉素、</w:t>
      </w:r>
      <w:r>
        <w:rPr>
          <w:rFonts w:hint="eastAsia" w:ascii="Times New Roman" w:hAnsi="Times New Roman" w:eastAsia="仿宋_GB2312"/>
          <w:sz w:val="32"/>
          <w:szCs w:val="32"/>
          <w:highlight w:val="none"/>
          <w:lang w:val="en-US" w:eastAsia="zh-CN"/>
        </w:rPr>
        <w:t>西那卡塞）</w:t>
      </w:r>
      <w:r>
        <w:rPr>
          <w:rFonts w:hint="default" w:ascii="Times New Roman" w:hAnsi="Times New Roman" w:eastAsia="仿宋_GB2312"/>
          <w:kern w:val="0"/>
          <w:sz w:val="32"/>
          <w:szCs w:val="32"/>
          <w:highlight w:val="none"/>
          <w:lang w:val="en-US" w:eastAsia="zh-CN"/>
        </w:rPr>
        <w:t>等</w:t>
      </w:r>
      <w:r>
        <w:rPr>
          <w:rFonts w:ascii="Times New Roman" w:hAnsi="Times New Roman" w:eastAsia="仿宋_GB2312"/>
          <w:sz w:val="32"/>
          <w:szCs w:val="32"/>
          <w:highlight w:val="none"/>
        </w:rPr>
        <w:t>干扰因素</w:t>
      </w:r>
      <w:r>
        <w:rPr>
          <w:rFonts w:hint="eastAsia" w:ascii="Times New Roman" w:hAnsi="Times New Roman" w:eastAsia="仿宋_GB2312"/>
          <w:sz w:val="32"/>
          <w:szCs w:val="32"/>
          <w:highlight w:val="none"/>
        </w:rPr>
        <w:t>。</w:t>
      </w:r>
    </w:p>
    <w:p w14:paraId="02CF5164">
      <w:pPr>
        <w:pStyle w:val="26"/>
        <w:autoSpaceDE/>
        <w:autoSpaceDN/>
        <w:snapToGrid w:val="0"/>
        <w:spacing w:line="520" w:lineRule="exact"/>
        <w:ind w:firstLine="640"/>
        <w:rPr>
          <w:rFonts w:hint="eastAsia" w:ascii="Times New Roman" w:hAnsi="Times New Roman" w:eastAsia="仿宋_GB2312"/>
          <w:sz w:val="32"/>
          <w:szCs w:val="32"/>
          <w:highlight w:val="none"/>
        </w:rPr>
      </w:pPr>
      <w:r>
        <w:rPr>
          <w:rFonts w:ascii="Times New Roman" w:hAnsi="Times New Roman" w:eastAsia="仿宋_GB2312"/>
          <w:sz w:val="32"/>
          <w:szCs w:val="32"/>
          <w:highlight w:val="none"/>
        </w:rPr>
        <w:t>4.</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 xml:space="preserve">8.2交叉反应 </w:t>
      </w:r>
    </w:p>
    <w:p w14:paraId="35D4460A">
      <w:pPr>
        <w:pStyle w:val="26"/>
        <w:autoSpaceDE/>
        <w:autoSpaceDN/>
        <w:snapToGrid w:val="0"/>
        <w:spacing w:line="520" w:lineRule="exact"/>
        <w:ind w:firstLine="640"/>
        <w:rPr>
          <w:rFonts w:hint="eastAsia" w:ascii="Times New Roman" w:hAnsi="Times New Roman" w:eastAsia="仿宋_GB2312" w:cs="Times New Roman"/>
          <w:sz w:val="32"/>
          <w:szCs w:val="32"/>
          <w:highlight w:val="none"/>
        </w:rPr>
      </w:pPr>
    </w:p>
    <w:p w14:paraId="2314DD74">
      <w:pPr>
        <w:pStyle w:val="5"/>
        <w:spacing w:line="520" w:lineRule="exact"/>
        <w:jc w:val="center"/>
        <w:rPr>
          <w:rFonts w:ascii="Times New Roman" w:hAnsi="Times New Roman" w:cs="黑体"/>
          <w:sz w:val="28"/>
          <w:szCs w:val="28"/>
          <w:highlight w:val="none"/>
        </w:rPr>
      </w:pPr>
      <w:r>
        <w:rPr>
          <w:rFonts w:hint="eastAsia" w:ascii="Times New Roman" w:hAnsi="Times New Roman" w:cs="黑体"/>
          <w:sz w:val="28"/>
          <w:szCs w:val="28"/>
          <w:highlight w:val="none"/>
        </w:rPr>
        <w:t>表1 交叉反应的物质及实验浓度</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3470"/>
        <w:gridCol w:w="3821"/>
      </w:tblGrid>
      <w:tr w14:paraId="174C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shd w:val="clear" w:color="auto" w:fill="auto"/>
            <w:vAlign w:val="center"/>
          </w:tcPr>
          <w:p w14:paraId="77FFF59E">
            <w:pPr>
              <w:autoSpaceDE/>
              <w:spacing w:line="520" w:lineRule="exact"/>
              <w:jc w:val="center"/>
              <w:rPr>
                <w:rFonts w:ascii="Times New Roman" w:hAnsi="Times New Roman" w:eastAsia="仿宋_GB2312" w:cs="仿宋_GB2312"/>
                <w:kern w:val="0"/>
                <w:sz w:val="28"/>
                <w:szCs w:val="28"/>
                <w:highlight w:val="none"/>
              </w:rPr>
            </w:pPr>
            <w:r>
              <w:rPr>
                <w:rFonts w:hint="eastAsia" w:ascii="Times New Roman" w:hAnsi="Times New Roman" w:eastAsia="仿宋_GB2312" w:cs="仿宋_GB2312"/>
                <w:sz w:val="28"/>
                <w:szCs w:val="28"/>
                <w:highlight w:val="none"/>
              </w:rPr>
              <w:t>序号</w:t>
            </w:r>
          </w:p>
        </w:tc>
        <w:tc>
          <w:tcPr>
            <w:tcW w:w="3510" w:type="dxa"/>
            <w:shd w:val="clear" w:color="auto" w:fill="auto"/>
            <w:vAlign w:val="center"/>
          </w:tcPr>
          <w:p w14:paraId="199C1522">
            <w:pPr>
              <w:autoSpaceDE/>
              <w:spacing w:line="520" w:lineRule="exact"/>
              <w:jc w:val="center"/>
              <w:rPr>
                <w:rFonts w:ascii="Times New Roman" w:hAnsi="Times New Roman" w:eastAsia="仿宋_GB2312" w:cs="仿宋_GB2312"/>
                <w:kern w:val="0"/>
                <w:sz w:val="28"/>
                <w:szCs w:val="28"/>
                <w:highlight w:val="none"/>
              </w:rPr>
            </w:pPr>
            <w:r>
              <w:rPr>
                <w:rFonts w:hint="eastAsia" w:ascii="Times New Roman" w:hAnsi="Times New Roman" w:eastAsia="仿宋_GB2312" w:cs="仿宋_GB2312"/>
                <w:sz w:val="28"/>
                <w:szCs w:val="28"/>
                <w:highlight w:val="none"/>
              </w:rPr>
              <w:t>交叉物质</w:t>
            </w:r>
          </w:p>
        </w:tc>
        <w:tc>
          <w:tcPr>
            <w:tcW w:w="3877" w:type="dxa"/>
            <w:shd w:val="clear" w:color="auto" w:fill="auto"/>
            <w:vAlign w:val="center"/>
          </w:tcPr>
          <w:p w14:paraId="1B54A8B0">
            <w:pPr>
              <w:autoSpaceDE/>
              <w:spacing w:line="520" w:lineRule="exact"/>
              <w:jc w:val="center"/>
              <w:rPr>
                <w:rFonts w:ascii="Times New Roman" w:hAnsi="Times New Roman" w:eastAsia="仿宋_GB2312" w:cs="仿宋_GB2312"/>
                <w:kern w:val="0"/>
                <w:sz w:val="28"/>
                <w:szCs w:val="28"/>
                <w:highlight w:val="none"/>
              </w:rPr>
            </w:pPr>
            <w:r>
              <w:rPr>
                <w:rFonts w:hint="eastAsia" w:ascii="Times New Roman" w:hAnsi="Times New Roman" w:eastAsia="仿宋_GB2312" w:cs="仿宋_GB2312"/>
                <w:sz w:val="28"/>
                <w:szCs w:val="28"/>
                <w:highlight w:val="none"/>
              </w:rPr>
              <w:t>参考值（实验浓度）</w:t>
            </w:r>
          </w:p>
        </w:tc>
      </w:tr>
      <w:tr w14:paraId="37B9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shd w:val="clear" w:color="auto" w:fill="auto"/>
            <w:vAlign w:val="center"/>
          </w:tcPr>
          <w:p w14:paraId="35348FC2">
            <w:pPr>
              <w:autoSpaceDE/>
              <w:spacing w:line="520" w:lineRule="exact"/>
              <w:jc w:val="center"/>
              <w:rPr>
                <w:rFonts w:ascii="Times New Roman" w:hAnsi="Times New Roman" w:eastAsia="仿宋_GB2312" w:cs="仿宋_GB2312"/>
                <w:sz w:val="28"/>
                <w:szCs w:val="28"/>
                <w:highlight w:val="none"/>
              </w:rPr>
            </w:pPr>
            <w:r>
              <w:rPr>
                <w:rFonts w:hint="eastAsia" w:ascii="Times New Roman" w:hAnsi="Times New Roman" w:eastAsia="仿宋_GB2312" w:cs="仿宋_GB2312"/>
                <w:sz w:val="28"/>
                <w:szCs w:val="28"/>
                <w:highlight w:val="none"/>
              </w:rPr>
              <w:t>1</w:t>
            </w:r>
          </w:p>
        </w:tc>
        <w:tc>
          <w:tcPr>
            <w:tcW w:w="3510" w:type="dxa"/>
            <w:shd w:val="clear" w:color="auto" w:fill="auto"/>
            <w:vAlign w:val="center"/>
          </w:tcPr>
          <w:p w14:paraId="48E3F89B">
            <w:pPr>
              <w:autoSpaceDE/>
              <w:spacing w:line="520" w:lineRule="exact"/>
              <w:jc w:val="center"/>
              <w:rPr>
                <w:rFonts w:hint="eastAsia" w:ascii="Times New Roman" w:hAnsi="Times New Roman" w:eastAsia="仿宋_GB2312" w:cs="仿宋_GB2312"/>
                <w:sz w:val="28"/>
                <w:szCs w:val="28"/>
                <w:highlight w:val="none"/>
                <w:lang w:eastAsia="zh-CN"/>
              </w:rPr>
            </w:pPr>
            <w:r>
              <w:rPr>
                <w:rFonts w:hint="eastAsia" w:ascii="Times New Roman" w:hAnsi="Times New Roman" w:eastAsia="仿宋_GB2312" w:cs="仿宋_GB2312"/>
                <w:sz w:val="28"/>
                <w:szCs w:val="28"/>
                <w:highlight w:val="none"/>
                <w:lang w:val="en-US" w:eastAsia="zh-CN"/>
              </w:rPr>
              <w:t>PTH（1-34）</w:t>
            </w:r>
          </w:p>
        </w:tc>
        <w:tc>
          <w:tcPr>
            <w:tcW w:w="3877" w:type="dxa"/>
            <w:shd w:val="clear" w:color="auto" w:fill="auto"/>
            <w:vAlign w:val="center"/>
          </w:tcPr>
          <w:p w14:paraId="3C824EE4">
            <w:pPr>
              <w:autoSpaceDE/>
              <w:spacing w:line="520" w:lineRule="exact"/>
              <w:jc w:val="center"/>
              <w:rPr>
                <w:rFonts w:ascii="Times New Roman" w:hAnsi="Times New Roman" w:eastAsia="仿宋_GB2312" w:cs="仿宋_GB2312"/>
                <w:sz w:val="28"/>
                <w:szCs w:val="28"/>
                <w:highlight w:val="none"/>
              </w:rPr>
            </w:pPr>
            <w:r>
              <w:rPr>
                <w:rFonts w:hint="eastAsia" w:ascii="Times New Roman" w:hAnsi="Times New Roman" w:eastAsia="仿宋_GB2312" w:cs="仿宋_GB2312"/>
                <w:sz w:val="28"/>
                <w:szCs w:val="28"/>
                <w:highlight w:val="none"/>
                <w:lang w:val="en-US" w:eastAsia="zh-CN"/>
              </w:rPr>
              <w:t>10000 pg/mL</w:t>
            </w:r>
          </w:p>
        </w:tc>
      </w:tr>
      <w:tr w14:paraId="3865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shd w:val="clear" w:color="auto" w:fill="auto"/>
            <w:vAlign w:val="center"/>
          </w:tcPr>
          <w:p w14:paraId="5A982F69">
            <w:pPr>
              <w:autoSpaceDE/>
              <w:spacing w:line="520" w:lineRule="exact"/>
              <w:jc w:val="center"/>
              <w:rPr>
                <w:rFonts w:ascii="Times New Roman" w:hAnsi="Times New Roman" w:eastAsia="仿宋_GB2312" w:cs="仿宋_GB2312"/>
                <w:sz w:val="28"/>
                <w:szCs w:val="28"/>
                <w:highlight w:val="none"/>
              </w:rPr>
            </w:pPr>
            <w:r>
              <w:rPr>
                <w:rFonts w:hint="eastAsia" w:ascii="Times New Roman" w:hAnsi="Times New Roman" w:eastAsia="仿宋_GB2312" w:cs="仿宋_GB2312"/>
                <w:sz w:val="28"/>
                <w:szCs w:val="28"/>
                <w:highlight w:val="none"/>
              </w:rPr>
              <w:t>2</w:t>
            </w:r>
          </w:p>
        </w:tc>
        <w:tc>
          <w:tcPr>
            <w:tcW w:w="3510" w:type="dxa"/>
            <w:shd w:val="clear" w:color="auto" w:fill="auto"/>
            <w:vAlign w:val="center"/>
          </w:tcPr>
          <w:p w14:paraId="3D626B9D">
            <w:pPr>
              <w:autoSpaceDE/>
              <w:spacing w:line="520" w:lineRule="exact"/>
              <w:jc w:val="center"/>
              <w:rPr>
                <w:rFonts w:ascii="Times New Roman" w:hAnsi="Times New Roman" w:eastAsia="仿宋_GB2312" w:cs="仿宋_GB2312"/>
                <w:sz w:val="28"/>
                <w:szCs w:val="28"/>
                <w:highlight w:val="none"/>
              </w:rPr>
            </w:pPr>
            <w:r>
              <w:rPr>
                <w:rFonts w:hint="eastAsia" w:ascii="Times New Roman" w:hAnsi="Times New Roman" w:eastAsia="仿宋_GB2312" w:cs="仿宋_GB2312"/>
                <w:sz w:val="28"/>
                <w:szCs w:val="28"/>
                <w:highlight w:val="none"/>
                <w:lang w:val="en-US" w:eastAsia="zh-CN"/>
              </w:rPr>
              <w:t>PTH（39-84）</w:t>
            </w:r>
          </w:p>
        </w:tc>
        <w:tc>
          <w:tcPr>
            <w:tcW w:w="3877" w:type="dxa"/>
            <w:shd w:val="clear" w:color="auto" w:fill="auto"/>
            <w:vAlign w:val="center"/>
          </w:tcPr>
          <w:p w14:paraId="4FC343AE">
            <w:pPr>
              <w:autoSpaceDE/>
              <w:spacing w:line="520" w:lineRule="exact"/>
              <w:jc w:val="center"/>
              <w:rPr>
                <w:rFonts w:hint="default" w:ascii="Times New Roman" w:hAnsi="Times New Roman" w:eastAsia="仿宋_GB2312" w:cs="仿宋_GB2312"/>
                <w:sz w:val="28"/>
                <w:szCs w:val="28"/>
                <w:highlight w:val="none"/>
                <w:lang w:val="en-US" w:eastAsia="zh-CN"/>
              </w:rPr>
            </w:pPr>
            <w:r>
              <w:rPr>
                <w:rFonts w:hint="eastAsia" w:ascii="Times New Roman" w:hAnsi="Times New Roman" w:eastAsia="仿宋_GB2312" w:cs="仿宋_GB2312"/>
                <w:sz w:val="28"/>
                <w:szCs w:val="28"/>
                <w:highlight w:val="none"/>
                <w:lang w:val="en-US" w:eastAsia="zh-CN"/>
              </w:rPr>
              <w:t>10000 pg/mL</w:t>
            </w:r>
          </w:p>
        </w:tc>
      </w:tr>
    </w:tbl>
    <w:p w14:paraId="09638BCB">
      <w:pPr>
        <w:spacing w:line="520" w:lineRule="exact"/>
        <w:ind w:firstLine="640" w:firstLineChars="20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注：以上参考值仅作参考。（不同企业交叉物质浓度单位不同）</w:t>
      </w:r>
    </w:p>
    <w:p w14:paraId="314C6395">
      <w:pPr>
        <w:spacing w:line="520" w:lineRule="exact"/>
        <w:ind w:firstLine="640" w:firstLineChars="200"/>
        <w:rPr>
          <w:rFonts w:hint="eastAsia" w:ascii="Times New Roman" w:hAnsi="Times New Roman" w:eastAsia="仿宋_GB2312"/>
          <w:sz w:val="32"/>
          <w:szCs w:val="32"/>
          <w:highlight w:val="none"/>
        </w:rPr>
      </w:pPr>
    </w:p>
    <w:p w14:paraId="678F9AE3">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交叉反应研究需</w:t>
      </w:r>
      <w:r>
        <w:rPr>
          <w:rFonts w:ascii="Times New Roman" w:hAnsi="Times New Roman" w:eastAsia="仿宋_GB2312"/>
          <w:sz w:val="32"/>
          <w:szCs w:val="32"/>
          <w:highlight w:val="none"/>
        </w:rPr>
        <w:t>对</w:t>
      </w:r>
      <w:r>
        <w:rPr>
          <w:rFonts w:hint="eastAsia" w:ascii="Times New Roman" w:hAnsi="Times New Roman" w:eastAsia="仿宋_GB2312"/>
          <w:sz w:val="32"/>
          <w:szCs w:val="32"/>
          <w:highlight w:val="none"/>
        </w:rPr>
        <w:t>可能的交叉反应物质进行检测，对检测结果设定合理的接受范围，如果超出接受范围，可认为该物质产生交叉反应，应评估该物质浓度与交叉程度之间的关系。如检测结果在接受范围内，可认为该浓度的物质不产生交叉反应，应明确不产生交叉反应的物质浓度上限。</w:t>
      </w:r>
    </w:p>
    <w:p w14:paraId="17938817">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本产品常见的交叉反应物质如</w:t>
      </w:r>
      <w:r>
        <w:rPr>
          <w:rFonts w:hint="eastAsia" w:ascii="Times New Roman" w:hAnsi="Times New Roman" w:eastAsia="仿宋_GB2312" w:cs="仿宋_GB2312"/>
          <w:sz w:val="28"/>
          <w:szCs w:val="28"/>
          <w:highlight w:val="none"/>
          <w:lang w:val="en-US" w:eastAsia="zh-CN"/>
        </w:rPr>
        <w:t>PTH（1-34）、PTH（39-84）</w:t>
      </w:r>
      <w:r>
        <w:rPr>
          <w:rFonts w:hint="eastAsia" w:ascii="Times New Roman" w:hAnsi="Times New Roman" w:eastAsia="仿宋_GB2312"/>
          <w:sz w:val="32"/>
          <w:szCs w:val="32"/>
          <w:highlight w:val="none"/>
        </w:rPr>
        <w:t>等，实验浓度可参考表1。申请人也可选择其他抗体物质开展交叉试验。</w:t>
      </w:r>
    </w:p>
    <w:p w14:paraId="2CCE3218">
      <w:pPr>
        <w:spacing w:line="520" w:lineRule="exact"/>
        <w:ind w:firstLine="640" w:firstLineChars="200"/>
        <w:outlineLvl w:val="3"/>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4.</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9测量区间及可报告区间</w:t>
      </w:r>
    </w:p>
    <w:p w14:paraId="6F359B23">
      <w:pPr>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4.</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9.1线性区间及测量区间</w:t>
      </w:r>
    </w:p>
    <w:p w14:paraId="28DC4FCD">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线性区间</w:t>
      </w:r>
      <w:r>
        <w:rPr>
          <w:rFonts w:ascii="Times New Roman" w:hAnsi="Times New Roman" w:eastAsia="仿宋_GB2312"/>
          <w:sz w:val="32"/>
          <w:szCs w:val="32"/>
          <w:highlight w:val="none"/>
        </w:rPr>
        <w:t>的研究，需</w:t>
      </w:r>
      <w:r>
        <w:rPr>
          <w:rFonts w:hint="eastAsia" w:ascii="Times New Roman" w:hAnsi="Times New Roman" w:eastAsia="仿宋_GB2312"/>
          <w:sz w:val="32"/>
          <w:szCs w:val="32"/>
          <w:highlight w:val="none"/>
        </w:rPr>
        <w:t>采用高值和零</w:t>
      </w:r>
      <w:r>
        <w:rPr>
          <w:rFonts w:ascii="Times New Roman" w:hAnsi="Times New Roman" w:eastAsia="仿宋_GB2312"/>
          <w:sz w:val="32"/>
          <w:szCs w:val="32"/>
          <w:highlight w:val="none"/>
        </w:rPr>
        <w:t>浓度</w:t>
      </w:r>
      <w:r>
        <w:rPr>
          <w:rFonts w:hint="eastAsia" w:ascii="Times New Roman" w:hAnsi="Times New Roman" w:eastAsia="仿宋_GB2312"/>
          <w:sz w:val="32"/>
          <w:szCs w:val="32"/>
          <w:highlight w:val="none"/>
        </w:rPr>
        <w:t>/低值样本配制一系列</w:t>
      </w:r>
      <w:r>
        <w:rPr>
          <w:rFonts w:ascii="Times New Roman" w:hAnsi="Times New Roman" w:eastAsia="仿宋_GB2312"/>
          <w:sz w:val="32"/>
          <w:szCs w:val="32"/>
          <w:highlight w:val="none"/>
        </w:rPr>
        <w:t>不同浓度的样本</w:t>
      </w:r>
      <w:r>
        <w:rPr>
          <w:rFonts w:hint="eastAsia" w:ascii="Times New Roman" w:hAnsi="Times New Roman" w:eastAsia="仿宋_GB2312"/>
          <w:sz w:val="32"/>
          <w:szCs w:val="32"/>
          <w:highlight w:val="none"/>
        </w:rPr>
        <w:t>，包括建立和验证两个过程</w:t>
      </w:r>
      <w:r>
        <w:rPr>
          <w:rFonts w:ascii="Times New Roman" w:hAnsi="Times New Roman" w:eastAsia="仿宋_GB2312"/>
          <w:sz w:val="32"/>
          <w:szCs w:val="32"/>
          <w:highlight w:val="none"/>
        </w:rPr>
        <w:t>。</w:t>
      </w:r>
    </w:p>
    <w:p w14:paraId="131D009F">
      <w:pPr>
        <w:spacing w:line="520" w:lineRule="exact"/>
        <w:ind w:firstLine="640" w:firstLineChars="200"/>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建立试剂的线性区间时，需配制较预期线性区间更宽的9个左右不同浓度的样本（不</w:t>
      </w:r>
      <w:r>
        <w:rPr>
          <w:rFonts w:ascii="Times New Roman" w:hAnsi="Times New Roman" w:eastAsia="仿宋_GB2312"/>
          <w:sz w:val="32"/>
          <w:szCs w:val="32"/>
          <w:highlight w:val="none"/>
        </w:rPr>
        <w:t>包括</w:t>
      </w:r>
      <w:r>
        <w:rPr>
          <w:rFonts w:hint="eastAsia" w:ascii="Times New Roman" w:hAnsi="Times New Roman" w:eastAsia="仿宋_GB2312"/>
          <w:sz w:val="32"/>
          <w:szCs w:val="32"/>
          <w:highlight w:val="none"/>
        </w:rPr>
        <w:t>零</w:t>
      </w:r>
      <w:r>
        <w:rPr>
          <w:rFonts w:ascii="Times New Roman" w:hAnsi="Times New Roman" w:eastAsia="仿宋_GB2312"/>
          <w:sz w:val="32"/>
          <w:szCs w:val="32"/>
          <w:highlight w:val="none"/>
        </w:rPr>
        <w:t>浓度</w:t>
      </w:r>
      <w:r>
        <w:rPr>
          <w:rFonts w:hint="eastAsia" w:ascii="Times New Roman" w:hAnsi="Times New Roman" w:eastAsia="仿宋_GB2312"/>
          <w:sz w:val="32"/>
          <w:szCs w:val="32"/>
          <w:highlight w:val="none"/>
        </w:rPr>
        <w:t>样本），每个样本进行</w:t>
      </w:r>
      <w:r>
        <w:rPr>
          <w:rFonts w:ascii="Times New Roman" w:hAnsi="Times New Roman" w:eastAsia="仿宋_GB2312"/>
          <w:sz w:val="32"/>
          <w:szCs w:val="32"/>
          <w:highlight w:val="none"/>
        </w:rPr>
        <w:t>多次</w:t>
      </w:r>
      <w:r>
        <w:rPr>
          <w:rFonts w:hint="eastAsia" w:ascii="Times New Roman" w:hAnsi="Times New Roman" w:eastAsia="仿宋_GB2312"/>
          <w:sz w:val="32"/>
          <w:szCs w:val="32"/>
          <w:highlight w:val="none"/>
        </w:rPr>
        <w:t>重复检测，</w:t>
      </w:r>
      <w:r>
        <w:rPr>
          <w:rFonts w:ascii="Times New Roman" w:hAnsi="Times New Roman" w:eastAsia="仿宋_GB2312"/>
          <w:sz w:val="32"/>
          <w:szCs w:val="32"/>
          <w:highlight w:val="none"/>
        </w:rPr>
        <w:t>根据可接受线性偏差和各浓度的重复性，确定</w:t>
      </w:r>
      <w:r>
        <w:rPr>
          <w:rFonts w:hint="eastAsia" w:ascii="Times New Roman" w:hAnsi="Times New Roman" w:eastAsia="仿宋_GB2312"/>
          <w:sz w:val="32"/>
          <w:szCs w:val="32"/>
          <w:highlight w:val="none"/>
        </w:rPr>
        <w:t>检测</w:t>
      </w:r>
      <w:r>
        <w:rPr>
          <w:rFonts w:ascii="Times New Roman" w:hAnsi="Times New Roman" w:eastAsia="仿宋_GB2312"/>
          <w:sz w:val="32"/>
          <w:szCs w:val="32"/>
          <w:highlight w:val="none"/>
        </w:rPr>
        <w:t>次数</w:t>
      </w:r>
      <w:r>
        <w:rPr>
          <w:rFonts w:hint="eastAsia" w:ascii="Times New Roman" w:hAnsi="Times New Roman" w:eastAsia="仿宋_GB2312"/>
          <w:sz w:val="32"/>
          <w:szCs w:val="32"/>
          <w:highlight w:val="none"/>
        </w:rPr>
        <w:t>。采用</w:t>
      </w:r>
      <w:r>
        <w:rPr>
          <w:rFonts w:ascii="Times New Roman" w:hAnsi="Times New Roman" w:eastAsia="仿宋_GB2312"/>
          <w:sz w:val="32"/>
          <w:szCs w:val="32"/>
          <w:highlight w:val="none"/>
        </w:rPr>
        <w:t>重复检测均值和</w:t>
      </w:r>
      <w:r>
        <w:rPr>
          <w:rFonts w:hint="eastAsia" w:ascii="Times New Roman" w:hAnsi="Times New Roman" w:eastAsia="仿宋_GB2312"/>
          <w:sz w:val="32"/>
          <w:szCs w:val="32"/>
          <w:highlight w:val="none"/>
        </w:rPr>
        <w:t>预期</w:t>
      </w:r>
      <w:r>
        <w:rPr>
          <w:rFonts w:ascii="Times New Roman" w:hAnsi="Times New Roman" w:eastAsia="仿宋_GB2312"/>
          <w:sz w:val="32"/>
          <w:szCs w:val="32"/>
          <w:highlight w:val="none"/>
        </w:rPr>
        <w:t>值进行</w:t>
      </w:r>
      <w:r>
        <w:rPr>
          <w:rFonts w:hint="eastAsia" w:ascii="Times New Roman" w:hAnsi="Times New Roman" w:eastAsia="仿宋_GB2312"/>
          <w:sz w:val="32"/>
          <w:szCs w:val="32"/>
          <w:highlight w:val="none"/>
        </w:rPr>
        <w:t>直线</w:t>
      </w:r>
      <w:r>
        <w:rPr>
          <w:rFonts w:ascii="Times New Roman" w:hAnsi="Times New Roman" w:eastAsia="仿宋_GB2312"/>
          <w:sz w:val="32"/>
          <w:szCs w:val="32"/>
          <w:highlight w:val="none"/>
        </w:rPr>
        <w:t>回归分析，</w:t>
      </w:r>
      <w:r>
        <w:rPr>
          <w:rFonts w:hint="eastAsia" w:ascii="Times New Roman" w:hAnsi="Times New Roman" w:eastAsia="仿宋_GB2312"/>
          <w:sz w:val="32"/>
          <w:szCs w:val="32"/>
          <w:highlight w:val="none"/>
        </w:rPr>
        <w:t>建议</w:t>
      </w:r>
      <w:r>
        <w:rPr>
          <w:rFonts w:ascii="Times New Roman" w:hAnsi="Times New Roman" w:eastAsia="仿宋_GB2312"/>
          <w:sz w:val="32"/>
          <w:szCs w:val="32"/>
          <w:highlight w:val="none"/>
        </w:rPr>
        <w:t>采用加权最小二乘回归</w:t>
      </w:r>
      <w:r>
        <w:rPr>
          <w:rFonts w:hint="eastAsia" w:ascii="Times New Roman" w:hAnsi="Times New Roman" w:eastAsia="仿宋_GB2312"/>
          <w:sz w:val="32"/>
          <w:szCs w:val="32"/>
          <w:highlight w:val="none"/>
        </w:rPr>
        <w:t>等</w:t>
      </w:r>
      <w:r>
        <w:rPr>
          <w:rFonts w:ascii="Times New Roman" w:hAnsi="Times New Roman" w:eastAsia="仿宋_GB2312"/>
          <w:sz w:val="32"/>
          <w:szCs w:val="32"/>
          <w:highlight w:val="none"/>
        </w:rPr>
        <w:t>分析</w:t>
      </w:r>
      <w:r>
        <w:rPr>
          <w:rFonts w:hint="eastAsia" w:ascii="Times New Roman" w:hAnsi="Times New Roman" w:eastAsia="仿宋_GB2312"/>
          <w:sz w:val="32"/>
          <w:szCs w:val="32"/>
          <w:highlight w:val="none"/>
        </w:rPr>
        <w:t>方</w:t>
      </w:r>
      <w:r>
        <w:rPr>
          <w:rFonts w:ascii="Times New Roman" w:hAnsi="Times New Roman" w:eastAsia="仿宋_GB2312"/>
          <w:sz w:val="32"/>
          <w:szCs w:val="32"/>
          <w:highlight w:val="none"/>
        </w:rPr>
        <w:t>法</w:t>
      </w:r>
      <w:r>
        <w:rPr>
          <w:rFonts w:hint="eastAsia" w:ascii="Times New Roman" w:hAnsi="Times New Roman" w:eastAsia="仿宋_GB2312"/>
          <w:sz w:val="32"/>
          <w:szCs w:val="32"/>
          <w:highlight w:val="none"/>
        </w:rPr>
        <w:t>，提供散点图、</w:t>
      </w:r>
      <w:r>
        <w:rPr>
          <w:rFonts w:ascii="Times New Roman" w:hAnsi="Times New Roman" w:eastAsia="仿宋_GB2312"/>
          <w:sz w:val="32"/>
          <w:szCs w:val="32"/>
          <w:highlight w:val="none"/>
        </w:rPr>
        <w:t>线性回归方程</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线性相关系数</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r</w:t>
      </w:r>
      <w:r>
        <w:rPr>
          <w:rFonts w:hint="eastAsia" w:ascii="Times New Roman" w:hAnsi="Times New Roman" w:eastAsia="仿宋_GB2312"/>
          <w:sz w:val="32"/>
          <w:szCs w:val="32"/>
          <w:highlight w:val="none"/>
        </w:rPr>
        <w:t>）及</w:t>
      </w:r>
      <w:r>
        <w:rPr>
          <w:rFonts w:ascii="Times New Roman" w:hAnsi="Times New Roman" w:eastAsia="仿宋_GB2312"/>
          <w:sz w:val="32"/>
          <w:szCs w:val="32"/>
          <w:highlight w:val="none"/>
        </w:rPr>
        <w:t>线性偏差</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判断结果是否满足可接受标准。</w:t>
      </w:r>
      <w:r>
        <w:rPr>
          <w:rFonts w:hint="eastAsia" w:ascii="Times New Roman" w:hAnsi="Times New Roman" w:eastAsia="仿宋_GB2312"/>
          <w:sz w:val="32"/>
          <w:szCs w:val="32"/>
          <w:highlight w:val="none"/>
          <w:lang w:val="en-US" w:eastAsia="zh-CN"/>
        </w:rPr>
        <w:t>建议相关系数（r）应不低于0.9900。</w:t>
      </w:r>
    </w:p>
    <w:p w14:paraId="58CE7F78">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验证试剂的线性区间时，需配制覆盖整个线性区间的至少5个不同浓度的样本，每个样本至少重复检测2次。</w:t>
      </w:r>
    </w:p>
    <w:p w14:paraId="5909C424">
      <w:pPr>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4.</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9.</w:t>
      </w:r>
      <w:r>
        <w:rPr>
          <w:rFonts w:ascii="Times New Roman" w:hAnsi="Times New Roman" w:eastAsia="仿宋_GB2312"/>
          <w:sz w:val="32"/>
          <w:szCs w:val="32"/>
          <w:highlight w:val="none"/>
        </w:rPr>
        <w:t>2</w:t>
      </w:r>
      <w:r>
        <w:rPr>
          <w:rFonts w:hint="eastAsia" w:ascii="Times New Roman" w:hAnsi="Times New Roman" w:eastAsia="仿宋_GB2312"/>
          <w:sz w:val="32"/>
          <w:szCs w:val="32"/>
          <w:highlight w:val="none"/>
        </w:rPr>
        <w:t>扩展测量区间和可报告区间（如适用）</w:t>
      </w:r>
    </w:p>
    <w:p w14:paraId="14221489">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如对超出测量区间浓度的样本可进行稀释后检测，应研究合适的稀释液和稀释倍数，从而确定试剂的扩展测量区间和可报告区间。两者上限均为测量区间上限×稀释倍数，扩展测量区间的下限为测量区间上限，可报告区间下限为检出限。</w:t>
      </w:r>
    </w:p>
    <w:p w14:paraId="37B2D676">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4.</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10高剂量钩状效应（如适用）</w:t>
      </w:r>
    </w:p>
    <w:p w14:paraId="25B1689F">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检测含有极高浓度的待测抗体/抗原的样本</w:t>
      </w:r>
      <w:r>
        <w:rPr>
          <w:rFonts w:hint="eastAsia" w:ascii="Times New Roman" w:hAnsi="Times New Roman" w:eastAsia="仿宋_GB2312" w:cs="仿宋_GB2312"/>
          <w:kern w:val="0"/>
          <w:sz w:val="32"/>
          <w:szCs w:val="32"/>
          <w:highlight w:val="none"/>
        </w:rPr>
        <w:t>时，饱和反应可能导致检测浓度值低于真实值。建议对至少2个含有高浓度分析物的样本进行梯度稀释后由低浓度至高浓度检测，每个梯度的稀释液重复多份进行检测，明确不产生钩状效应的最高分析物浓度。</w:t>
      </w:r>
    </w:p>
    <w:p w14:paraId="64FA1C50">
      <w:pPr>
        <w:pStyle w:val="4"/>
        <w:spacing w:before="0" w:after="0" w:line="520" w:lineRule="exact"/>
        <w:ind w:left="630" w:leftChars="300"/>
        <w:contextualSpacing/>
        <w:rPr>
          <w:rFonts w:ascii="Times New Roman" w:hAnsi="Times New Roman" w:eastAsia="仿宋_GB2312"/>
          <w:highlight w:val="none"/>
        </w:rPr>
      </w:pPr>
      <w:r>
        <w:rPr>
          <w:rFonts w:ascii="Times New Roman" w:hAnsi="Times New Roman" w:eastAsia="仿宋_GB2312"/>
          <w:b w:val="0"/>
          <w:bCs w:val="0"/>
          <w:highlight w:val="none"/>
        </w:rPr>
        <w:t>5</w:t>
      </w:r>
      <w:r>
        <w:rPr>
          <w:rFonts w:hint="eastAsia" w:ascii="Times New Roman" w:hAnsi="Times New Roman" w:eastAsia="仿宋_GB2312"/>
          <w:b w:val="0"/>
          <w:bCs w:val="0"/>
          <w:highlight w:val="none"/>
        </w:rPr>
        <w:t>.</w:t>
      </w:r>
      <w:r>
        <w:rPr>
          <w:rFonts w:ascii="Times New Roman" w:hAnsi="Times New Roman" w:eastAsia="仿宋_GB2312"/>
          <w:b w:val="0"/>
          <w:bCs w:val="0"/>
          <w:highlight w:val="none"/>
        </w:rPr>
        <w:t>稳定性研究资料</w:t>
      </w:r>
    </w:p>
    <w:p w14:paraId="558FECFE">
      <w:pPr>
        <w:spacing w:line="520" w:lineRule="exact"/>
        <w:ind w:firstLine="640" w:firstLineChars="200"/>
        <w:contextualSpacing/>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申请人可参照《体外诊断试剂稳定性研究注册审查指导原则》的规定制定方案和开展研究</w:t>
      </w:r>
      <w:r>
        <w:rPr>
          <w:rFonts w:hint="eastAsia" w:ascii="Times New Roman" w:hAnsi="Times New Roman" w:eastAsia="仿宋_GB2312"/>
          <w:bCs/>
          <w:sz w:val="32"/>
          <w:szCs w:val="32"/>
          <w:highlight w:val="none"/>
          <w:lang w:eastAsia="zh-CN"/>
        </w:rPr>
        <w:t>。</w:t>
      </w:r>
      <w:r>
        <w:rPr>
          <w:rFonts w:ascii="Times New Roman" w:hAnsi="Times New Roman" w:eastAsia="仿宋_GB2312"/>
          <w:bCs/>
          <w:sz w:val="32"/>
          <w:szCs w:val="32"/>
          <w:highlight w:val="none"/>
        </w:rPr>
        <w:t>稳定性研究主要包括实时稳定性、</w:t>
      </w:r>
      <w:r>
        <w:rPr>
          <w:rFonts w:hint="eastAsia" w:ascii="Times New Roman" w:hAnsi="Times New Roman" w:eastAsia="仿宋_GB2312"/>
          <w:sz w:val="32"/>
          <w:szCs w:val="32"/>
          <w:highlight w:val="none"/>
          <w:lang w:val="en-US" w:eastAsia="zh-CN"/>
        </w:rPr>
        <w:t>使用稳定性</w:t>
      </w:r>
      <w:r>
        <w:rPr>
          <w:rFonts w:ascii="Times New Roman" w:hAnsi="Times New Roman" w:eastAsia="仿宋_GB2312"/>
          <w:sz w:val="32"/>
          <w:szCs w:val="32"/>
          <w:highlight w:val="none"/>
        </w:rPr>
        <w:t>、</w:t>
      </w:r>
      <w:r>
        <w:rPr>
          <w:rFonts w:hint="eastAsia" w:ascii="Times New Roman" w:hAnsi="Times New Roman" w:eastAsia="仿宋_GB2312"/>
          <w:bCs/>
          <w:sz w:val="32"/>
          <w:szCs w:val="32"/>
          <w:highlight w:val="none"/>
        </w:rPr>
        <w:t>运输稳定性</w:t>
      </w:r>
      <w:r>
        <w:rPr>
          <w:rFonts w:ascii="Times New Roman" w:hAnsi="Times New Roman" w:eastAsia="仿宋_GB2312"/>
          <w:bCs/>
          <w:sz w:val="32"/>
          <w:szCs w:val="32"/>
          <w:highlight w:val="none"/>
        </w:rPr>
        <w:t>等研究，申请人可根据实际需要选择合理的稳定性研究方案。</w:t>
      </w:r>
    </w:p>
    <w:p w14:paraId="0C0E75B1">
      <w:pPr>
        <w:spacing w:line="520" w:lineRule="exact"/>
        <w:ind w:firstLine="640" w:firstLineChars="200"/>
        <w:contextualSpacing/>
        <w:rPr>
          <w:rFonts w:ascii="Times New Roman" w:hAnsi="Times New Roman" w:eastAsia="仿宋_GB2312"/>
          <w:sz w:val="32"/>
          <w:szCs w:val="32"/>
          <w:highlight w:val="none"/>
        </w:rPr>
      </w:pPr>
      <w:r>
        <w:rPr>
          <w:rFonts w:ascii="Times New Roman" w:hAnsi="Times New Roman" w:eastAsia="仿宋_GB2312"/>
          <w:sz w:val="32"/>
          <w:szCs w:val="32"/>
          <w:highlight w:val="none"/>
        </w:rPr>
        <w:t>稳定性研究资料应包括研究方法的确定依据、具体的</w:t>
      </w:r>
      <w:r>
        <w:rPr>
          <w:rFonts w:hint="eastAsia" w:ascii="Times New Roman" w:hAnsi="Times New Roman" w:eastAsia="仿宋_GB2312"/>
          <w:sz w:val="32"/>
          <w:szCs w:val="32"/>
          <w:highlight w:val="none"/>
        </w:rPr>
        <w:t>试验</w:t>
      </w:r>
      <w:r>
        <w:rPr>
          <w:rFonts w:ascii="Times New Roman" w:hAnsi="Times New Roman" w:eastAsia="仿宋_GB2312"/>
          <w:sz w:val="32"/>
          <w:szCs w:val="32"/>
          <w:highlight w:val="none"/>
        </w:rPr>
        <w:t>方案、</w:t>
      </w:r>
      <w:r>
        <w:rPr>
          <w:rFonts w:ascii="Times New Roman" w:hAnsi="Times New Roman"/>
          <w:sz w:val="32"/>
          <w:highlight w:val="none"/>
        </w:rPr>
        <w:drawing>
          <wp:anchor distT="0" distB="0" distL="114300" distR="114300" simplePos="0" relativeHeight="251661312" behindDoc="0" locked="0" layoutInCell="1" allowOverlap="1">
            <wp:simplePos x="0" y="0"/>
            <wp:positionH relativeFrom="column">
              <wp:posOffset>526415</wp:posOffset>
            </wp:positionH>
            <wp:positionV relativeFrom="paragraph">
              <wp:posOffset>606425</wp:posOffset>
            </wp:positionV>
            <wp:extent cx="635" cy="635"/>
            <wp:effectExtent l="0" t="0" r="0" b="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635" cy="635"/>
                    </a:xfrm>
                    <a:prstGeom prst="rect">
                      <a:avLst/>
                    </a:prstGeom>
                    <a:noFill/>
                    <a:ln>
                      <a:noFill/>
                    </a:ln>
                  </pic:spPr>
                </pic:pic>
              </a:graphicData>
            </a:graphic>
          </wp:anchor>
        </w:drawing>
      </w:r>
      <w:r>
        <w:rPr>
          <w:rFonts w:ascii="Times New Roman" w:hAnsi="Times New Roman" w:eastAsia="仿宋_GB2312"/>
          <w:sz w:val="32"/>
          <w:szCs w:val="32"/>
          <w:highlight w:val="none"/>
        </w:rPr>
        <w:t>过程、详细的研究数据以及结论。</w:t>
      </w:r>
    </w:p>
    <w:p w14:paraId="369AC721">
      <w:pPr>
        <w:spacing w:line="520" w:lineRule="exact"/>
        <w:ind w:firstLine="640" w:firstLineChars="200"/>
        <w:contextualSpacing/>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5.1实时稳定性</w:t>
      </w:r>
    </w:p>
    <w:p w14:paraId="233C0D8C">
      <w:pPr>
        <w:spacing w:line="520" w:lineRule="exact"/>
        <w:ind w:firstLine="640" w:firstLineChars="200"/>
        <w:contextualSpacing w:val="0"/>
        <w:rPr>
          <w:rFonts w:ascii="Times New Roman" w:hAnsi="Times New Roman" w:eastAsia="仿宋_GB2312"/>
          <w:sz w:val="32"/>
          <w:szCs w:val="32"/>
          <w:highlight w:val="none"/>
        </w:rPr>
      </w:pPr>
      <w:r>
        <w:rPr>
          <w:rFonts w:ascii="Times New Roman" w:hAnsi="Times New Roman" w:eastAsia="仿宋_GB2312"/>
          <w:sz w:val="32"/>
          <w:szCs w:val="32"/>
        </w:rPr>
        <w:t>提交至少三批申报产品在实际储存条件下保存至成品有效期后的实时稳定性研究资料。明确储存的环境条件（如温度、湿度和光照）及有效期。</w:t>
      </w:r>
    </w:p>
    <w:p w14:paraId="43EECE68">
      <w:pPr>
        <w:spacing w:line="520" w:lineRule="exact"/>
        <w:ind w:firstLine="640" w:firstLineChars="200"/>
        <w:contextualSpacing/>
        <w:rPr>
          <w:rFonts w:hint="eastAsia"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如试剂的储存温度范围过宽，应进行分段研究，并进行最差条件的验证。以试剂的储存条件为4℃-30℃为例，研究过程应包含4℃-10℃、10℃-30℃以及30℃条件下的长期研究。</w:t>
      </w:r>
    </w:p>
    <w:p w14:paraId="4D174B95">
      <w:pPr>
        <w:spacing w:line="520" w:lineRule="exact"/>
        <w:ind w:firstLine="640" w:firstLineChars="200"/>
        <w:contextualSpacing/>
        <w:rPr>
          <w:rFonts w:hint="eastAsia" w:ascii="Times New Roman" w:hAnsi="Times New Roman" w:eastAsia="仿宋_GB2312"/>
          <w:bCs/>
          <w:sz w:val="32"/>
          <w:szCs w:val="32"/>
          <w:highlight w:val="none"/>
          <w:lang w:val="en-US" w:eastAsia="zh-CN"/>
        </w:rPr>
      </w:pPr>
      <w:r>
        <w:rPr>
          <w:rFonts w:hint="eastAsia" w:ascii="Times New Roman" w:hAnsi="Times New Roman" w:eastAsia="仿宋_GB2312"/>
          <w:bCs/>
          <w:sz w:val="32"/>
          <w:szCs w:val="32"/>
          <w:highlight w:val="none"/>
          <w:lang w:val="en-US" w:eastAsia="zh-CN"/>
        </w:rPr>
        <w:t>5.2使用稳定性</w:t>
      </w:r>
    </w:p>
    <w:p w14:paraId="7BE99989">
      <w:pPr>
        <w:spacing w:line="520" w:lineRule="exact"/>
        <w:ind w:firstLine="640" w:firstLineChars="200"/>
        <w:rPr>
          <w:rFonts w:hint="eastAsia"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提交申报产品实际使用期间稳定性的研究资料，明确产品使用的温度、湿度条件等。应包括所有组成成分的开封稳定性</w:t>
      </w:r>
      <w:r>
        <w:rPr>
          <w:rFonts w:hint="eastAsia" w:ascii="Times New Roman" w:hAnsi="Times New Roman" w:eastAsia="仿宋_GB2312"/>
          <w:bCs/>
          <w:sz w:val="32"/>
          <w:szCs w:val="32"/>
          <w:highlight w:val="none"/>
          <w:lang w:eastAsia="zh-CN"/>
        </w:rPr>
        <w:t>，</w:t>
      </w:r>
      <w:r>
        <w:rPr>
          <w:rFonts w:hint="eastAsia" w:ascii="Times New Roman" w:hAnsi="Times New Roman" w:eastAsia="仿宋_GB2312"/>
          <w:bCs/>
          <w:sz w:val="32"/>
          <w:szCs w:val="32"/>
          <w:highlight w:val="none"/>
        </w:rPr>
        <w:t>适用时提交复溶稳定性、机载稳定性及冻融次数研究资料等。</w:t>
      </w:r>
    </w:p>
    <w:p w14:paraId="6EA5C53D">
      <w:pPr>
        <w:spacing w:line="520" w:lineRule="exact"/>
        <w:ind w:firstLine="640" w:firstLineChars="200"/>
        <w:contextualSpacing/>
        <w:rPr>
          <w:rFonts w:hint="eastAsia"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如试剂盒内包含校准品，还应提交校准频率或校准稳定性的研究资料。</w:t>
      </w:r>
    </w:p>
    <w:p w14:paraId="36D96E86">
      <w:pPr>
        <w:spacing w:line="520" w:lineRule="exact"/>
        <w:ind w:firstLine="640" w:firstLineChars="200"/>
        <w:contextualSpacing/>
        <w:rPr>
          <w:rFonts w:hint="eastAsia"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如试剂盒内包含质控品，应明确设置质控品测定可接受区间/值。</w:t>
      </w:r>
    </w:p>
    <w:p w14:paraId="31714B86">
      <w:pPr>
        <w:spacing w:line="520" w:lineRule="exact"/>
        <w:ind w:firstLine="640" w:firstLineChars="200"/>
        <w:contextualSpacing/>
        <w:rPr>
          <w:rFonts w:hint="default" w:ascii="Times New Roman" w:hAnsi="Times New Roman" w:eastAsia="仿宋_GB2312"/>
          <w:bCs/>
          <w:sz w:val="32"/>
          <w:szCs w:val="32"/>
          <w:highlight w:val="none"/>
        </w:rPr>
      </w:pPr>
      <w:r>
        <w:rPr>
          <w:rFonts w:hint="eastAsia" w:ascii="Times New Roman" w:hAnsi="Times New Roman" w:eastAsia="仿宋_GB2312"/>
          <w:bCs/>
          <w:sz w:val="32"/>
          <w:szCs w:val="32"/>
          <w:highlight w:val="none"/>
          <w:lang w:val="en-US" w:eastAsia="zh-CN"/>
        </w:rPr>
        <w:t>5.3运输稳定性</w:t>
      </w:r>
    </w:p>
    <w:p w14:paraId="707BF77D">
      <w:pPr>
        <w:spacing w:line="520" w:lineRule="exact"/>
        <w:ind w:firstLine="640" w:firstLineChars="200"/>
        <w:contextualSpacing w:val="0"/>
        <w:rPr>
          <w:rFonts w:hint="eastAsia" w:ascii="Times New Roman" w:hAnsi="Times New Roman" w:eastAsia="仿宋_GB2312"/>
          <w:bCs/>
          <w:sz w:val="32"/>
          <w:szCs w:val="32"/>
          <w:highlight w:val="none"/>
        </w:rPr>
      </w:pPr>
      <w:r>
        <w:rPr>
          <w:rFonts w:hint="eastAsia" w:ascii="Times New Roman" w:hAnsi="Times New Roman" w:eastAsia="仿宋_GB2312"/>
          <w:bCs/>
          <w:sz w:val="32"/>
          <w:szCs w:val="32"/>
          <w:highlight w:val="none"/>
        </w:rPr>
        <w:t>提交申报产品可在特定或者预期的条件下运输的研究资料，应说明产品正确运输的环境条件（如温度、湿度、光照和机械保护等）</w:t>
      </w:r>
      <w:r>
        <w:rPr>
          <w:rFonts w:hint="eastAsia" w:ascii="Times New Roman" w:hAnsi="Times New Roman" w:eastAsia="仿宋_GB2312"/>
          <w:bCs/>
          <w:sz w:val="32"/>
          <w:szCs w:val="32"/>
          <w:highlight w:val="none"/>
          <w:lang w:eastAsia="zh-CN"/>
        </w:rPr>
        <w:t>，</w:t>
      </w:r>
      <w:r>
        <w:rPr>
          <w:rFonts w:hint="eastAsia" w:ascii="Times New Roman" w:hAnsi="Times New Roman" w:eastAsia="仿宋_GB2312"/>
          <w:bCs/>
          <w:sz w:val="32"/>
          <w:szCs w:val="32"/>
          <w:highlight w:val="none"/>
        </w:rPr>
        <w:t>应提交运输后产品至效期后的稳定性研究资料。</w:t>
      </w:r>
    </w:p>
    <w:p w14:paraId="0ECDA305">
      <w:pPr>
        <w:spacing w:line="520" w:lineRule="exact"/>
        <w:ind w:firstLine="640" w:firstLineChars="200"/>
        <w:contextualSpacing/>
        <w:rPr>
          <w:rFonts w:ascii="Times New Roman" w:hAnsi="Times New Roman" w:eastAsia="仿宋_GB2312"/>
          <w:sz w:val="32"/>
          <w:szCs w:val="32"/>
          <w:highlight w:val="none"/>
        </w:rPr>
      </w:pPr>
      <w:r>
        <w:rPr>
          <w:rFonts w:ascii="Times New Roman" w:hAnsi="Times New Roman" w:eastAsia="仿宋_GB2312"/>
          <w:sz w:val="32"/>
          <w:szCs w:val="32"/>
          <w:highlight w:val="none"/>
        </w:rPr>
        <w:t>6</w:t>
      </w:r>
      <w:r>
        <w:rPr>
          <w:rFonts w:hint="eastAsia" w:ascii="Times New Roman" w:hAnsi="Times New Roman" w:eastAsia="仿宋_GB2312"/>
          <w:sz w:val="32"/>
          <w:szCs w:val="32"/>
          <w:highlight w:val="none"/>
        </w:rPr>
        <w:t>.参考区间</w:t>
      </w:r>
    </w:p>
    <w:p w14:paraId="40820671">
      <w:pPr>
        <w:snapToGrid w:val="0"/>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可参考《</w:t>
      </w:r>
      <w:r>
        <w:rPr>
          <w:rFonts w:ascii="Times New Roman" w:hAnsi="Times New Roman" w:eastAsia="仿宋_GB2312"/>
          <w:sz w:val="32"/>
          <w:szCs w:val="32"/>
          <w:highlight w:val="none"/>
        </w:rPr>
        <w:t>体外诊断试剂参考区间确定注册审查指导原则</w:t>
      </w:r>
      <w:r>
        <w:rPr>
          <w:rFonts w:hint="eastAsia" w:ascii="Times New Roman" w:hAnsi="Times New Roman" w:eastAsia="仿宋_GB2312"/>
          <w:sz w:val="32"/>
          <w:szCs w:val="32"/>
          <w:highlight w:val="none"/>
        </w:rPr>
        <w:t>》进行建立或验证。</w:t>
      </w:r>
    </w:p>
    <w:p w14:paraId="765F1977">
      <w:pPr>
        <w:snapToGrid w:val="0"/>
        <w:spacing w:line="520" w:lineRule="exact"/>
        <w:ind w:firstLine="640" w:firstLineChars="200"/>
        <w:rPr>
          <w:rFonts w:ascii="Times New Roman" w:hAnsi="Times New Roman" w:eastAsia="仿宋_GB2312"/>
          <w:sz w:val="32"/>
          <w:szCs w:val="28"/>
          <w:highlight w:val="none"/>
        </w:rPr>
      </w:pPr>
      <w:r>
        <w:rPr>
          <w:rFonts w:ascii="Times New Roman" w:hAnsi="Times New Roman" w:eastAsia="仿宋_GB2312"/>
          <w:sz w:val="32"/>
          <w:szCs w:val="32"/>
          <w:highlight w:val="none"/>
        </w:rPr>
        <w:t>应详细说明参考区间确定的方法或依据，提交确定参考区间所采用样本来源、详细的试验资料、统计方法等，</w:t>
      </w:r>
      <w:r>
        <w:rPr>
          <w:rFonts w:ascii="Times New Roman" w:hAnsi="Times New Roman" w:eastAsia="仿宋_GB2312"/>
          <w:kern w:val="0"/>
          <w:sz w:val="32"/>
          <w:szCs w:val="32"/>
          <w:highlight w:val="none"/>
        </w:rPr>
        <w:t>应明确</w:t>
      </w:r>
      <w:r>
        <w:rPr>
          <w:rFonts w:ascii="Times New Roman" w:hAnsi="Times New Roman" w:eastAsia="仿宋_GB2312"/>
          <w:sz w:val="32"/>
          <w:szCs w:val="32"/>
          <w:highlight w:val="none"/>
        </w:rPr>
        <w:t>参考人群的纳入、排除标准，考虑不同年龄、性别等因素，尽可能考虑样本来源的多样性、代表性，样本例数应符合统计学要求。</w:t>
      </w:r>
    </w:p>
    <w:p w14:paraId="01F9A86A">
      <w:pPr>
        <w:pStyle w:val="4"/>
        <w:spacing w:before="0" w:after="0" w:line="520" w:lineRule="exact"/>
        <w:ind w:left="630" w:leftChars="300"/>
        <w:contextualSpacing/>
        <w:rPr>
          <w:rFonts w:ascii="Times New Roman" w:hAnsi="Times New Roman" w:eastAsia="仿宋_GB2312"/>
          <w:b w:val="0"/>
          <w:bCs w:val="0"/>
          <w:highlight w:val="none"/>
        </w:rPr>
      </w:pPr>
      <w:r>
        <w:rPr>
          <w:rFonts w:ascii="Times New Roman" w:hAnsi="Times New Roman"/>
          <w:highlight w:val="none"/>
        </w:rPr>
        <w:drawing>
          <wp:anchor distT="0" distB="0" distL="114300" distR="114300" simplePos="0" relativeHeight="251660288" behindDoc="0" locked="0" layoutInCell="1" allowOverlap="1">
            <wp:simplePos x="0" y="0"/>
            <wp:positionH relativeFrom="column">
              <wp:posOffset>1955165</wp:posOffset>
            </wp:positionH>
            <wp:positionV relativeFrom="paragraph">
              <wp:posOffset>3810</wp:posOffset>
            </wp:positionV>
            <wp:extent cx="635" cy="635"/>
            <wp:effectExtent l="0" t="0" r="0" b="0"/>
            <wp:wrapNone/>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8"/>
                    <a:stretch>
                      <a:fillRect/>
                    </a:stretch>
                  </pic:blipFill>
                  <pic:spPr>
                    <a:xfrm>
                      <a:off x="0" y="0"/>
                      <a:ext cx="635" cy="635"/>
                    </a:xfrm>
                    <a:prstGeom prst="rect">
                      <a:avLst/>
                    </a:prstGeom>
                    <a:noFill/>
                    <a:ln>
                      <a:noFill/>
                    </a:ln>
                  </pic:spPr>
                </pic:pic>
              </a:graphicData>
            </a:graphic>
          </wp:anchor>
        </w:drawing>
      </w:r>
      <w:r>
        <w:rPr>
          <w:rFonts w:ascii="Times New Roman" w:hAnsi="Times New Roman"/>
          <w:highlight w:val="none"/>
        </w:rPr>
        <w:drawing>
          <wp:anchor distT="0" distB="0" distL="114300" distR="114300" simplePos="0" relativeHeight="251659264" behindDoc="0" locked="0" layoutInCell="1" allowOverlap="1">
            <wp:simplePos x="0" y="0"/>
            <wp:positionH relativeFrom="column">
              <wp:posOffset>1955165</wp:posOffset>
            </wp:positionH>
            <wp:positionV relativeFrom="paragraph">
              <wp:posOffset>3810</wp:posOffset>
            </wp:positionV>
            <wp:extent cx="635" cy="635"/>
            <wp:effectExtent l="0" t="0" r="0" b="0"/>
            <wp:wrapNone/>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9"/>
                    <a:stretch>
                      <a:fillRect/>
                    </a:stretch>
                  </pic:blipFill>
                  <pic:spPr>
                    <a:xfrm>
                      <a:off x="0" y="0"/>
                      <a:ext cx="635" cy="635"/>
                    </a:xfrm>
                    <a:prstGeom prst="rect">
                      <a:avLst/>
                    </a:prstGeom>
                    <a:noFill/>
                    <a:ln>
                      <a:noFill/>
                    </a:ln>
                  </pic:spPr>
                </pic:pic>
              </a:graphicData>
            </a:graphic>
          </wp:anchor>
        </w:drawing>
      </w:r>
      <w:r>
        <w:rPr>
          <w:rFonts w:ascii="Times New Roman" w:hAnsi="Times New Roman" w:eastAsia="仿宋_GB2312"/>
          <w:b w:val="0"/>
          <w:bCs w:val="0"/>
          <w:highlight w:val="none"/>
        </w:rPr>
        <w:t>7</w:t>
      </w:r>
      <w:r>
        <w:rPr>
          <w:rFonts w:hint="eastAsia" w:ascii="Times New Roman" w:hAnsi="Times New Roman" w:eastAsia="仿宋_GB2312"/>
          <w:b w:val="0"/>
          <w:bCs w:val="0"/>
          <w:highlight w:val="none"/>
        </w:rPr>
        <w:t>.</w:t>
      </w:r>
      <w:r>
        <w:rPr>
          <w:rFonts w:ascii="Times New Roman" w:hAnsi="Times New Roman" w:eastAsia="仿宋_GB2312"/>
          <w:b w:val="0"/>
          <w:bCs w:val="0"/>
          <w:highlight w:val="none"/>
        </w:rPr>
        <w:t>其他资料</w:t>
      </w:r>
    </w:p>
    <w:p w14:paraId="610C4988">
      <w:pPr>
        <w:widowControl/>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7</w:t>
      </w:r>
      <w:r>
        <w:rPr>
          <w:rFonts w:ascii="Times New Roman" w:hAnsi="Times New Roman" w:eastAsia="仿宋_GB2312"/>
          <w:sz w:val="32"/>
          <w:szCs w:val="32"/>
          <w:highlight w:val="none"/>
        </w:rPr>
        <w:t>.1产品的生产及自检记录。</w:t>
      </w:r>
    </w:p>
    <w:p w14:paraId="46C9B42C">
      <w:pPr>
        <w:snapToGrid w:val="0"/>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提供三批产品生产及自检记录的复印件。</w:t>
      </w:r>
    </w:p>
    <w:p w14:paraId="0B38C56A">
      <w:pPr>
        <w:snapToGrid w:val="0"/>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7</w:t>
      </w:r>
      <w:r>
        <w:rPr>
          <w:rFonts w:ascii="Times New Roman" w:hAnsi="Times New Roman" w:eastAsia="仿宋_GB2312"/>
          <w:sz w:val="32"/>
          <w:szCs w:val="32"/>
          <w:highlight w:val="none"/>
        </w:rPr>
        <w:t>.2证明产品安全性、有效性的其他非临床研究资料。</w:t>
      </w:r>
    </w:p>
    <w:p w14:paraId="6F10E2E8">
      <w:pPr>
        <w:tabs>
          <w:tab w:val="left" w:pos="6720"/>
        </w:tabs>
        <w:spacing w:line="520" w:lineRule="exact"/>
        <w:ind w:firstLine="640" w:firstLineChars="200"/>
        <w:outlineLvl w:val="0"/>
        <w:rPr>
          <w:rFonts w:ascii="Times New Roman" w:hAnsi="Times New Roman" w:eastAsia="楷体_GB2312"/>
          <w:sz w:val="32"/>
          <w:szCs w:val="32"/>
          <w:highlight w:val="none"/>
        </w:rPr>
      </w:pPr>
      <w:r>
        <w:rPr>
          <w:rFonts w:ascii="Times New Roman" w:hAnsi="Times New Roman" w:eastAsia="楷体_GB2312"/>
          <w:sz w:val="32"/>
          <w:szCs w:val="32"/>
          <w:highlight w:val="none"/>
        </w:rPr>
        <w:t>（四）临床评价资料</w:t>
      </w:r>
    </w:p>
    <w:p w14:paraId="0591C5B6">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根据</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国家药监局关于发布免于进行临床试验体外诊断试剂目录（2025年）的通告</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（2025年第23号）</w:t>
      </w:r>
      <w:r>
        <w:rPr>
          <w:rFonts w:hint="default" w:ascii="Times New Roman" w:hAnsi="Times New Roman" w:eastAsia="仿宋_GB2312"/>
          <w:sz w:val="32"/>
          <w:szCs w:val="32"/>
          <w:highlight w:val="none"/>
          <w:lang w:val="en-US" w:eastAsia="zh-CN"/>
        </w:rPr>
        <w:t>,</w:t>
      </w:r>
      <w:r>
        <w:rPr>
          <w:rFonts w:hint="default" w:ascii="Times New Roman" w:hAnsi="Times New Roman" w:eastAsia="仿宋_GB2312"/>
          <w:sz w:val="32"/>
          <w:szCs w:val="32"/>
          <w:highlight w:val="none"/>
          <w:lang w:eastAsia="zh-CN"/>
        </w:rPr>
        <w:t>甲状旁腺激素测定试剂</w:t>
      </w:r>
      <w:r>
        <w:rPr>
          <w:rFonts w:hint="default" w:ascii="Times New Roman" w:hAnsi="Times New Roman" w:eastAsia="仿宋_GB2312" w:cs="Times New Roman"/>
          <w:i w:val="0"/>
          <w:iCs w:val="0"/>
          <w:color w:val="auto"/>
          <w:kern w:val="2"/>
          <w:sz w:val="32"/>
          <w:szCs w:val="32"/>
          <w:highlight w:val="none"/>
          <w:u w:val="none"/>
          <w:lang w:val="en-US" w:eastAsia="zh-CN" w:bidi="ar"/>
        </w:rPr>
        <w:t>用</w:t>
      </w:r>
      <w:r>
        <w:rPr>
          <w:rFonts w:hint="eastAsia" w:ascii="Times New Roman" w:hAnsi="Times New Roman" w:eastAsia="仿宋_GB2312" w:cs="Times New Roman"/>
          <w:i w:val="0"/>
          <w:iCs w:val="0"/>
          <w:kern w:val="2"/>
          <w:sz w:val="32"/>
          <w:szCs w:val="32"/>
          <w:highlight w:val="none"/>
          <w:u w:val="none"/>
          <w:lang w:val="en-US" w:eastAsia="zh-CN" w:bidi="ar"/>
        </w:rPr>
        <w:t>于</w:t>
      </w:r>
      <w:r>
        <w:rPr>
          <w:rFonts w:hint="eastAsia" w:ascii="Times New Roman" w:hAnsi="Times New Roman" w:eastAsia="仿宋_GB2312" w:cs="Times New Roman"/>
          <w:i w:val="0"/>
          <w:iCs w:val="0"/>
          <w:kern w:val="2"/>
          <w:sz w:val="32"/>
          <w:szCs w:val="32"/>
          <w:highlight w:val="none"/>
          <w:u w:val="none"/>
          <w:lang w:val="en-US" w:eastAsia="zh-CN" w:bidi="ar"/>
        </w:rPr>
        <w:t>检测人体样本中的甲状旁腺激素含量。临床上用于评价甲状旁腺功能，以及高钙血症或低钙血症的辅助诊断</w:t>
      </w:r>
      <w:r>
        <w:rPr>
          <w:rFonts w:hint="eastAsia" w:ascii="Times New Roman" w:hAnsi="Times New Roman" w:eastAsia="仿宋_GB2312" w:cs="Times New Roman"/>
          <w:i w:val="0"/>
          <w:iCs w:val="0"/>
          <w:kern w:val="2"/>
          <w:sz w:val="32"/>
          <w:szCs w:val="32"/>
          <w:highlight w:val="none"/>
          <w:u w:val="none"/>
          <w:lang w:val="en-US" w:eastAsia="zh-CN" w:bidi="ar"/>
        </w:rPr>
        <w:t>时，</w:t>
      </w:r>
      <w:r>
        <w:rPr>
          <w:rFonts w:hint="eastAsia" w:ascii="Times New Roman" w:hAnsi="Times New Roman" w:eastAsia="仿宋_GB2312"/>
          <w:sz w:val="32"/>
          <w:szCs w:val="32"/>
          <w:highlight w:val="none"/>
        </w:rPr>
        <w:t>属于免于临床试验体外诊断试剂目录中产品。根据体外诊断试剂临床评价的相关要求，申请人可按照《免于临床试验的体外诊断试剂临床评价技术指导原则》的要求进行临床评价。</w:t>
      </w:r>
    </w:p>
    <w:p w14:paraId="6F4B2056">
      <w:pPr>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rPr>
        <w:t>如</w:t>
      </w:r>
      <w:r>
        <w:rPr>
          <w:rFonts w:hint="eastAsia" w:ascii="Times New Roman" w:hAnsi="Times New Roman" w:eastAsia="仿宋_GB2312"/>
          <w:sz w:val="32"/>
          <w:szCs w:val="32"/>
          <w:lang w:val="en-US" w:eastAsia="zh-CN"/>
        </w:rPr>
        <w:t>申报</w:t>
      </w:r>
      <w:r>
        <w:rPr>
          <w:rFonts w:ascii="Times New Roman" w:hAnsi="Times New Roman" w:eastAsia="仿宋_GB2312"/>
          <w:sz w:val="32"/>
          <w:szCs w:val="32"/>
        </w:rPr>
        <w:t>产品预期用途</w:t>
      </w:r>
      <w:r>
        <w:rPr>
          <w:rFonts w:hint="eastAsia" w:ascii="Times New Roman" w:hAnsi="Times New Roman" w:eastAsia="仿宋_GB2312"/>
          <w:sz w:val="32"/>
          <w:szCs w:val="32"/>
          <w:lang w:val="en-US" w:eastAsia="zh-CN"/>
        </w:rPr>
        <w:t>超出</w:t>
      </w:r>
      <w:r>
        <w:rPr>
          <w:rFonts w:ascii="Times New Roman" w:hAnsi="Times New Roman" w:eastAsia="仿宋_GB2312"/>
          <w:sz w:val="32"/>
          <w:szCs w:val="32"/>
        </w:rPr>
        <w:t>《免于进行临床试验体外诊断试剂目录（2025年）》的产品</w:t>
      </w:r>
      <w:r>
        <w:rPr>
          <w:rFonts w:hint="eastAsia" w:ascii="Times New Roman" w:hAnsi="Times New Roman" w:eastAsia="仿宋_GB2312"/>
          <w:sz w:val="32"/>
          <w:szCs w:val="32"/>
          <w:lang w:val="en-US" w:eastAsia="zh-CN"/>
        </w:rPr>
        <w:t>预期用途</w:t>
      </w:r>
      <w:r>
        <w:rPr>
          <w:rFonts w:ascii="Times New Roman" w:hAnsi="Times New Roman" w:eastAsia="仿宋_GB2312"/>
          <w:sz w:val="32"/>
          <w:szCs w:val="32"/>
        </w:rPr>
        <w:t>描述范围，或无法按照《免于临床试验的体外诊断试剂临床评价技术指导原则》要求通过免临床试验的临床评价证明产品安全性和有效性，应</w:t>
      </w:r>
      <w:r>
        <w:rPr>
          <w:rFonts w:ascii="Times New Roman" w:hAnsi="Times New Roman" w:eastAsia="仿宋_GB2312"/>
          <w:sz w:val="32"/>
          <w:szCs w:val="32"/>
          <w:highlight w:val="none"/>
        </w:rPr>
        <w:t>通过临床试验的方式进行临床评价</w:t>
      </w:r>
      <w:r>
        <w:rPr>
          <w:rFonts w:ascii="Times New Roman" w:hAnsi="Times New Roman" w:eastAsia="仿宋_GB2312"/>
          <w:sz w:val="32"/>
          <w:szCs w:val="32"/>
        </w:rPr>
        <w:t>。</w:t>
      </w:r>
      <w:r>
        <w:rPr>
          <w:rFonts w:ascii="Times New Roman" w:hAnsi="Times New Roman" w:eastAsia="仿宋_GB2312"/>
          <w:sz w:val="32"/>
          <w:szCs w:val="32"/>
          <w:highlight w:val="none"/>
        </w:rPr>
        <w:t>临床试验的伦理、方案的制定以及报告的撰写等临床试验资料均应符合《关于发布体外诊断试剂临床试验技术指导原则的通告》对临床评价资料的规定，</w:t>
      </w:r>
      <w:r>
        <w:rPr>
          <w:rFonts w:hint="eastAsia" w:ascii="Times New Roman" w:hAnsi="Times New Roman" w:eastAsia="仿宋_GB2312"/>
          <w:sz w:val="32"/>
          <w:szCs w:val="32"/>
          <w:highlight w:val="none"/>
        </w:rPr>
        <w:t>原始数据库、分析数据库、说明性文件等临床试验数据库资料应符合《体外诊断试剂临床试验数据递交要求注册审查指导原则》的要求，</w:t>
      </w:r>
      <w:r>
        <w:rPr>
          <w:rFonts w:ascii="Times New Roman" w:hAnsi="Times New Roman" w:eastAsia="仿宋_GB2312"/>
          <w:color w:val="000000"/>
          <w:sz w:val="32"/>
          <w:szCs w:val="32"/>
          <w:highlight w:val="none"/>
        </w:rPr>
        <w:t>相关资料签章应符合《医疗器械临床试验质量管理规范》的要求</w:t>
      </w:r>
      <w:r>
        <w:rPr>
          <w:rFonts w:ascii="Times New Roman" w:hAnsi="Times New Roman" w:eastAsia="仿宋_GB2312"/>
          <w:sz w:val="32"/>
          <w:szCs w:val="32"/>
          <w:highlight w:val="none"/>
        </w:rPr>
        <w:t>。</w:t>
      </w:r>
    </w:p>
    <w:p w14:paraId="133119B7">
      <w:pPr>
        <w:tabs>
          <w:tab w:val="left" w:pos="6720"/>
        </w:tabs>
        <w:spacing w:line="520" w:lineRule="exact"/>
        <w:ind w:firstLine="640" w:firstLineChars="200"/>
        <w:outlineLvl w:val="0"/>
        <w:rPr>
          <w:rFonts w:ascii="Times New Roman" w:hAnsi="Times New Roman" w:eastAsia="楷体_GB2312"/>
          <w:sz w:val="32"/>
          <w:szCs w:val="32"/>
          <w:highlight w:val="none"/>
        </w:rPr>
      </w:pPr>
      <w:r>
        <w:rPr>
          <w:rFonts w:ascii="Times New Roman" w:hAnsi="Times New Roman" w:eastAsia="楷体_GB2312"/>
          <w:sz w:val="32"/>
          <w:szCs w:val="32"/>
          <w:highlight w:val="none"/>
        </w:rPr>
        <w:t>（五）产品说明书和标签样稿</w:t>
      </w:r>
    </w:p>
    <w:p w14:paraId="6F17F527">
      <w:pPr>
        <w:snapToGrid w:val="0"/>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1.产品说明书</w:t>
      </w:r>
    </w:p>
    <w:p w14:paraId="61AEB3DC">
      <w:pPr>
        <w:snapToGrid w:val="0"/>
        <w:spacing w:line="520" w:lineRule="exact"/>
        <w:ind w:firstLine="640" w:firstLineChars="200"/>
        <w:rPr>
          <w:rFonts w:ascii="Times New Roman" w:hAnsi="Times New Roman" w:eastAsia="仿宋_GB2312"/>
          <w:color w:val="0C0C0C"/>
          <w:sz w:val="32"/>
          <w:szCs w:val="32"/>
          <w:highlight w:val="none"/>
        </w:rPr>
      </w:pPr>
      <w:r>
        <w:rPr>
          <w:rFonts w:ascii="Times New Roman" w:hAnsi="Times New Roman" w:eastAsia="仿宋_GB2312"/>
          <w:sz w:val="32"/>
          <w:szCs w:val="32"/>
          <w:highlight w:val="none"/>
        </w:rPr>
        <w:t>说明书承载了产品预期用途、检验原理、测定结果解释以及注意事项等重要信息，是指导实验室工作人员正确操作、临床医生针</w:t>
      </w:r>
      <w:r>
        <w:rPr>
          <w:rFonts w:ascii="Times New Roman" w:hAnsi="Times New Roman" w:eastAsia="仿宋_GB2312"/>
          <w:color w:val="0C0C0C"/>
          <w:sz w:val="32"/>
          <w:szCs w:val="32"/>
          <w:highlight w:val="none"/>
        </w:rPr>
        <w:t>对检验结果给出合理医学解释的重要依据，因此，产品说明书是体外诊断试剂注册申报最重要的文件之一。</w:t>
      </w:r>
    </w:p>
    <w:p w14:paraId="009556C4">
      <w:pPr>
        <w:overflowPunct w:val="0"/>
        <w:snapToGrid w:val="0"/>
        <w:spacing w:line="520" w:lineRule="exact"/>
        <w:ind w:firstLine="640" w:firstLineChars="200"/>
        <w:rPr>
          <w:rFonts w:ascii="Times New Roman" w:hAnsi="Times New Roman" w:eastAsia="仿宋_GB2312"/>
          <w:color w:val="0C0C0C"/>
          <w:sz w:val="32"/>
          <w:szCs w:val="32"/>
          <w:highlight w:val="none"/>
        </w:rPr>
      </w:pPr>
      <w:r>
        <w:rPr>
          <w:rFonts w:ascii="Times New Roman" w:hAnsi="Times New Roman" w:eastAsia="仿宋_GB2312"/>
          <w:color w:val="0C0C0C"/>
          <w:sz w:val="32"/>
          <w:szCs w:val="32"/>
          <w:highlight w:val="none"/>
        </w:rPr>
        <w:t>产品说明书的格式应符合《医疗器械说明书和标签管理规定》《体外诊断试剂说明书编写指导原则》的要求。产品说明书的所有内容均应与申请人提交的注册申报资料中的相关研究结果保持一致，如某些内容引用自参考文献，则应以规范格式对此内容进行标注，并单独列明参考文献的相关信息。</w:t>
      </w:r>
    </w:p>
    <w:p w14:paraId="525124E6">
      <w:pPr>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以下仅对</w:t>
      </w:r>
      <w:r>
        <w:rPr>
          <w:rFonts w:hint="eastAsia" w:ascii="Times New Roman" w:hAnsi="Times New Roman" w:eastAsia="仿宋_GB2312"/>
          <w:sz w:val="32"/>
          <w:szCs w:val="32"/>
          <w:highlight w:val="none"/>
          <w:lang w:eastAsia="zh-CN"/>
        </w:rPr>
        <w:t>甲状旁腺激素测定试剂</w:t>
      </w:r>
      <w:r>
        <w:rPr>
          <w:rFonts w:ascii="Times New Roman" w:hAnsi="Times New Roman" w:eastAsia="仿宋_GB2312"/>
          <w:sz w:val="32"/>
          <w:szCs w:val="32"/>
          <w:highlight w:val="none"/>
        </w:rPr>
        <w:t>说明书的重点内容进行详细说明</w:t>
      </w:r>
      <w:r>
        <w:rPr>
          <w:rFonts w:ascii="Times New Roman" w:hAnsi="Times New Roman" w:eastAsia="仿宋_GB2312"/>
          <w:color w:val="0C0C0C"/>
          <w:sz w:val="32"/>
          <w:szCs w:val="32"/>
          <w:highlight w:val="none"/>
        </w:rPr>
        <w:t>，说明书其他内容应根据《体外诊断试剂说明书编写指导原则》要求进行编写。</w:t>
      </w:r>
    </w:p>
    <w:p w14:paraId="03162250">
      <w:pPr>
        <w:spacing w:line="520" w:lineRule="exact"/>
        <w:ind w:firstLine="640" w:firstLineChars="200"/>
        <w:rPr>
          <w:rFonts w:ascii="Times New Roman" w:hAnsi="Times New Roman" w:eastAsia="仿宋_GB2312"/>
          <w:sz w:val="32"/>
          <w:highlight w:val="none"/>
        </w:rPr>
      </w:pP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lang w:val="en-US" w:eastAsia="zh-CN"/>
        </w:rPr>
        <w:t>1</w:t>
      </w:r>
      <w:r>
        <w:rPr>
          <w:rFonts w:hint="eastAsia" w:ascii="Times New Roman" w:hAnsi="Times New Roman" w:eastAsia="仿宋_GB2312"/>
          <w:sz w:val="32"/>
          <w:highlight w:val="none"/>
        </w:rPr>
        <w:t>【产品名称】</w:t>
      </w:r>
    </w:p>
    <w:p w14:paraId="7DA5E1B1">
      <w:pPr>
        <w:spacing w:line="520" w:lineRule="exact"/>
        <w:ind w:firstLine="640" w:firstLineChars="200"/>
        <w:rPr>
          <w:rFonts w:ascii="Times New Roman" w:hAnsi="Times New Roman" w:eastAsia="仿宋_GB2312"/>
          <w:sz w:val="32"/>
          <w:highlight w:val="none"/>
        </w:rPr>
      </w:pPr>
      <w:r>
        <w:rPr>
          <w:rFonts w:ascii="Times New Roman" w:hAnsi="Times New Roman" w:eastAsia="仿宋_GB2312"/>
          <w:sz w:val="32"/>
          <w:szCs w:val="32"/>
          <w:highlight w:val="none"/>
        </w:rPr>
        <w:t>通用名称，</w:t>
      </w:r>
      <w:r>
        <w:rPr>
          <w:rFonts w:hint="eastAsia" w:ascii="Times New Roman" w:hAnsi="Times New Roman" w:eastAsia="仿宋_GB2312"/>
          <w:sz w:val="32"/>
          <w:highlight w:val="none"/>
        </w:rPr>
        <w:t>试剂名称由三部分组成：被测物名称、用途、方法或原理。例如：</w:t>
      </w:r>
      <w:r>
        <w:rPr>
          <w:rFonts w:hint="eastAsia" w:ascii="Times New Roman" w:hAnsi="Times New Roman" w:eastAsia="仿宋_GB2312"/>
          <w:sz w:val="32"/>
          <w:szCs w:val="32"/>
          <w:highlight w:val="none"/>
          <w:lang w:eastAsia="zh-CN"/>
        </w:rPr>
        <w:t>甲状旁腺激素测定试剂</w:t>
      </w:r>
      <w:r>
        <w:rPr>
          <w:rFonts w:hint="eastAsia" w:ascii="Times New Roman" w:hAnsi="Times New Roman" w:eastAsia="仿宋_GB2312"/>
          <w:sz w:val="32"/>
          <w:highlight w:val="none"/>
        </w:rPr>
        <w:t>盒（</w:t>
      </w:r>
      <w:r>
        <w:rPr>
          <w:rFonts w:hint="eastAsia" w:ascii="Times New Roman" w:hAnsi="Times New Roman" w:eastAsia="仿宋_GB2312"/>
          <w:sz w:val="32"/>
          <w:highlight w:val="none"/>
          <w:lang w:val="en-US" w:eastAsia="zh-CN"/>
        </w:rPr>
        <w:t>化学发光</w:t>
      </w:r>
      <w:r>
        <w:rPr>
          <w:rFonts w:hint="eastAsia" w:ascii="Times New Roman" w:hAnsi="Times New Roman" w:eastAsia="仿宋_GB2312"/>
          <w:sz w:val="32"/>
          <w:highlight w:val="none"/>
        </w:rPr>
        <w:t>法）</w:t>
      </w:r>
      <w:r>
        <w:rPr>
          <w:rFonts w:hint="eastAsia" w:ascii="Times New Roman" w:hAnsi="Times New Roman" w:eastAsia="仿宋_GB2312"/>
          <w:sz w:val="32"/>
          <w:highlight w:val="none"/>
          <w:lang w:val="en-US" w:eastAsia="zh-CN"/>
        </w:rPr>
        <w:t>等</w:t>
      </w:r>
      <w:r>
        <w:rPr>
          <w:rFonts w:hint="eastAsia" w:ascii="Times New Roman" w:hAnsi="Times New Roman" w:eastAsia="仿宋_GB2312"/>
          <w:sz w:val="32"/>
          <w:highlight w:val="none"/>
        </w:rPr>
        <w:t>。</w:t>
      </w:r>
    </w:p>
    <w:p w14:paraId="03DE793F">
      <w:pPr>
        <w:spacing w:line="520" w:lineRule="exact"/>
        <w:ind w:firstLine="640" w:firstLineChars="200"/>
        <w:rPr>
          <w:rFonts w:ascii="Times New Roman" w:hAnsi="Times New Roman" w:eastAsia="仿宋_GB2312"/>
          <w:sz w:val="32"/>
          <w:highlight w:val="none"/>
        </w:rPr>
      </w:pPr>
      <w:r>
        <w:rPr>
          <w:rFonts w:hint="eastAsia" w:ascii="Times New Roman" w:hAnsi="Times New Roman" w:eastAsia="仿宋_GB2312" w:cs="Times New Roman"/>
          <w:sz w:val="32"/>
          <w:szCs w:val="32"/>
          <w:highlight w:val="none"/>
          <w:lang w:val="en-US" w:eastAsia="zh-CN"/>
        </w:rPr>
        <w:t>1.</w:t>
      </w:r>
      <w:r>
        <w:rPr>
          <w:rFonts w:ascii="Times New Roman" w:hAnsi="Times New Roman" w:eastAsia="仿宋_GB2312" w:cs="Times New Roman"/>
          <w:sz w:val="32"/>
          <w:szCs w:val="32"/>
          <w:highlight w:val="none"/>
        </w:rPr>
        <w:t>2</w:t>
      </w:r>
      <w:r>
        <w:rPr>
          <w:rFonts w:hint="eastAsia" w:ascii="Times New Roman" w:hAnsi="Times New Roman" w:eastAsia="仿宋_GB2312"/>
          <w:sz w:val="32"/>
          <w:highlight w:val="none"/>
        </w:rPr>
        <w:t>【包装规格】</w:t>
      </w:r>
    </w:p>
    <w:p w14:paraId="2AEA7E0F">
      <w:pPr>
        <w:snapToGrid w:val="0"/>
        <w:spacing w:line="520" w:lineRule="exact"/>
        <w:ind w:firstLine="640" w:firstLineChars="200"/>
        <w:rPr>
          <w:rFonts w:ascii="Times New Roman" w:hAnsi="Times New Roman" w:eastAsia="仿宋_GB2312"/>
          <w:color w:val="0C0C0C"/>
          <w:spacing w:val="0"/>
          <w:sz w:val="32"/>
          <w:szCs w:val="32"/>
          <w:highlight w:val="none"/>
        </w:rPr>
      </w:pPr>
      <w:r>
        <w:rPr>
          <w:rFonts w:ascii="Times New Roman" w:hAnsi="Times New Roman" w:eastAsia="仿宋_GB2312"/>
          <w:sz w:val="32"/>
          <w:szCs w:val="32"/>
          <w:highlight w:val="none"/>
        </w:rPr>
        <w:t>注</w:t>
      </w:r>
      <w:r>
        <w:rPr>
          <w:rFonts w:ascii="Times New Roman" w:hAnsi="Times New Roman" w:eastAsia="仿宋_GB2312"/>
          <w:color w:val="0C0C0C"/>
          <w:spacing w:val="0"/>
          <w:sz w:val="32"/>
          <w:szCs w:val="32"/>
          <w:highlight w:val="none"/>
        </w:rPr>
        <w:t>明可测试的样本数或装量，如××测试/盒、××人份/盒、××mL，除国际通用计量单位外，其余内容均应采用中文进行表述。如有货号，可增加货号信息。</w:t>
      </w:r>
    </w:p>
    <w:p w14:paraId="4A1A8F3E">
      <w:pPr>
        <w:spacing w:line="520" w:lineRule="exact"/>
        <w:ind w:firstLine="640" w:firstLineChars="200"/>
        <w:rPr>
          <w:rFonts w:ascii="Times New Roman" w:hAnsi="Times New Roman" w:eastAsia="仿宋_GB2312"/>
          <w:bCs/>
          <w:sz w:val="32"/>
          <w:szCs w:val="32"/>
          <w:highlight w:val="none"/>
        </w:rPr>
      </w:pPr>
      <w:r>
        <w:rPr>
          <w:rFonts w:hint="eastAsia" w:ascii="Times New Roman" w:hAnsi="Times New Roman" w:eastAsia="仿宋_GB2312" w:cs="Times New Roman"/>
          <w:sz w:val="32"/>
          <w:szCs w:val="32"/>
          <w:highlight w:val="none"/>
          <w:lang w:val="en-US" w:eastAsia="zh-CN"/>
        </w:rPr>
        <w:t>1.</w:t>
      </w:r>
      <w:r>
        <w:rPr>
          <w:rFonts w:ascii="Times New Roman" w:hAnsi="Times New Roman" w:eastAsia="仿宋_GB2312" w:cs="Times New Roman"/>
          <w:sz w:val="32"/>
          <w:szCs w:val="32"/>
          <w:highlight w:val="none"/>
        </w:rPr>
        <w:t>2.</w:t>
      </w:r>
      <w:r>
        <w:rPr>
          <w:rFonts w:hint="default" w:ascii="Times New Roman" w:hAnsi="Times New Roman" w:eastAsia="仿宋_GB2312" w:cs="Times New Roman"/>
          <w:sz w:val="32"/>
          <w:szCs w:val="32"/>
          <w:highlight w:val="none"/>
        </w:rPr>
        <w:t>1</w:t>
      </w:r>
      <w:r>
        <w:rPr>
          <w:rFonts w:ascii="Times New Roman" w:hAnsi="Times New Roman" w:eastAsia="仿宋_GB2312"/>
          <w:bCs/>
          <w:sz w:val="32"/>
          <w:szCs w:val="32"/>
          <w:highlight w:val="none"/>
        </w:rPr>
        <w:t>与产品技术要求中所列的包装规格一致；</w:t>
      </w:r>
    </w:p>
    <w:p w14:paraId="292C2684">
      <w:pPr>
        <w:spacing w:line="520" w:lineRule="exact"/>
        <w:ind w:firstLine="640" w:firstLineChars="200"/>
        <w:rPr>
          <w:rFonts w:ascii="Times New Roman" w:hAnsi="Times New Roman" w:eastAsia="仿宋_GB2312"/>
          <w:sz w:val="32"/>
          <w:highlight w:val="none"/>
        </w:rPr>
      </w:pPr>
      <w:r>
        <w:rPr>
          <w:rFonts w:hint="eastAsia" w:ascii="Times New Roman" w:hAnsi="Times New Roman" w:eastAsia="仿宋_GB2312" w:cs="Times New Roman"/>
          <w:sz w:val="32"/>
          <w:szCs w:val="32"/>
          <w:highlight w:val="none"/>
          <w:lang w:val="en-US" w:eastAsia="zh-CN"/>
        </w:rPr>
        <w:t>1.</w:t>
      </w:r>
      <w:r>
        <w:rPr>
          <w:rFonts w:ascii="Times New Roman" w:hAnsi="Times New Roman" w:eastAsia="仿宋_GB2312" w:cs="Times New Roman"/>
          <w:sz w:val="32"/>
          <w:szCs w:val="32"/>
          <w:highlight w:val="none"/>
        </w:rPr>
        <w:t>2.</w:t>
      </w:r>
      <w:r>
        <w:rPr>
          <w:rFonts w:hint="eastAsia" w:ascii="Times New Roman" w:hAnsi="Times New Roman" w:eastAsia="仿宋_GB2312" w:cs="Times New Roman"/>
          <w:sz w:val="32"/>
          <w:szCs w:val="32"/>
          <w:highlight w:val="none"/>
          <w:lang w:val="en-US" w:eastAsia="zh-CN"/>
        </w:rPr>
        <w:t>2</w:t>
      </w:r>
      <w:r>
        <w:rPr>
          <w:rFonts w:ascii="Times New Roman" w:hAnsi="Times New Roman" w:eastAsia="仿宋_GB2312"/>
          <w:bCs/>
          <w:sz w:val="32"/>
          <w:szCs w:val="32"/>
          <w:highlight w:val="none"/>
        </w:rPr>
        <w:t>如不同包装规格有与之特定对应的机型，应同时明确适用机型</w:t>
      </w:r>
      <w:r>
        <w:rPr>
          <w:rFonts w:hint="eastAsia" w:ascii="Times New Roman" w:hAnsi="Times New Roman" w:eastAsia="仿宋_GB2312"/>
          <w:bCs/>
          <w:sz w:val="32"/>
          <w:szCs w:val="32"/>
          <w:highlight w:val="none"/>
          <w:lang w:eastAsia="zh-CN"/>
        </w:rPr>
        <w:t>。</w:t>
      </w:r>
    </w:p>
    <w:p w14:paraId="55345941">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1.3</w:t>
      </w:r>
      <w:r>
        <w:rPr>
          <w:rFonts w:ascii="Times New Roman" w:hAnsi="Times New Roman" w:eastAsia="仿宋_GB2312"/>
          <w:sz w:val="32"/>
          <w:szCs w:val="32"/>
          <w:highlight w:val="none"/>
        </w:rPr>
        <w:t>【预期用途】</w:t>
      </w:r>
    </w:p>
    <w:p w14:paraId="39D517C5">
      <w:pPr>
        <w:spacing w:line="520" w:lineRule="exact"/>
        <w:ind w:firstLine="640" w:firstLineChars="200"/>
        <w:rPr>
          <w:rFonts w:hint="default" w:ascii="Times New Roman" w:hAnsi="Times New Roman" w:eastAsia="仿宋_GB2312"/>
          <w:bCs/>
          <w:sz w:val="32"/>
          <w:szCs w:val="32"/>
          <w:highlight w:val="none"/>
          <w:lang w:eastAsia="zh-CN"/>
        </w:rPr>
      </w:pPr>
      <w:r>
        <w:rPr>
          <w:rFonts w:hint="default" w:ascii="Times New Roman" w:hAnsi="Times New Roman" w:eastAsia="仿宋_GB2312"/>
          <w:bCs/>
          <w:sz w:val="32"/>
          <w:szCs w:val="32"/>
          <w:highlight w:val="none"/>
        </w:rPr>
        <w:t>首段</w:t>
      </w:r>
      <w:r>
        <w:rPr>
          <w:rFonts w:ascii="Times New Roman" w:hAnsi="Times New Roman" w:eastAsia="仿宋_GB2312"/>
          <w:bCs/>
          <w:sz w:val="32"/>
          <w:szCs w:val="32"/>
          <w:highlight w:val="none"/>
        </w:rPr>
        <w:t>内容详细说明</w:t>
      </w:r>
      <w:r>
        <w:rPr>
          <w:rFonts w:hint="default" w:ascii="Times New Roman" w:hAnsi="Times New Roman" w:eastAsia="仿宋_GB2312"/>
          <w:bCs/>
          <w:sz w:val="32"/>
          <w:szCs w:val="32"/>
          <w:highlight w:val="none"/>
          <w:lang w:val="en-US" w:eastAsia="zh-CN"/>
        </w:rPr>
        <w:t>产品用于测定</w:t>
      </w:r>
      <w:r>
        <w:rPr>
          <w:rFonts w:hint="default" w:ascii="Times New Roman" w:hAnsi="Times New Roman" w:eastAsia="仿宋_GB2312"/>
          <w:bCs/>
          <w:sz w:val="32"/>
          <w:szCs w:val="32"/>
          <w:highlight w:val="none"/>
          <w:lang w:eastAsia="zh-CN"/>
        </w:rPr>
        <w:t>甲状旁腺激素</w:t>
      </w:r>
      <w:r>
        <w:rPr>
          <w:rFonts w:hint="default" w:ascii="Times New Roman" w:hAnsi="Times New Roman" w:eastAsia="仿宋_GB2312"/>
          <w:bCs/>
          <w:sz w:val="32"/>
          <w:szCs w:val="32"/>
          <w:highlight w:val="none"/>
        </w:rPr>
        <w:t>的含量、检测类型（</w:t>
      </w:r>
      <w:r>
        <w:rPr>
          <w:rFonts w:hint="default" w:ascii="Times New Roman" w:hAnsi="Times New Roman" w:eastAsia="仿宋_GB2312"/>
          <w:bCs/>
          <w:sz w:val="32"/>
          <w:szCs w:val="32"/>
          <w:highlight w:val="none"/>
          <w:lang w:val="en-US" w:eastAsia="zh-CN"/>
        </w:rPr>
        <w:t>如</w:t>
      </w:r>
      <w:r>
        <w:rPr>
          <w:rFonts w:hint="default" w:ascii="Times New Roman" w:hAnsi="Times New Roman" w:eastAsia="仿宋_GB2312"/>
          <w:bCs/>
          <w:sz w:val="32"/>
          <w:szCs w:val="32"/>
          <w:highlight w:val="none"/>
        </w:rPr>
        <w:t>定量）、样本类型（如血清、血浆、</w:t>
      </w:r>
      <w:r>
        <w:rPr>
          <w:rFonts w:hint="default" w:ascii="Times New Roman" w:hAnsi="Times New Roman" w:eastAsia="仿宋_GB2312"/>
          <w:bCs/>
          <w:sz w:val="32"/>
          <w:szCs w:val="32"/>
          <w:highlight w:val="none"/>
          <w:lang w:val="en-US" w:eastAsia="zh-CN"/>
        </w:rPr>
        <w:t>全血</w:t>
      </w:r>
      <w:r>
        <w:rPr>
          <w:rFonts w:hint="default" w:ascii="Times New Roman" w:hAnsi="Times New Roman" w:eastAsia="仿宋_GB2312"/>
          <w:bCs/>
          <w:sz w:val="32"/>
          <w:szCs w:val="32"/>
          <w:highlight w:val="none"/>
        </w:rPr>
        <w:t>等）。若</w:t>
      </w:r>
      <w:r>
        <w:rPr>
          <w:rFonts w:ascii="Times New Roman" w:hAnsi="Times New Roman" w:eastAsia="仿宋_GB2312"/>
          <w:bCs/>
          <w:sz w:val="32"/>
          <w:szCs w:val="32"/>
          <w:highlight w:val="none"/>
        </w:rPr>
        <w:t>样本来源于特殊受试人群</w:t>
      </w:r>
      <w:r>
        <w:rPr>
          <w:rFonts w:hint="default" w:ascii="Times New Roman" w:hAnsi="Times New Roman" w:eastAsia="仿宋_GB2312"/>
          <w:bCs/>
          <w:sz w:val="32"/>
          <w:szCs w:val="32"/>
          <w:highlight w:val="none"/>
        </w:rPr>
        <w:t>（</w:t>
      </w:r>
      <w:r>
        <w:rPr>
          <w:rFonts w:ascii="Times New Roman" w:hAnsi="Times New Roman" w:eastAsia="仿宋_GB2312"/>
          <w:bCs/>
          <w:sz w:val="32"/>
          <w:szCs w:val="32"/>
          <w:highlight w:val="none"/>
        </w:rPr>
        <w:t>如孕妇、新生儿等</w:t>
      </w:r>
      <w:r>
        <w:rPr>
          <w:rFonts w:hint="default" w:ascii="Times New Roman" w:hAnsi="Times New Roman" w:eastAsia="仿宋_GB2312"/>
          <w:bCs/>
          <w:sz w:val="32"/>
          <w:szCs w:val="32"/>
          <w:highlight w:val="none"/>
        </w:rPr>
        <w:t>）</w:t>
      </w:r>
      <w:r>
        <w:rPr>
          <w:rFonts w:ascii="Times New Roman" w:hAnsi="Times New Roman" w:eastAsia="仿宋_GB2312"/>
          <w:bCs/>
          <w:sz w:val="32"/>
          <w:szCs w:val="32"/>
          <w:highlight w:val="none"/>
        </w:rPr>
        <w:t>，应当予以</w:t>
      </w:r>
      <w:r>
        <w:rPr>
          <w:rFonts w:hint="default" w:ascii="Times New Roman" w:hAnsi="Times New Roman" w:eastAsia="仿宋_GB2312"/>
          <w:bCs/>
          <w:sz w:val="32"/>
          <w:szCs w:val="32"/>
          <w:highlight w:val="none"/>
        </w:rPr>
        <w:t>明确</w:t>
      </w:r>
      <w:r>
        <w:rPr>
          <w:rFonts w:ascii="Times New Roman" w:hAnsi="Times New Roman" w:eastAsia="仿宋_GB2312"/>
          <w:bCs/>
          <w:sz w:val="32"/>
          <w:szCs w:val="32"/>
          <w:highlight w:val="none"/>
        </w:rPr>
        <w:t>。具体表述形式根据产品特点做适当调整</w:t>
      </w:r>
      <w:r>
        <w:rPr>
          <w:rFonts w:hint="default" w:ascii="Times New Roman" w:hAnsi="Times New Roman" w:eastAsia="仿宋_GB2312"/>
          <w:bCs/>
          <w:sz w:val="32"/>
          <w:szCs w:val="32"/>
          <w:highlight w:val="none"/>
          <w:lang w:eastAsia="zh-CN"/>
        </w:rPr>
        <w:t>。</w:t>
      </w:r>
    </w:p>
    <w:p w14:paraId="0641373A">
      <w:pPr>
        <w:spacing w:line="520" w:lineRule="exact"/>
        <w:ind w:firstLine="640" w:firstLineChars="200"/>
        <w:rPr>
          <w:rFonts w:ascii="Times New Roman" w:hAnsi="Times New Roman" w:eastAsia="仿宋_GB2312"/>
          <w:bCs/>
          <w:sz w:val="32"/>
          <w:szCs w:val="32"/>
          <w:highlight w:val="none"/>
        </w:rPr>
      </w:pPr>
      <w:r>
        <w:rPr>
          <w:rFonts w:hint="default" w:ascii="Times New Roman" w:hAnsi="Times New Roman" w:eastAsia="仿宋_GB2312" w:cs="Times New Roman"/>
          <w:bCs/>
          <w:sz w:val="32"/>
          <w:szCs w:val="32"/>
          <w:highlight w:val="none"/>
        </w:rPr>
        <w:t>第二段应详细说明预期用途。包括适用人群，相关的临床适应证和检测目的等（</w:t>
      </w:r>
      <w:r>
        <w:rPr>
          <w:rFonts w:hint="default" w:ascii="Times New Roman" w:hAnsi="Times New Roman" w:eastAsia="仿宋_GB2312"/>
          <w:bCs/>
          <w:sz w:val="32"/>
          <w:szCs w:val="32"/>
          <w:highlight w:val="none"/>
        </w:rPr>
        <w:t>如适用于</w:t>
      </w:r>
      <w:r>
        <w:rPr>
          <w:rFonts w:ascii="Times New Roman" w:hAnsi="Times New Roman" w:eastAsia="仿宋_GB2312" w:cs="Times New Roman"/>
          <w:bCs/>
          <w:sz w:val="32"/>
          <w:szCs w:val="32"/>
          <w:highlight w:val="none"/>
        </w:rPr>
        <w:t>XX</w:t>
      </w:r>
      <w:bookmarkStart w:id="0" w:name="_GoBack"/>
      <w:bookmarkEnd w:id="0"/>
      <w:r>
        <w:rPr>
          <w:rFonts w:hint="default" w:ascii="Times New Roman" w:hAnsi="Times New Roman" w:eastAsia="仿宋_GB2312"/>
          <w:bCs/>
          <w:sz w:val="32"/>
          <w:szCs w:val="32"/>
          <w:highlight w:val="none"/>
        </w:rPr>
        <w:t>人群评价甲状旁腺功能，以及高钙血症或低钙血症的辅助诊断等）。</w:t>
      </w:r>
    </w:p>
    <w:p w14:paraId="1A702977">
      <w:pPr>
        <w:spacing w:line="520" w:lineRule="exact"/>
        <w:ind w:firstLine="640" w:firstLineChars="200"/>
        <w:rPr>
          <w:rFonts w:ascii="Times New Roman" w:hAnsi="Times New Roman" w:eastAsia="仿宋_GB2312"/>
          <w:bCs/>
          <w:sz w:val="32"/>
          <w:szCs w:val="32"/>
          <w:highlight w:val="none"/>
        </w:rPr>
      </w:pPr>
      <w:r>
        <w:rPr>
          <w:rFonts w:hint="default" w:ascii="Times New Roman" w:hAnsi="Times New Roman" w:eastAsia="仿宋_GB2312"/>
          <w:bCs/>
          <w:sz w:val="32"/>
          <w:szCs w:val="32"/>
          <w:highlight w:val="none"/>
        </w:rPr>
        <w:t>其余段落应阐述与预期用途相关的临床适应证及背景情况，如临床适应证的发生率等，相关的临床或实验室诊断方法等。</w:t>
      </w:r>
    </w:p>
    <w:p w14:paraId="66E64500">
      <w:pPr>
        <w:spacing w:line="520" w:lineRule="exact"/>
        <w:ind w:firstLine="640" w:firstLineChars="200"/>
        <w:rPr>
          <w:rFonts w:hint="eastAsia" w:ascii="Times New Roman" w:hAnsi="Times New Roman" w:eastAsia="仿宋_GB2312"/>
          <w:sz w:val="32"/>
          <w:highlight w:val="none"/>
        </w:rPr>
      </w:pPr>
      <w:r>
        <w:rPr>
          <w:rFonts w:hint="eastAsia" w:ascii="Times New Roman" w:hAnsi="Times New Roman" w:eastAsia="仿宋_GB2312" w:cs="Times New Roman"/>
          <w:sz w:val="32"/>
          <w:szCs w:val="32"/>
          <w:highlight w:val="none"/>
          <w:lang w:val="en-US" w:eastAsia="zh-CN"/>
        </w:rPr>
        <w:t>1.</w:t>
      </w:r>
      <w:r>
        <w:rPr>
          <w:rFonts w:ascii="Times New Roman" w:hAnsi="Times New Roman" w:eastAsia="仿宋_GB2312" w:cs="Times New Roman"/>
          <w:sz w:val="32"/>
          <w:szCs w:val="32"/>
          <w:highlight w:val="none"/>
        </w:rPr>
        <w:t>4</w:t>
      </w:r>
      <w:r>
        <w:rPr>
          <w:rFonts w:hint="eastAsia" w:ascii="Times New Roman" w:hAnsi="Times New Roman" w:eastAsia="仿宋_GB2312"/>
          <w:sz w:val="32"/>
          <w:highlight w:val="none"/>
        </w:rPr>
        <w:t>【检验原理】</w:t>
      </w:r>
    </w:p>
    <w:p w14:paraId="1C11E5B7">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根据产品采用的方法学说明检验的原理，检测原理的描述应结合产品主要组成成分、被测物和产物的关系进行描述，必要时可结合图示方法描述。</w:t>
      </w:r>
    </w:p>
    <w:p w14:paraId="62DC43A2">
      <w:pPr>
        <w:snapToGrid w:val="0"/>
        <w:spacing w:line="52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如产品</w:t>
      </w:r>
      <w:r>
        <w:rPr>
          <w:rFonts w:hint="eastAsia" w:ascii="Times New Roman" w:hAnsi="Times New Roman" w:eastAsia="仿宋_GB2312"/>
          <w:sz w:val="32"/>
          <w:szCs w:val="32"/>
        </w:rPr>
        <w:t>采用磁微粒化学发光法</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样本中的PTH与生物素化PTH抗体包被的磁微粒及碱性磷酸酶标记的PTH抗体结合，形成形成固相抗体-抗原-酶标抗体复合物；经磁场分离洗涤后，加入发光底物AMPPD，在碱性磷酸酶作用下产生化学发光，发光强度与样本中PTH浓度成正比，据此定量测定PTH含量。</w:t>
      </w:r>
    </w:p>
    <w:p w14:paraId="66DCD614">
      <w:pPr>
        <w:spacing w:line="520" w:lineRule="exact"/>
        <w:ind w:firstLine="640" w:firstLineChars="200"/>
        <w:rPr>
          <w:rFonts w:ascii="Times New Roman" w:hAnsi="Times New Roman" w:eastAsia="仿宋_GB2312"/>
          <w:sz w:val="32"/>
          <w:highlight w:val="none"/>
        </w:rPr>
      </w:pPr>
      <w:r>
        <w:rPr>
          <w:rFonts w:hint="eastAsia" w:ascii="Times New Roman" w:hAnsi="Times New Roman" w:eastAsia="仿宋_GB2312" w:cs="Times New Roman"/>
          <w:sz w:val="32"/>
          <w:szCs w:val="32"/>
          <w:highlight w:val="none"/>
          <w:lang w:val="en-US" w:eastAsia="zh-CN"/>
        </w:rPr>
        <w:t>1.</w:t>
      </w:r>
      <w:r>
        <w:rPr>
          <w:rFonts w:ascii="Times New Roman" w:hAnsi="Times New Roman" w:eastAsia="仿宋_GB2312" w:cs="Times New Roman"/>
          <w:sz w:val="32"/>
          <w:szCs w:val="32"/>
          <w:highlight w:val="none"/>
        </w:rPr>
        <w:t>5</w:t>
      </w:r>
      <w:r>
        <w:rPr>
          <w:rFonts w:hint="eastAsia" w:ascii="Times New Roman" w:hAnsi="Times New Roman" w:eastAsia="仿宋_GB2312"/>
          <w:sz w:val="32"/>
          <w:highlight w:val="none"/>
        </w:rPr>
        <w:t>【主要组成成分】</w:t>
      </w:r>
    </w:p>
    <w:p w14:paraId="3DD1E100">
      <w:pPr>
        <w:adjustRightInd w:val="0"/>
        <w:snapToGrid w:val="0"/>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应明确以下内容：</w:t>
      </w:r>
    </w:p>
    <w:p w14:paraId="497D97FD">
      <w:pPr>
        <w:adjustRightInd w:val="0"/>
        <w:snapToGrid w:val="0"/>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cs="Times New Roman"/>
          <w:sz w:val="32"/>
          <w:szCs w:val="32"/>
          <w:highlight w:val="none"/>
          <w:lang w:val="en-US" w:eastAsia="zh-CN"/>
        </w:rPr>
        <w:t>1.</w:t>
      </w:r>
      <w:r>
        <w:rPr>
          <w:rFonts w:ascii="Times New Roman" w:hAnsi="Times New Roman" w:eastAsia="仿宋_GB2312" w:cs="Times New Roman"/>
          <w:sz w:val="32"/>
          <w:szCs w:val="32"/>
          <w:highlight w:val="none"/>
        </w:rPr>
        <w:t>5.1</w:t>
      </w:r>
      <w:r>
        <w:rPr>
          <w:rFonts w:hint="eastAsia" w:ascii="Times New Roman" w:hAnsi="Times New Roman" w:eastAsia="仿宋_GB2312"/>
          <w:sz w:val="32"/>
          <w:szCs w:val="32"/>
          <w:highlight w:val="none"/>
        </w:rPr>
        <w:t>说明试剂盒包含组分的名称、数量、装量。说明各组分中的核心反应成分（如</w:t>
      </w:r>
      <w:r>
        <w:rPr>
          <w:rFonts w:hint="eastAsia" w:ascii="Times New Roman" w:hAnsi="Times New Roman" w:eastAsia="仿宋_GB2312"/>
          <w:sz w:val="32"/>
          <w:szCs w:val="32"/>
          <w:highlight w:val="none"/>
          <w:lang w:val="en-US" w:eastAsia="zh-CN"/>
        </w:rPr>
        <w:t>包被</w:t>
      </w:r>
      <w:r>
        <w:rPr>
          <w:rFonts w:hint="eastAsia" w:ascii="Times New Roman" w:hAnsi="Times New Roman" w:eastAsia="仿宋_GB2312"/>
          <w:sz w:val="32"/>
          <w:szCs w:val="32"/>
          <w:lang w:val="en-US" w:eastAsia="zh-CN"/>
        </w:rPr>
        <w:t>PTH</w:t>
      </w:r>
      <w:r>
        <w:rPr>
          <w:rFonts w:hint="eastAsia" w:ascii="Times New Roman" w:hAnsi="Times New Roman" w:eastAsia="仿宋_GB2312"/>
          <w:sz w:val="32"/>
          <w:szCs w:val="32"/>
          <w:highlight w:val="none"/>
          <w:lang w:val="en-US" w:eastAsia="zh-CN"/>
        </w:rPr>
        <w:t>抗体的磁微粒</w:t>
      </w:r>
      <w:r>
        <w:rPr>
          <w:rFonts w:hint="eastAsia" w:ascii="Times New Roman" w:hAnsi="Times New Roman" w:eastAsia="仿宋_GB2312"/>
          <w:bCs/>
          <w:sz w:val="32"/>
          <w:szCs w:val="32"/>
          <w:highlight w:val="none"/>
        </w:rPr>
        <w:t>）</w:t>
      </w:r>
      <w:r>
        <w:rPr>
          <w:rFonts w:hint="eastAsia" w:ascii="Times New Roman" w:hAnsi="Times New Roman" w:eastAsia="仿宋_GB2312"/>
          <w:sz w:val="32"/>
          <w:szCs w:val="32"/>
          <w:highlight w:val="none"/>
        </w:rPr>
        <w:t>、基质（如</w:t>
      </w:r>
      <w:r>
        <w:rPr>
          <w:rFonts w:hint="eastAsia" w:ascii="Times New Roman" w:hAnsi="Times New Roman" w:eastAsia="仿宋_GB2312"/>
          <w:sz w:val="32"/>
          <w:szCs w:val="32"/>
        </w:rPr>
        <w:t>Tris</w:t>
      </w:r>
      <w:r>
        <w:rPr>
          <w:rFonts w:hint="eastAsia" w:ascii="Times New Roman" w:hAnsi="Times New Roman" w:eastAsia="仿宋_GB2312"/>
          <w:sz w:val="32"/>
          <w:szCs w:val="32"/>
          <w:highlight w:val="none"/>
        </w:rPr>
        <w:t>缓冲液）、防腐剂等。必要时，明确组分在基质中的浓度、比例等信息。对于多组分产品，说明不同批号试剂盒中各组分是否可以互换。</w:t>
      </w:r>
    </w:p>
    <w:p w14:paraId="2C13F16F">
      <w:pPr>
        <w:adjustRightInd w:val="0"/>
        <w:snapToGrid w:val="0"/>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w:t>
      </w:r>
      <w:r>
        <w:rPr>
          <w:rFonts w:ascii="Times New Roman" w:hAnsi="Times New Roman" w:eastAsia="仿宋_GB2312"/>
          <w:sz w:val="32"/>
          <w:szCs w:val="32"/>
          <w:highlight w:val="none"/>
        </w:rPr>
        <w:t>5.2</w:t>
      </w:r>
      <w:r>
        <w:rPr>
          <w:rFonts w:hint="eastAsia" w:ascii="Times New Roman" w:hAnsi="Times New Roman" w:eastAsia="仿宋_GB2312"/>
          <w:sz w:val="32"/>
          <w:szCs w:val="32"/>
          <w:highlight w:val="none"/>
        </w:rPr>
        <w:t>产品如包含校准品、质控品，说明浓度水平、核心反应成分及其生物学来源，明确基质、防腐剂等。此外，校准品应明确定值及其溯源性，质控品应注明靶值和靶值范围，若校准品或质控品的值为批特异，可注明批特异，并附单独的靶值。</w:t>
      </w:r>
    </w:p>
    <w:p w14:paraId="47892461">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w:t>
      </w:r>
      <w:r>
        <w:rPr>
          <w:rFonts w:ascii="Times New Roman" w:hAnsi="Times New Roman" w:eastAsia="仿宋_GB2312"/>
          <w:sz w:val="32"/>
          <w:szCs w:val="32"/>
          <w:highlight w:val="none"/>
        </w:rPr>
        <w:t>5.3</w:t>
      </w:r>
      <w:r>
        <w:rPr>
          <w:rFonts w:hint="eastAsia" w:ascii="Times New Roman" w:hAnsi="Times New Roman" w:eastAsia="仿宋_GB2312"/>
          <w:sz w:val="32"/>
          <w:szCs w:val="32"/>
          <w:highlight w:val="none"/>
        </w:rPr>
        <w:t>试剂盒中不包含但对该项检测必需的组分，</w:t>
      </w:r>
      <w:r>
        <w:rPr>
          <w:rFonts w:ascii="Times New Roman" w:hAnsi="Times New Roman" w:eastAsia="仿宋_GB2312"/>
          <w:sz w:val="32"/>
          <w:szCs w:val="32"/>
          <w:highlight w:val="none"/>
        </w:rPr>
        <w:t>应列明检测所需但未包含在本试剂盒中的试剂名称。</w:t>
      </w:r>
      <w:r>
        <w:rPr>
          <w:rFonts w:hint="eastAsia" w:ascii="Times New Roman" w:hAnsi="Times New Roman" w:eastAsia="仿宋_GB2312"/>
          <w:sz w:val="32"/>
          <w:szCs w:val="32"/>
          <w:highlight w:val="none"/>
        </w:rPr>
        <w:t>如该试剂已取得注册证编号/备案编号，需注明“</w:t>
      </w:r>
      <w:r>
        <w:rPr>
          <w:rFonts w:ascii="Times New Roman" w:hAnsi="Times New Roman" w:eastAsia="仿宋_GB2312"/>
          <w:sz w:val="32"/>
          <w:szCs w:val="32"/>
          <w:highlight w:val="none"/>
        </w:rPr>
        <w:t>注册证</w:t>
      </w:r>
      <w:r>
        <w:rPr>
          <w:rFonts w:hint="eastAsia" w:ascii="Times New Roman" w:hAnsi="Times New Roman" w:eastAsia="仿宋_GB2312"/>
          <w:sz w:val="32"/>
          <w:szCs w:val="32"/>
          <w:highlight w:val="none"/>
        </w:rPr>
        <w:t>编</w:t>
      </w:r>
      <w:r>
        <w:rPr>
          <w:rFonts w:ascii="Times New Roman" w:hAnsi="Times New Roman" w:eastAsia="仿宋_GB2312"/>
          <w:sz w:val="32"/>
          <w:szCs w:val="32"/>
          <w:highlight w:val="none"/>
        </w:rPr>
        <w:t>号/备案</w:t>
      </w:r>
      <w:r>
        <w:rPr>
          <w:rFonts w:hint="eastAsia" w:ascii="Times New Roman" w:hAnsi="Times New Roman" w:eastAsia="仿宋_GB2312"/>
          <w:sz w:val="32"/>
          <w:szCs w:val="32"/>
          <w:highlight w:val="none"/>
        </w:rPr>
        <w:t>编</w:t>
      </w:r>
      <w:r>
        <w:rPr>
          <w:rFonts w:ascii="Times New Roman" w:hAnsi="Times New Roman" w:eastAsia="仿宋_GB2312"/>
          <w:sz w:val="32"/>
          <w:szCs w:val="32"/>
          <w:highlight w:val="none"/>
        </w:rPr>
        <w:t>号及货号</w:t>
      </w:r>
      <w:r>
        <w:rPr>
          <w:rFonts w:hint="eastAsia" w:ascii="Times New Roman" w:hAnsi="Times New Roman" w:eastAsia="仿宋_GB2312"/>
          <w:sz w:val="32"/>
          <w:szCs w:val="32"/>
          <w:highlight w:val="none"/>
        </w:rPr>
        <w:t>”；如该试剂正处于注册/备案阶段，</w:t>
      </w:r>
      <w:r>
        <w:rPr>
          <w:rFonts w:ascii="Times New Roman" w:hAnsi="Times New Roman" w:eastAsia="仿宋_GB2312"/>
          <w:sz w:val="32"/>
          <w:szCs w:val="32"/>
          <w:highlight w:val="none"/>
        </w:rPr>
        <w:t>需注明“货号及注册证</w:t>
      </w:r>
      <w:r>
        <w:rPr>
          <w:rFonts w:hint="eastAsia" w:ascii="Times New Roman" w:hAnsi="Times New Roman" w:eastAsia="仿宋_GB2312"/>
          <w:sz w:val="32"/>
          <w:szCs w:val="32"/>
          <w:highlight w:val="none"/>
        </w:rPr>
        <w:t>编</w:t>
      </w:r>
      <w:r>
        <w:rPr>
          <w:rFonts w:ascii="Times New Roman" w:hAnsi="Times New Roman" w:eastAsia="仿宋_GB2312"/>
          <w:sz w:val="32"/>
          <w:szCs w:val="32"/>
          <w:highlight w:val="none"/>
        </w:rPr>
        <w:t>号:（留空）/备案</w:t>
      </w:r>
      <w:r>
        <w:rPr>
          <w:rFonts w:hint="eastAsia" w:ascii="Times New Roman" w:hAnsi="Times New Roman" w:eastAsia="仿宋_GB2312"/>
          <w:sz w:val="32"/>
          <w:szCs w:val="32"/>
          <w:highlight w:val="none"/>
        </w:rPr>
        <w:t>编</w:t>
      </w:r>
      <w:r>
        <w:rPr>
          <w:rFonts w:ascii="Times New Roman" w:hAnsi="Times New Roman" w:eastAsia="仿宋_GB2312"/>
          <w:sz w:val="32"/>
          <w:szCs w:val="32"/>
          <w:highlight w:val="none"/>
        </w:rPr>
        <w:t>号:（留空）”</w:t>
      </w:r>
    </w:p>
    <w:p w14:paraId="2A5577E9">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1.6</w:t>
      </w:r>
      <w:r>
        <w:rPr>
          <w:rFonts w:ascii="Times New Roman" w:hAnsi="Times New Roman" w:eastAsia="仿宋_GB2312"/>
          <w:sz w:val="32"/>
          <w:szCs w:val="32"/>
          <w:highlight w:val="none"/>
        </w:rPr>
        <w:t>【储存条件及有效期】</w:t>
      </w:r>
    </w:p>
    <w:p w14:paraId="1606892B">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1.6</w:t>
      </w:r>
      <w:r>
        <w:rPr>
          <w:rFonts w:hint="eastAsia" w:ascii="Times New Roman" w:hAnsi="Times New Roman" w:eastAsia="仿宋_GB2312"/>
          <w:sz w:val="32"/>
          <w:szCs w:val="32"/>
          <w:highlight w:val="none"/>
        </w:rPr>
        <w:t>.1</w:t>
      </w:r>
      <w:r>
        <w:rPr>
          <w:rFonts w:ascii="Times New Roman" w:hAnsi="Times New Roman" w:eastAsia="仿宋_GB2312"/>
          <w:color w:val="000000"/>
          <w:sz w:val="32"/>
          <w:szCs w:val="32"/>
          <w:highlight w:val="none"/>
        </w:rPr>
        <w:t>对试剂盒的效期稳定性、开瓶稳定性等信息做详细介绍，包括环境温湿度、避光条件等影响稳定性的条件。如注册单元含校准品或质控品且其形态为干粉（包含试剂为冻干粉状态），则应对复溶后的储存条件、稳定性做详细介绍。</w:t>
      </w:r>
    </w:p>
    <w:p w14:paraId="06EBAAE1">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1.6</w:t>
      </w:r>
      <w:r>
        <w:rPr>
          <w:rFonts w:hint="eastAsia" w:ascii="Times New Roman" w:hAnsi="Times New Roman" w:eastAsia="仿宋_GB2312"/>
          <w:sz w:val="32"/>
          <w:szCs w:val="32"/>
          <w:highlight w:val="none"/>
        </w:rPr>
        <w:t>.2</w:t>
      </w:r>
      <w:r>
        <w:rPr>
          <w:rFonts w:ascii="Times New Roman" w:hAnsi="Times New Roman" w:eastAsia="仿宋_GB2312"/>
          <w:sz w:val="32"/>
          <w:szCs w:val="32"/>
          <w:highlight w:val="none"/>
        </w:rPr>
        <w:t>不同组分保存条件及有效期不同时，应分别</w:t>
      </w:r>
      <w:r>
        <w:rPr>
          <w:rFonts w:hint="eastAsia" w:ascii="Times New Roman" w:hAnsi="Times New Roman" w:eastAsia="仿宋_GB2312"/>
          <w:sz w:val="32"/>
          <w:szCs w:val="32"/>
          <w:highlight w:val="none"/>
        </w:rPr>
        <w:t>描述</w:t>
      </w:r>
      <w:r>
        <w:rPr>
          <w:rFonts w:ascii="Times New Roman" w:hAnsi="Times New Roman" w:eastAsia="仿宋_GB2312"/>
          <w:sz w:val="32"/>
          <w:szCs w:val="32"/>
          <w:highlight w:val="none"/>
        </w:rPr>
        <w:t>。</w:t>
      </w:r>
    </w:p>
    <w:p w14:paraId="476FF0E6">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1.6</w:t>
      </w:r>
      <w:r>
        <w:rPr>
          <w:rFonts w:ascii="Times New Roman" w:hAnsi="Times New Roman" w:eastAsia="仿宋_GB2312"/>
          <w:sz w:val="32"/>
          <w:szCs w:val="32"/>
          <w:highlight w:val="none"/>
        </w:rPr>
        <w:t>.3对于可以冷冻的试剂应注明冻融次数限制。</w:t>
      </w:r>
    </w:p>
    <w:p w14:paraId="49981641">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1.6</w:t>
      </w:r>
      <w:r>
        <w:rPr>
          <w:rFonts w:ascii="Times New Roman" w:hAnsi="Times New Roman" w:eastAsia="仿宋_GB2312"/>
          <w:sz w:val="32"/>
          <w:szCs w:val="32"/>
          <w:highlight w:val="none"/>
        </w:rPr>
        <w:t>.4注明生产日期、</w:t>
      </w:r>
      <w:r>
        <w:rPr>
          <w:rFonts w:hint="eastAsia" w:ascii="Times New Roman" w:hAnsi="Times New Roman" w:eastAsia="仿宋_GB2312"/>
          <w:sz w:val="32"/>
          <w:szCs w:val="32"/>
          <w:highlight w:val="none"/>
        </w:rPr>
        <w:t>使用期限/失效日期/有效期至见标签</w:t>
      </w:r>
      <w:r>
        <w:rPr>
          <w:rFonts w:ascii="Times New Roman" w:hAnsi="Times New Roman" w:eastAsia="仿宋_GB2312"/>
          <w:sz w:val="32"/>
          <w:szCs w:val="32"/>
          <w:highlight w:val="none"/>
        </w:rPr>
        <w:t>。</w:t>
      </w:r>
    </w:p>
    <w:p w14:paraId="4A2A4D55">
      <w:pPr>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注：保存条件不应有模糊表述，如</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室温</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，应明确贮存温度。</w:t>
      </w:r>
    </w:p>
    <w:p w14:paraId="5C4E87C9">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1.7</w:t>
      </w:r>
      <w:r>
        <w:rPr>
          <w:rFonts w:hint="eastAsia" w:ascii="Times New Roman" w:hAnsi="Times New Roman" w:eastAsia="仿宋_GB2312"/>
          <w:sz w:val="32"/>
          <w:szCs w:val="32"/>
          <w:highlight w:val="none"/>
        </w:rPr>
        <w:t>【适用仪器】</w:t>
      </w:r>
    </w:p>
    <w:p w14:paraId="78CECA51">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简述对适用仪器的具体要求，如仪器名称及型号等。</w:t>
      </w:r>
      <w:r>
        <w:rPr>
          <w:rFonts w:hint="eastAsia" w:ascii="Times New Roman" w:hAnsi="Times New Roman" w:eastAsia="仿宋_GB2312"/>
          <w:color w:val="000000"/>
          <w:sz w:val="32"/>
          <w:szCs w:val="32"/>
          <w:highlight w:val="none"/>
        </w:rPr>
        <w:t>如</w:t>
      </w:r>
      <w:r>
        <w:rPr>
          <w:rFonts w:ascii="Times New Roman" w:hAnsi="Times New Roman" w:eastAsia="仿宋_GB2312"/>
          <w:color w:val="000000"/>
          <w:sz w:val="32"/>
          <w:szCs w:val="32"/>
          <w:highlight w:val="none"/>
        </w:rPr>
        <w:t>不同规格适用不同机型也应说明，且与分析性能评估资料一致。</w:t>
      </w:r>
    </w:p>
    <w:p w14:paraId="39C2EE9A">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1.8</w:t>
      </w:r>
      <w:r>
        <w:rPr>
          <w:rFonts w:hint="eastAsia" w:ascii="Times New Roman" w:hAnsi="Times New Roman" w:eastAsia="仿宋_GB2312"/>
          <w:sz w:val="32"/>
          <w:szCs w:val="32"/>
          <w:highlight w:val="none"/>
        </w:rPr>
        <w:t>【样本要求】</w:t>
      </w:r>
    </w:p>
    <w:p w14:paraId="25931412">
      <w:pPr>
        <w:spacing w:line="520" w:lineRule="exact"/>
        <w:ind w:firstLine="640" w:firstLineChars="200"/>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重点明确以下内容：</w:t>
      </w:r>
    </w:p>
    <w:p w14:paraId="03B91B23">
      <w:pPr>
        <w:spacing w:line="520" w:lineRule="exact"/>
        <w:ind w:firstLine="640" w:firstLineChars="200"/>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lang w:val="en-US" w:eastAsia="zh-CN"/>
        </w:rPr>
        <w:t>1.8</w:t>
      </w:r>
      <w:r>
        <w:rPr>
          <w:rFonts w:ascii="Times New Roman" w:hAnsi="Times New Roman" w:eastAsia="仿宋_GB2312"/>
          <w:color w:val="000000"/>
          <w:sz w:val="32"/>
          <w:szCs w:val="32"/>
          <w:highlight w:val="none"/>
        </w:rPr>
        <w:t>.1</w:t>
      </w:r>
      <w:r>
        <w:rPr>
          <w:rFonts w:ascii="Times New Roman" w:hAnsi="Times New Roman" w:eastAsia="仿宋_GB2312"/>
          <w:sz w:val="32"/>
          <w:szCs w:val="32"/>
        </w:rPr>
        <w:t>适用的样本类型。</w:t>
      </w:r>
    </w:p>
    <w:p w14:paraId="19602C72">
      <w:pPr>
        <w:spacing w:line="520" w:lineRule="exact"/>
        <w:ind w:firstLine="640" w:firstLineChars="200"/>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lang w:val="en-US" w:eastAsia="zh-CN"/>
        </w:rPr>
        <w:t>1.8.2</w:t>
      </w:r>
      <w:r>
        <w:rPr>
          <w:rFonts w:ascii="Times New Roman" w:hAnsi="Times New Roman" w:eastAsia="仿宋_GB2312"/>
          <w:color w:val="000000"/>
          <w:sz w:val="32"/>
          <w:szCs w:val="32"/>
          <w:highlight w:val="none"/>
        </w:rPr>
        <w:t>样本采集：说明采集方法及样本类型，如有血浆</w:t>
      </w:r>
      <w:r>
        <w:rPr>
          <w:rFonts w:hint="eastAsia" w:ascii="Times New Roman" w:hAnsi="Times New Roman" w:eastAsia="仿宋_GB2312"/>
          <w:color w:val="000000"/>
          <w:sz w:val="32"/>
          <w:szCs w:val="32"/>
          <w:highlight w:val="none"/>
        </w:rPr>
        <w:t>/全血</w:t>
      </w:r>
      <w:r>
        <w:rPr>
          <w:rFonts w:ascii="Times New Roman" w:hAnsi="Times New Roman" w:eastAsia="仿宋_GB2312"/>
          <w:color w:val="000000"/>
          <w:sz w:val="32"/>
          <w:szCs w:val="32"/>
          <w:highlight w:val="none"/>
        </w:rPr>
        <w:t>样本，应注明对抗凝剂的要求。</w:t>
      </w:r>
    </w:p>
    <w:p w14:paraId="4562735E">
      <w:pPr>
        <w:spacing w:line="520" w:lineRule="exact"/>
        <w:ind w:firstLine="640" w:firstLineChars="200"/>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lang w:val="en-US" w:eastAsia="zh-CN"/>
        </w:rPr>
        <w:t>1.8</w:t>
      </w:r>
      <w:r>
        <w:rPr>
          <w:rFonts w:ascii="Times New Roman" w:hAnsi="Times New Roman" w:eastAsia="仿宋_GB2312"/>
          <w:color w:val="000000"/>
          <w:sz w:val="32"/>
          <w:szCs w:val="32"/>
          <w:highlight w:val="none"/>
        </w:rPr>
        <w:t>.</w:t>
      </w:r>
      <w:r>
        <w:rPr>
          <w:rFonts w:hint="eastAsia" w:ascii="Times New Roman" w:hAnsi="Times New Roman" w:eastAsia="仿宋_GB2312"/>
          <w:color w:val="000000"/>
          <w:sz w:val="32"/>
          <w:szCs w:val="32"/>
          <w:highlight w:val="none"/>
          <w:lang w:val="en-US" w:eastAsia="zh-CN"/>
        </w:rPr>
        <w:t>3</w:t>
      </w:r>
      <w:r>
        <w:rPr>
          <w:rFonts w:ascii="Times New Roman" w:hAnsi="Times New Roman" w:eastAsia="仿宋_GB2312"/>
          <w:color w:val="000000"/>
          <w:sz w:val="32"/>
          <w:szCs w:val="32"/>
          <w:highlight w:val="none"/>
        </w:rPr>
        <w:t>样本处理及保存：样本处理方法、保存条件及期限、运输条件等。冷藏/冷冻样本检测前是否须恢复室温，</w:t>
      </w:r>
      <w:r>
        <w:rPr>
          <w:rFonts w:hint="eastAsia" w:ascii="Times New Roman" w:hAnsi="Times New Roman" w:eastAsia="仿宋_GB2312"/>
          <w:color w:val="000000"/>
          <w:sz w:val="32"/>
          <w:szCs w:val="32"/>
          <w:highlight w:val="none"/>
        </w:rPr>
        <w:t>如需冻存，应明确冻存条件和</w:t>
      </w:r>
      <w:r>
        <w:rPr>
          <w:rFonts w:ascii="Times New Roman" w:hAnsi="Times New Roman" w:eastAsia="仿宋_GB2312"/>
          <w:color w:val="000000"/>
          <w:sz w:val="32"/>
          <w:szCs w:val="32"/>
          <w:highlight w:val="none"/>
        </w:rPr>
        <w:t>冻融次数。对储存样本的添加剂要求等，应与样本稳定性的研究一致。</w:t>
      </w:r>
    </w:p>
    <w:p w14:paraId="457A5364">
      <w:pPr>
        <w:spacing w:line="520" w:lineRule="exact"/>
        <w:ind w:firstLine="640" w:firstLineChars="200"/>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lang w:val="en-US" w:eastAsia="zh-CN"/>
        </w:rPr>
        <w:t>1.9</w:t>
      </w:r>
      <w:r>
        <w:rPr>
          <w:rFonts w:hint="eastAsia" w:ascii="Times New Roman" w:hAnsi="Times New Roman" w:eastAsia="仿宋_GB2312"/>
          <w:color w:val="000000"/>
          <w:sz w:val="32"/>
          <w:szCs w:val="32"/>
          <w:highlight w:val="none"/>
        </w:rPr>
        <w:t>【检验方法】</w:t>
      </w:r>
    </w:p>
    <w:p w14:paraId="0008D346">
      <w:pPr>
        <w:spacing w:line="520" w:lineRule="exact"/>
        <w:ind w:firstLine="640" w:firstLineChars="200"/>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包含样本处理、试剂配制、反应步骤、反应体系和参数设置等过程。应明确检测过程、主要步骤及反应体系的关键参数。对于适用仪器为全自动的，也应明确适用仪器中与检测相关的运行模式、关键参数等设置，不建议仅以“具体操作步骤及参数设置见仪器说明书”等字样进行描述。</w:t>
      </w:r>
    </w:p>
    <w:p w14:paraId="62A45B87">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1.10</w:t>
      </w:r>
      <w:r>
        <w:rPr>
          <w:rFonts w:hint="eastAsia" w:ascii="Times New Roman" w:hAnsi="Times New Roman" w:eastAsia="仿宋_GB2312"/>
          <w:sz w:val="32"/>
          <w:szCs w:val="32"/>
          <w:highlight w:val="none"/>
        </w:rPr>
        <w:t>【参考区间】</w:t>
      </w:r>
    </w:p>
    <w:p w14:paraId="5E34C5EC">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简述研究使用样本量、人群特征（如性别、年龄、种族等）、阳性判断值/参考区间确定采用的统计学方法。</w:t>
      </w:r>
    </w:p>
    <w:p w14:paraId="49DB8E4F">
      <w:pPr>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color w:val="000000"/>
          <w:sz w:val="32"/>
          <w:szCs w:val="32"/>
          <w:highlight w:val="none"/>
        </w:rPr>
        <w:t>建议注明“由于地理、人种、性别和年龄等差异，建议各实验室建立自己的参考区间”</w:t>
      </w:r>
      <w:r>
        <w:rPr>
          <w:rFonts w:hint="eastAsia" w:ascii="Times New Roman" w:hAnsi="Times New Roman" w:eastAsia="仿宋_GB2312"/>
          <w:color w:val="000000"/>
          <w:sz w:val="32"/>
          <w:szCs w:val="32"/>
          <w:highlight w:val="none"/>
        </w:rPr>
        <w:t>。</w:t>
      </w:r>
    </w:p>
    <w:p w14:paraId="52E31631">
      <w:pPr>
        <w:spacing w:line="520" w:lineRule="exact"/>
        <w:ind w:firstLine="640" w:firstLineChars="200"/>
        <w:rPr>
          <w:rFonts w:ascii="Times New Roman" w:hAnsi="Times New Roman" w:eastAsia="仿宋_GB2312"/>
          <w:bCs/>
          <w:sz w:val="32"/>
          <w:highlight w:val="none"/>
        </w:rPr>
      </w:pPr>
      <w:r>
        <w:rPr>
          <w:rFonts w:hint="eastAsia" w:ascii="Times New Roman" w:hAnsi="Times New Roman" w:eastAsia="仿宋_GB2312" w:cs="Times New Roman"/>
          <w:bCs w:val="0"/>
          <w:sz w:val="32"/>
          <w:szCs w:val="32"/>
          <w:highlight w:val="none"/>
          <w:lang w:val="en-US" w:eastAsia="zh-CN"/>
        </w:rPr>
        <w:t>1.</w:t>
      </w:r>
      <w:r>
        <w:rPr>
          <w:rFonts w:ascii="Times New Roman" w:hAnsi="Times New Roman" w:eastAsia="仿宋_GB2312" w:cs="Times New Roman"/>
          <w:bCs w:val="0"/>
          <w:sz w:val="32"/>
          <w:szCs w:val="32"/>
          <w:highlight w:val="none"/>
        </w:rPr>
        <w:t>11</w:t>
      </w:r>
      <w:r>
        <w:rPr>
          <w:rFonts w:hint="eastAsia" w:ascii="Times New Roman" w:hAnsi="Times New Roman" w:eastAsia="仿宋_GB2312"/>
          <w:bCs/>
          <w:sz w:val="32"/>
          <w:highlight w:val="none"/>
        </w:rPr>
        <w:t>【检验结果的解释】</w:t>
      </w:r>
    </w:p>
    <w:p w14:paraId="18D30785">
      <w:pPr>
        <w:spacing w:line="520" w:lineRule="exact"/>
        <w:ind w:firstLine="640" w:firstLineChars="200"/>
        <w:rPr>
          <w:rFonts w:ascii="Times New Roman" w:hAnsi="Times New Roman" w:eastAsia="仿宋_GB2312"/>
          <w:bCs/>
          <w:sz w:val="32"/>
          <w:highlight w:val="none"/>
        </w:rPr>
      </w:pPr>
      <w:r>
        <w:rPr>
          <w:rFonts w:hint="eastAsia" w:ascii="Times New Roman" w:hAnsi="Times New Roman" w:eastAsia="仿宋_GB2312" w:cs="Times New Roman"/>
          <w:bCs w:val="0"/>
          <w:sz w:val="32"/>
          <w:szCs w:val="32"/>
          <w:highlight w:val="none"/>
          <w:lang w:val="en-US" w:eastAsia="zh-CN"/>
        </w:rPr>
        <w:t>1.</w:t>
      </w:r>
      <w:r>
        <w:rPr>
          <w:rFonts w:hint="default" w:ascii="Times New Roman" w:hAnsi="Times New Roman" w:eastAsia="仿宋_GB2312" w:cs="Times New Roman"/>
          <w:bCs w:val="0"/>
          <w:sz w:val="32"/>
          <w:szCs w:val="32"/>
          <w:highlight w:val="none"/>
        </w:rPr>
        <w:t>11.1</w:t>
      </w:r>
      <w:r>
        <w:rPr>
          <w:rFonts w:hint="eastAsia" w:ascii="Times New Roman" w:hAnsi="Times New Roman" w:eastAsia="仿宋_GB2312"/>
          <w:bCs/>
          <w:sz w:val="32"/>
          <w:highlight w:val="none"/>
        </w:rPr>
        <w:t>应根据其临床意义对可能出现的结果进行合理的解释。</w:t>
      </w:r>
    </w:p>
    <w:p w14:paraId="11AD204E">
      <w:pPr>
        <w:spacing w:line="520" w:lineRule="exact"/>
        <w:ind w:firstLine="640" w:firstLineChars="200"/>
        <w:rPr>
          <w:rFonts w:ascii="Times New Roman" w:hAnsi="Times New Roman" w:eastAsia="仿宋_GB2312"/>
          <w:bCs/>
          <w:sz w:val="32"/>
          <w:highlight w:val="none"/>
        </w:rPr>
      </w:pPr>
      <w:r>
        <w:rPr>
          <w:rFonts w:hint="eastAsia" w:ascii="Times New Roman" w:hAnsi="Times New Roman" w:eastAsia="仿宋_GB2312" w:cs="Times New Roman"/>
          <w:bCs w:val="0"/>
          <w:sz w:val="32"/>
          <w:szCs w:val="32"/>
          <w:highlight w:val="none"/>
          <w:lang w:val="en-US" w:eastAsia="zh-CN"/>
        </w:rPr>
        <w:t>1.</w:t>
      </w:r>
      <w:r>
        <w:rPr>
          <w:rFonts w:hint="default" w:ascii="Times New Roman" w:hAnsi="Times New Roman" w:eastAsia="仿宋_GB2312" w:cs="Times New Roman"/>
          <w:bCs w:val="0"/>
          <w:sz w:val="32"/>
          <w:szCs w:val="32"/>
          <w:highlight w:val="none"/>
        </w:rPr>
        <w:t>11.2</w:t>
      </w:r>
      <w:r>
        <w:rPr>
          <w:rFonts w:hint="eastAsia" w:ascii="Times New Roman" w:hAnsi="Times New Roman" w:eastAsia="仿宋_GB2312"/>
          <w:bCs/>
          <w:sz w:val="32"/>
          <w:highlight w:val="none"/>
        </w:rPr>
        <w:t>说明在何种情况下应对样本进行重复测试，以及在重复测试时需要采取的样本处理方式。</w:t>
      </w:r>
    </w:p>
    <w:p w14:paraId="2D463046">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1.12</w:t>
      </w:r>
      <w:r>
        <w:rPr>
          <w:rFonts w:ascii="Times New Roman" w:hAnsi="Times New Roman" w:eastAsia="仿宋_GB2312"/>
          <w:sz w:val="32"/>
          <w:szCs w:val="32"/>
          <w:highlight w:val="none"/>
        </w:rPr>
        <w:t>【检验方法的局限性】</w:t>
      </w:r>
    </w:p>
    <w:p w14:paraId="572CA9DC">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1.12</w:t>
      </w:r>
      <w:r>
        <w:rPr>
          <w:rFonts w:hint="eastAsia" w:ascii="Times New Roman" w:hAnsi="Times New Roman" w:eastAsia="仿宋_GB2312"/>
          <w:sz w:val="32"/>
          <w:szCs w:val="32"/>
          <w:highlight w:val="none"/>
        </w:rPr>
        <w:t>.1</w:t>
      </w:r>
      <w:r>
        <w:rPr>
          <w:rFonts w:ascii="Times New Roman" w:hAnsi="Times New Roman" w:eastAsia="仿宋_GB2312"/>
          <w:sz w:val="32"/>
          <w:szCs w:val="32"/>
          <w:highlight w:val="none"/>
        </w:rPr>
        <w:t>本产品检测结果仅供临床参考，不应作为临床</w:t>
      </w:r>
      <w:r>
        <w:rPr>
          <w:rFonts w:hint="eastAsia" w:ascii="Times New Roman" w:hAnsi="Times New Roman" w:eastAsia="仿宋_GB2312"/>
          <w:sz w:val="32"/>
          <w:szCs w:val="32"/>
          <w:highlight w:val="none"/>
        </w:rPr>
        <w:t>诊断</w:t>
      </w:r>
      <w:r>
        <w:rPr>
          <w:rFonts w:ascii="Times New Roman" w:hAnsi="Times New Roman" w:eastAsia="仿宋_GB2312"/>
          <w:sz w:val="32"/>
          <w:szCs w:val="32"/>
          <w:highlight w:val="none"/>
        </w:rPr>
        <w:t>的唯一依据，应结合患者性别、年龄、病史及其他实验室指标等信息综合考虑。当检验结果出现与临床不符甚至相悖的情况，应分析查找原因并重新确认等。</w:t>
      </w:r>
    </w:p>
    <w:p w14:paraId="179372AC">
      <w:pPr>
        <w:spacing w:line="520" w:lineRule="exact"/>
        <w:ind w:firstLine="640" w:firstLineChars="200"/>
        <w:rPr>
          <w:rFonts w:ascii="Times New Roman" w:hAnsi="Times New Roman" w:eastAsia="仿宋_GB2312"/>
          <w:color w:val="000000"/>
          <w:sz w:val="32"/>
          <w:szCs w:val="32"/>
          <w:highlight w:val="none"/>
        </w:rPr>
      </w:pPr>
      <w:r>
        <w:rPr>
          <w:rFonts w:hint="eastAsia" w:ascii="Times New Roman" w:hAnsi="Times New Roman" w:eastAsia="仿宋_GB2312"/>
          <w:sz w:val="32"/>
          <w:szCs w:val="32"/>
          <w:highlight w:val="none"/>
          <w:lang w:val="en-US" w:eastAsia="zh-CN"/>
        </w:rPr>
        <w:t>1.12</w:t>
      </w:r>
      <w:r>
        <w:rPr>
          <w:rFonts w:ascii="Times New Roman" w:hAnsi="Times New Roman" w:eastAsia="仿宋_GB2312"/>
          <w:sz w:val="32"/>
          <w:szCs w:val="32"/>
          <w:highlight w:val="none"/>
        </w:rPr>
        <w:t>.2</w:t>
      </w:r>
      <w:r>
        <w:rPr>
          <w:rFonts w:ascii="Times New Roman" w:hAnsi="Times New Roman" w:eastAsia="仿宋_GB2312"/>
          <w:kern w:val="0"/>
          <w:sz w:val="32"/>
          <w:szCs w:val="32"/>
          <w:highlight w:val="none"/>
        </w:rPr>
        <w:t>明确超出测定范围的样本</w:t>
      </w:r>
      <w:r>
        <w:rPr>
          <w:rFonts w:hint="eastAsia" w:ascii="Times New Roman" w:hAnsi="Times New Roman" w:eastAsia="仿宋_GB2312"/>
          <w:kern w:val="0"/>
          <w:sz w:val="32"/>
          <w:szCs w:val="32"/>
          <w:highlight w:val="none"/>
        </w:rPr>
        <w:t>如何</w:t>
      </w:r>
      <w:r>
        <w:rPr>
          <w:rFonts w:ascii="Times New Roman" w:hAnsi="Times New Roman" w:eastAsia="仿宋_GB2312"/>
          <w:kern w:val="0"/>
          <w:sz w:val="32"/>
          <w:szCs w:val="32"/>
          <w:highlight w:val="none"/>
        </w:rPr>
        <w:t>报告结果。</w:t>
      </w:r>
      <w:r>
        <w:rPr>
          <w:rFonts w:ascii="Times New Roman" w:hAnsi="Times New Roman" w:eastAsia="仿宋_GB2312"/>
          <w:color w:val="000000"/>
          <w:sz w:val="32"/>
          <w:szCs w:val="32"/>
          <w:highlight w:val="none"/>
        </w:rPr>
        <w:t>若超过线性范围上限的高浓度样本可稀释后测定，则应说明样本的最大可稀释倍数、稀释液信息</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highlight w:val="none"/>
        </w:rPr>
        <w:t>应与分析性能评估资料一致。</w:t>
      </w:r>
    </w:p>
    <w:p w14:paraId="32CFF26B">
      <w:pPr>
        <w:spacing w:line="520" w:lineRule="exact"/>
        <w:ind w:firstLine="640" w:firstLineChars="200"/>
        <w:rPr>
          <w:rFonts w:ascii="Times New Roman" w:hAnsi="Times New Roman" w:eastAsia="仿宋_GB2312"/>
          <w:bCs/>
          <w:sz w:val="32"/>
          <w:highlight w:val="none"/>
        </w:rPr>
      </w:pPr>
      <w:r>
        <w:rPr>
          <w:rFonts w:hint="eastAsia" w:ascii="Times New Roman" w:hAnsi="Times New Roman" w:eastAsia="仿宋_GB2312" w:cs="Times New Roman"/>
          <w:bCs w:val="0"/>
          <w:sz w:val="32"/>
          <w:szCs w:val="32"/>
          <w:highlight w:val="none"/>
          <w:lang w:val="en-US" w:eastAsia="zh-CN"/>
        </w:rPr>
        <w:t>1.</w:t>
      </w:r>
      <w:r>
        <w:rPr>
          <w:rFonts w:hint="eastAsia" w:ascii="Times New Roman" w:hAnsi="Times New Roman" w:eastAsia="仿宋_GB2312" w:cs="Times New Roman"/>
          <w:bCs w:val="0"/>
          <w:sz w:val="32"/>
          <w:szCs w:val="32"/>
          <w:highlight w:val="none"/>
        </w:rPr>
        <w:t>13</w:t>
      </w:r>
      <w:r>
        <w:rPr>
          <w:rFonts w:hint="eastAsia" w:ascii="Times New Roman" w:hAnsi="Times New Roman" w:eastAsia="仿宋_GB2312"/>
          <w:bCs/>
          <w:sz w:val="32"/>
          <w:highlight w:val="none"/>
        </w:rPr>
        <w:t>【产品性能指标】</w:t>
      </w:r>
    </w:p>
    <w:p w14:paraId="3BEB417C">
      <w:pPr>
        <w:spacing w:line="520" w:lineRule="exact"/>
        <w:ind w:firstLine="640" w:firstLineChars="200"/>
        <w:rPr>
          <w:rFonts w:ascii="Times New Roman" w:hAnsi="Times New Roman" w:eastAsia="仿宋_GB2312"/>
          <w:sz w:val="32"/>
          <w:highlight w:val="none"/>
        </w:rPr>
      </w:pPr>
      <w:r>
        <w:rPr>
          <w:rFonts w:hint="eastAsia" w:ascii="Times New Roman" w:hAnsi="Times New Roman" w:eastAsia="仿宋_GB2312"/>
          <w:sz w:val="32"/>
          <w:highlight w:val="none"/>
        </w:rPr>
        <w:t>此项内容为分析性能研究资料和临床评价资料的总结，应:</w:t>
      </w:r>
    </w:p>
    <w:p w14:paraId="31D47E16">
      <w:pPr>
        <w:spacing w:line="520" w:lineRule="exact"/>
        <w:ind w:firstLine="640" w:firstLineChars="200"/>
        <w:rPr>
          <w:rFonts w:ascii="Times New Roman" w:hAnsi="Times New Roman" w:eastAsia="仿宋_GB2312"/>
          <w:sz w:val="32"/>
          <w:highlight w:val="none"/>
        </w:rPr>
      </w:pPr>
      <w:r>
        <w:rPr>
          <w:rFonts w:hint="eastAsia" w:ascii="Times New Roman" w:hAnsi="Times New Roman" w:eastAsia="仿宋_GB2312" w:cs="Times New Roman"/>
          <w:sz w:val="32"/>
          <w:szCs w:val="32"/>
          <w:highlight w:val="none"/>
          <w:lang w:val="en-US" w:eastAsia="zh-CN"/>
        </w:rPr>
        <w:t>1.</w:t>
      </w:r>
      <w:r>
        <w:rPr>
          <w:rFonts w:hint="eastAsia" w:ascii="Times New Roman" w:hAnsi="Times New Roman" w:eastAsia="仿宋_GB2312" w:cs="Times New Roman"/>
          <w:sz w:val="32"/>
          <w:szCs w:val="32"/>
          <w:highlight w:val="none"/>
        </w:rPr>
        <w:t>13.1</w:t>
      </w:r>
      <w:r>
        <w:rPr>
          <w:rFonts w:hint="eastAsia" w:ascii="Times New Roman" w:hAnsi="Times New Roman" w:eastAsia="仿宋_GB2312"/>
          <w:sz w:val="32"/>
          <w:highlight w:val="none"/>
        </w:rPr>
        <w:t>概括描述每项分析性能研究如准确度/正确度、精密度、测量区间及可报告区间、分析特异性等适用项目的研究方法和结果。</w:t>
      </w:r>
    </w:p>
    <w:p w14:paraId="48DDE09A">
      <w:pPr>
        <w:spacing w:line="520" w:lineRule="exact"/>
        <w:ind w:firstLine="640" w:firstLineChars="200"/>
        <w:rPr>
          <w:rFonts w:ascii="Times New Roman" w:hAnsi="Times New Roman" w:eastAsia="仿宋_GB2312"/>
          <w:sz w:val="32"/>
          <w:highlight w:val="none"/>
        </w:rPr>
      </w:pPr>
      <w:r>
        <w:rPr>
          <w:rFonts w:hint="eastAsia" w:ascii="Times New Roman" w:hAnsi="Times New Roman" w:eastAsia="仿宋_GB2312" w:cs="Times New Roman"/>
          <w:sz w:val="32"/>
          <w:szCs w:val="32"/>
          <w:highlight w:val="none"/>
          <w:lang w:val="en-US" w:eastAsia="zh-CN"/>
        </w:rPr>
        <w:t>1.</w:t>
      </w:r>
      <w:r>
        <w:rPr>
          <w:rFonts w:hint="eastAsia" w:ascii="Times New Roman" w:hAnsi="Times New Roman" w:eastAsia="仿宋_GB2312" w:cs="Times New Roman"/>
          <w:sz w:val="32"/>
          <w:szCs w:val="32"/>
          <w:highlight w:val="none"/>
        </w:rPr>
        <w:t>13.2</w:t>
      </w:r>
      <w:r>
        <w:rPr>
          <w:rFonts w:hint="eastAsia" w:ascii="Times New Roman" w:hAnsi="Times New Roman" w:eastAsia="仿宋_GB2312"/>
          <w:sz w:val="32"/>
          <w:highlight w:val="none"/>
        </w:rPr>
        <w:t>概括描述临床评价包括免于临床试验的临床评价和临床试验的方法和结果。</w:t>
      </w:r>
    </w:p>
    <w:p w14:paraId="015011E9">
      <w:pPr>
        <w:spacing w:line="520" w:lineRule="exact"/>
        <w:ind w:firstLine="640" w:firstLineChars="200"/>
        <w:rPr>
          <w:rFonts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lang w:val="en-US" w:eastAsia="zh-CN"/>
        </w:rPr>
        <w:t>1.14</w:t>
      </w:r>
      <w:r>
        <w:rPr>
          <w:rFonts w:ascii="Times New Roman" w:hAnsi="Times New Roman" w:eastAsia="仿宋_GB2312"/>
          <w:kern w:val="0"/>
          <w:sz w:val="32"/>
          <w:szCs w:val="32"/>
          <w:highlight w:val="none"/>
        </w:rPr>
        <w:t>【注意事项】</w:t>
      </w:r>
    </w:p>
    <w:p w14:paraId="36A72754">
      <w:pPr>
        <w:spacing w:line="520" w:lineRule="exact"/>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应至少包括以下内容：</w:t>
      </w:r>
    </w:p>
    <w:p w14:paraId="649A3E44">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1.14</w:t>
      </w:r>
      <w:r>
        <w:rPr>
          <w:rFonts w:ascii="Times New Roman" w:hAnsi="Times New Roman" w:eastAsia="仿宋_GB2312"/>
          <w:sz w:val="32"/>
          <w:szCs w:val="32"/>
          <w:highlight w:val="none"/>
        </w:rPr>
        <w:t>.1本品仅用于体外诊断</w:t>
      </w:r>
      <w:r>
        <w:rPr>
          <w:rFonts w:hint="eastAsia" w:ascii="Times New Roman" w:hAnsi="Times New Roman" w:eastAsia="仿宋_GB2312"/>
          <w:sz w:val="32"/>
          <w:szCs w:val="32"/>
          <w:highlight w:val="none"/>
        </w:rPr>
        <w:t>。</w:t>
      </w:r>
    </w:p>
    <w:p w14:paraId="401028E8">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1.14</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rPr>
        <w:t>2</w:t>
      </w:r>
      <w:r>
        <w:rPr>
          <w:rFonts w:ascii="Times New Roman" w:hAnsi="Times New Roman" w:eastAsia="仿宋_GB2312"/>
          <w:sz w:val="32"/>
          <w:szCs w:val="32"/>
          <w:highlight w:val="none"/>
        </w:rPr>
        <w:t>由于方法学或抗体特异性等原因，使用不同生产商的试剂对同一份样本进行检测可能会得到不同的测试结果，因此，用不同试剂检测所得结果不应直接相互比较，以免造成错误的医学解释，建议实验室在发给临床医生的检测报告中注明所用试剂特征。</w:t>
      </w:r>
    </w:p>
    <w:p w14:paraId="0EEDD3D1">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1.14</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rPr>
        <w:t>3</w:t>
      </w:r>
      <w:r>
        <w:rPr>
          <w:rFonts w:ascii="Times New Roman" w:hAnsi="Times New Roman" w:eastAsia="仿宋_GB2312"/>
          <w:sz w:val="32"/>
          <w:szCs w:val="32"/>
          <w:highlight w:val="none"/>
        </w:rPr>
        <w:t>如无确切的证据证明其安全性，对所有样本和反应废弃物都应视为传染源对待，提示操作者采取必要的防护措施。</w:t>
      </w:r>
    </w:p>
    <w:p w14:paraId="18B8BB9A">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1.14</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rPr>
        <w:t>4</w:t>
      </w:r>
      <w:r>
        <w:rPr>
          <w:rFonts w:ascii="Times New Roman" w:hAnsi="Times New Roman" w:eastAsia="仿宋_GB2312"/>
          <w:sz w:val="32"/>
          <w:szCs w:val="32"/>
          <w:highlight w:val="none"/>
        </w:rPr>
        <w:t>试剂中含有的化学成分如接触人体后会产生不良的影响，应明确给予提示。</w:t>
      </w:r>
    </w:p>
    <w:p w14:paraId="266FC1E2">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1.14</w:t>
      </w:r>
      <w:r>
        <w:rPr>
          <w:rFonts w:ascii="Times New Roman" w:hAnsi="Times New Roman" w:eastAsia="仿宋_GB2312"/>
          <w:sz w:val="32"/>
          <w:szCs w:val="32"/>
          <w:highlight w:val="none"/>
        </w:rPr>
        <w:t>.</w:t>
      </w:r>
      <w:r>
        <w:rPr>
          <w:rFonts w:hint="eastAsia" w:ascii="Times New Roman" w:hAnsi="Times New Roman" w:eastAsia="仿宋_GB2312"/>
          <w:sz w:val="32"/>
          <w:szCs w:val="32"/>
          <w:highlight w:val="none"/>
        </w:rPr>
        <w:t>5</w:t>
      </w:r>
      <w:r>
        <w:rPr>
          <w:rFonts w:ascii="Times New Roman" w:hAnsi="Times New Roman" w:eastAsia="仿宋_GB2312"/>
          <w:sz w:val="32"/>
          <w:szCs w:val="32"/>
          <w:highlight w:val="none"/>
        </w:rPr>
        <w:t>其他有关的注意事项。</w:t>
      </w:r>
    </w:p>
    <w:p w14:paraId="0A99C939">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1.15</w:t>
      </w:r>
      <w:r>
        <w:rPr>
          <w:rFonts w:hint="eastAsia" w:ascii="Times New Roman" w:hAnsi="Times New Roman" w:eastAsia="仿宋_GB2312"/>
          <w:sz w:val="32"/>
          <w:szCs w:val="32"/>
          <w:highlight w:val="none"/>
        </w:rPr>
        <w:t>【参考文献】</w:t>
      </w:r>
    </w:p>
    <w:p w14:paraId="02D17464">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列明引用参考文献，其书写应清楚、易查询且格式规范统一。</w:t>
      </w:r>
    </w:p>
    <w:p w14:paraId="27904B85">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1.16</w:t>
      </w:r>
      <w:r>
        <w:rPr>
          <w:rFonts w:hint="eastAsia" w:ascii="Times New Roman" w:hAnsi="Times New Roman" w:eastAsia="仿宋_GB2312"/>
          <w:sz w:val="32"/>
          <w:szCs w:val="32"/>
          <w:highlight w:val="none"/>
        </w:rPr>
        <w:t>【基</w:t>
      </w:r>
      <w:r>
        <w:rPr>
          <w:rFonts w:ascii="Times New Roman" w:hAnsi="Times New Roman" w:eastAsia="仿宋_GB2312"/>
          <w:sz w:val="32"/>
          <w:szCs w:val="32"/>
          <w:highlight w:val="none"/>
        </w:rPr>
        <w:t>本信息】</w:t>
      </w:r>
    </w:p>
    <w:p w14:paraId="7C785AD0">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符合《体外诊断试剂说明书编写指导原则》对基本信息的要求。</w:t>
      </w:r>
    </w:p>
    <w:p w14:paraId="16D15E8C">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2.标签样稿</w:t>
      </w:r>
    </w:p>
    <w:p w14:paraId="3BC7C44B">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应符合《医疗器械说明书和标签管理规定》的要求。</w:t>
      </w:r>
    </w:p>
    <w:p w14:paraId="652AABA1">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产品外包装上的标签必须包括产品通用名称、申请人名称、生产地址、产品批号、</w:t>
      </w:r>
      <w:r>
        <w:rPr>
          <w:rFonts w:hint="eastAsia" w:ascii="Times New Roman" w:hAnsi="Times New Roman" w:eastAsia="仿宋_GB2312"/>
          <w:sz w:val="32"/>
          <w:szCs w:val="32"/>
          <w:highlight w:val="none"/>
          <w:lang w:val="en-US" w:eastAsia="zh-CN"/>
        </w:rPr>
        <w:t>规格、</w:t>
      </w:r>
      <w:r>
        <w:rPr>
          <w:rFonts w:hint="eastAsia" w:ascii="Times New Roman" w:hAnsi="Times New Roman" w:eastAsia="仿宋_GB2312"/>
          <w:sz w:val="32"/>
          <w:szCs w:val="32"/>
          <w:highlight w:val="none"/>
        </w:rPr>
        <w:t>注意事项、储存条件及有效期等。</w:t>
      </w:r>
    </w:p>
    <w:p w14:paraId="1D0E9E96">
      <w:pPr>
        <w:spacing w:line="52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对于体外诊断试剂</w:t>
      </w:r>
      <w:r>
        <w:rPr>
          <w:rFonts w:ascii="Times New Roman" w:hAnsi="Times New Roman" w:eastAsia="仿宋_GB2312"/>
          <w:sz w:val="32"/>
          <w:szCs w:val="32"/>
          <w:highlight w:val="none"/>
        </w:rPr>
        <w:t>产品中的各种组分如校准品、质控品、清洗液等，其标签上必须标注该组分的中文名称和批号。如同批号产品、不同批号的各种组分不能替换，则既要注明产品批号，也要注明各种组分的批号。</w:t>
      </w:r>
    </w:p>
    <w:p w14:paraId="7E9673D5">
      <w:pPr>
        <w:pStyle w:val="3"/>
        <w:spacing w:before="0" w:after="0" w:line="520" w:lineRule="exact"/>
        <w:ind w:firstLine="640" w:firstLineChars="200"/>
        <w:rPr>
          <w:rFonts w:ascii="Times New Roman" w:hAnsi="Times New Roman" w:eastAsia="楷体_GB2312"/>
          <w:b w:val="0"/>
          <w:bCs w:val="0"/>
          <w:highlight w:val="none"/>
        </w:rPr>
      </w:pPr>
      <w:r>
        <w:rPr>
          <w:rFonts w:hint="eastAsia" w:ascii="Times New Roman" w:hAnsi="Times New Roman" w:eastAsia="仿宋_GB2312"/>
          <w:b w:val="0"/>
          <w:bCs w:val="0"/>
          <w:highlight w:val="none"/>
        </w:rPr>
        <w:t>进口产品应当提交境外政府主管部门批准或者认可的标签及其中文译本，并依据上述要求提交中文标签样稿。</w:t>
      </w:r>
    </w:p>
    <w:p w14:paraId="0D540718">
      <w:pPr>
        <w:pStyle w:val="3"/>
        <w:spacing w:before="0" w:after="0" w:line="520" w:lineRule="exact"/>
        <w:ind w:left="420" w:leftChars="200"/>
        <w:rPr>
          <w:rFonts w:ascii="Times New Roman" w:hAnsi="Times New Roman" w:eastAsia="楷体_GB2312"/>
          <w:highlight w:val="none"/>
        </w:rPr>
      </w:pPr>
      <w:r>
        <w:rPr>
          <w:rFonts w:ascii="Times New Roman" w:hAnsi="Times New Roman" w:eastAsia="楷体_GB2312"/>
          <w:b w:val="0"/>
          <w:bCs w:val="0"/>
          <w:highlight w:val="none"/>
        </w:rPr>
        <w:t>（六）质量管理体系文件</w:t>
      </w:r>
    </w:p>
    <w:p w14:paraId="2A085F33">
      <w:pPr>
        <w:pStyle w:val="22"/>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应按《体外诊断试剂注册申报资料要求及说明》的要求提交质量管理体系文件。详述产品的生产过程，提供生产工艺流程图。明确</w:t>
      </w:r>
      <w:r>
        <w:rPr>
          <w:rFonts w:hint="eastAsia" w:ascii="Times New Roman" w:hAnsi="Times New Roman" w:eastAsia="仿宋_GB2312" w:cs="仿宋_GB2312"/>
          <w:sz w:val="32"/>
          <w:szCs w:val="32"/>
          <w:highlight w:val="none"/>
          <w:lang w:eastAsia="zh-CN"/>
        </w:rPr>
        <w:t>甲状旁腺激素测定试剂</w:t>
      </w:r>
      <w:r>
        <w:rPr>
          <w:rFonts w:hint="eastAsia" w:ascii="Times New Roman" w:hAnsi="Times New Roman" w:eastAsia="仿宋_GB2312" w:cs="仿宋_GB2312"/>
          <w:sz w:val="32"/>
          <w:szCs w:val="32"/>
          <w:highlight w:val="none"/>
        </w:rPr>
        <w:t>的产品反应及检测原理和过程，标明主要控制点与项目及主要原材料、采购件的来源及质量控制方法。</w:t>
      </w:r>
    </w:p>
    <w:p w14:paraId="5BE6A09C">
      <w:pPr>
        <w:pStyle w:val="22"/>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如适用，应当提供拟核查产品与既往已通过核查产品在生产条件、生产工艺等方面的对比说明。</w:t>
      </w:r>
    </w:p>
    <w:p w14:paraId="22AE2388">
      <w:pPr>
        <w:pStyle w:val="2"/>
        <w:spacing w:before="0" w:after="0" w:line="520" w:lineRule="exact"/>
        <w:ind w:firstLine="640" w:firstLineChars="200"/>
        <w:rPr>
          <w:rFonts w:ascii="Times New Roman" w:hAnsi="Times New Roman" w:eastAsia="黑体"/>
          <w:sz w:val="32"/>
          <w:szCs w:val="32"/>
          <w:highlight w:val="none"/>
        </w:rPr>
      </w:pPr>
      <w:r>
        <w:rPr>
          <w:rFonts w:ascii="Times New Roman" w:hAnsi="Times New Roman" w:eastAsia="黑体"/>
          <w:b w:val="0"/>
          <w:bCs w:val="0"/>
          <w:sz w:val="32"/>
          <w:szCs w:val="32"/>
          <w:highlight w:val="none"/>
        </w:rPr>
        <w:t>三、参考文献</w:t>
      </w:r>
    </w:p>
    <w:p w14:paraId="6DBD7CCD">
      <w:pPr>
        <w:pStyle w:val="22"/>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[1]</w:t>
      </w:r>
      <w:r>
        <w:rPr>
          <w:rFonts w:hint="eastAsia" w:ascii="Times New Roman" w:hAnsi="Times New Roman" w:eastAsia="仿宋_GB2312" w:cs="仿宋_GB2312"/>
          <w:sz w:val="32"/>
          <w:szCs w:val="32"/>
          <w:highlight w:val="none"/>
          <w:lang w:val="en"/>
        </w:rPr>
        <w:t>中华人民共和国国务院.</w:t>
      </w:r>
      <w:r>
        <w:rPr>
          <w:rFonts w:hint="eastAsia" w:ascii="Times New Roman" w:hAnsi="Times New Roman" w:eastAsia="仿宋_GB2312" w:cs="仿宋_GB2312"/>
          <w:sz w:val="32"/>
          <w:szCs w:val="32"/>
          <w:highlight w:val="none"/>
        </w:rPr>
        <w:t>医疗器械监督管理条例:</w:t>
      </w:r>
      <w:r>
        <w:rPr>
          <w:rFonts w:hint="eastAsia" w:ascii="Times New Roman" w:hAnsi="Times New Roman" w:eastAsia="仿宋_GB2312" w:cs="仿宋_GB2312"/>
          <w:sz w:val="32"/>
          <w:szCs w:val="32"/>
          <w:highlight w:val="none"/>
          <w:lang w:val="en"/>
        </w:rPr>
        <w:t>中华人民共和国国务院令第739号</w:t>
      </w:r>
      <w:r>
        <w:rPr>
          <w:rFonts w:hint="eastAsia" w:ascii="Times New Roman" w:hAnsi="Times New Roman" w:eastAsia="仿宋_GB2312" w:cs="仿宋_GB2312"/>
          <w:sz w:val="32"/>
          <w:szCs w:val="32"/>
          <w:highlight w:val="none"/>
        </w:rPr>
        <w:t>[Z].</w:t>
      </w:r>
    </w:p>
    <w:p w14:paraId="50805CE1">
      <w:pPr>
        <w:pStyle w:val="22"/>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[2]国家市场监督管理总局.体外诊断试剂注册与备案管理办法:国家市场监督管理总局令第48号[Z].</w:t>
      </w:r>
    </w:p>
    <w:p w14:paraId="5C07B0E9">
      <w:pPr>
        <w:pStyle w:val="22"/>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[3]国家药品监督管理局.体外诊断试剂注册申报资料要求及说明:国家药监局通告2021年第122号[Z].</w:t>
      </w:r>
    </w:p>
    <w:p w14:paraId="29480AAE">
      <w:pPr>
        <w:pStyle w:val="22"/>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[4]国家药品监督管理局.体外诊断试剂分类目录:国家药监局公告2024年第</w:t>
      </w:r>
      <w:r>
        <w:rPr>
          <w:rFonts w:hint="eastAsia" w:ascii="Times New Roman" w:hAnsi="Times New Roman" w:eastAsia="仿宋_GB2312" w:cs="仿宋_GB2312"/>
          <w:sz w:val="32"/>
          <w:szCs w:val="32"/>
          <w:highlight w:val="none"/>
          <w:lang w:val="en-US" w:eastAsia="zh-CN"/>
        </w:rPr>
        <w:t>58</w:t>
      </w:r>
      <w:r>
        <w:rPr>
          <w:rFonts w:hint="eastAsia" w:ascii="Times New Roman" w:hAnsi="Times New Roman" w:eastAsia="仿宋_GB2312" w:cs="仿宋_GB2312"/>
          <w:sz w:val="32"/>
          <w:szCs w:val="32"/>
          <w:highlight w:val="none"/>
        </w:rPr>
        <w:t>号[Z].</w:t>
      </w:r>
    </w:p>
    <w:p w14:paraId="2E7FD6DD">
      <w:pPr>
        <w:pStyle w:val="22"/>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[5]国家药品监督管理局.体外诊断试剂安全和性能基本原则清单:国家药监局公告2021年第122号[Z].</w:t>
      </w:r>
    </w:p>
    <w:p w14:paraId="00F9A152">
      <w:pPr>
        <w:widowControl/>
        <w:adjustRightInd w:val="0"/>
        <w:snapToGrid w:val="0"/>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kern w:val="0"/>
          <w:sz w:val="32"/>
          <w:szCs w:val="32"/>
          <w:highlight w:val="none"/>
        </w:rPr>
        <w:t>[6]</w:t>
      </w:r>
      <w:r>
        <w:rPr>
          <w:rFonts w:hint="eastAsia" w:ascii="Times New Roman" w:hAnsi="Times New Roman" w:eastAsia="仿宋_GB2312" w:cs="仿宋_GB2312"/>
          <w:sz w:val="32"/>
          <w:szCs w:val="32"/>
          <w:highlight w:val="none"/>
        </w:rPr>
        <w:t>GB/T 42062,医疗器械</w:t>
      </w:r>
      <w:r>
        <w:rPr>
          <w:rFonts w:hint="eastAsia" w:ascii="Times New Roman" w:hAnsi="Times New Roman" w:eastAsia="仿宋_GB2312" w:cs="仿宋_GB2312"/>
          <w:sz w:val="32"/>
          <w:szCs w:val="32"/>
          <w:highlight w:val="none"/>
          <w:lang w:val="en-US" w:eastAsia="zh-CN"/>
        </w:rPr>
        <w:t xml:space="preserve"> </w:t>
      </w:r>
      <w:r>
        <w:rPr>
          <w:rFonts w:hint="eastAsia" w:ascii="Times New Roman" w:hAnsi="Times New Roman" w:eastAsia="仿宋_GB2312" w:cs="仿宋_GB2312"/>
          <w:sz w:val="32"/>
          <w:szCs w:val="32"/>
          <w:highlight w:val="none"/>
        </w:rPr>
        <w:t>风险管理对医疗器械的应用[S].</w:t>
      </w:r>
    </w:p>
    <w:p w14:paraId="5CE51959">
      <w:pPr>
        <w:pStyle w:val="22"/>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[7]国家药品监督管理局.医疗器械产品技术要求编写指导原则:国家药监局公告2022年第8号[Z].</w:t>
      </w:r>
    </w:p>
    <w:p w14:paraId="1DB25B73">
      <w:pPr>
        <w:widowControl/>
        <w:adjustRightInd w:val="0"/>
        <w:snapToGrid w:val="0"/>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[8]</w:t>
      </w:r>
      <w:r>
        <w:rPr>
          <w:rFonts w:hint="eastAsia" w:ascii="Times New Roman" w:hAnsi="Times New Roman" w:eastAsia="仿宋_GB2312" w:cs="仿宋_GB2312"/>
          <w:kern w:val="0"/>
          <w:sz w:val="32"/>
          <w:szCs w:val="32"/>
          <w:highlight w:val="none"/>
        </w:rPr>
        <w:t>YY/T 1</w:t>
      </w:r>
      <w:r>
        <w:rPr>
          <w:rFonts w:hint="eastAsia" w:ascii="Times New Roman" w:hAnsi="Times New Roman" w:eastAsia="仿宋_GB2312" w:cs="仿宋_GB2312"/>
          <w:kern w:val="0"/>
          <w:sz w:val="32"/>
          <w:szCs w:val="32"/>
          <w:highlight w:val="none"/>
          <w:lang w:val="en-US" w:eastAsia="zh-CN"/>
        </w:rPr>
        <w:t>664</w:t>
      </w:r>
      <w:r>
        <w:rPr>
          <w:rFonts w:hint="eastAsia" w:ascii="Times New Roman" w:hAnsi="Times New Roman" w:eastAsia="仿宋_GB2312" w:cs="仿宋_GB2312"/>
          <w:kern w:val="0"/>
          <w:sz w:val="32"/>
          <w:szCs w:val="32"/>
          <w:highlight w:val="none"/>
        </w:rPr>
        <w:t>,</w:t>
      </w:r>
      <w:r>
        <w:rPr>
          <w:rFonts w:hint="eastAsia" w:ascii="Times New Roman" w:hAnsi="Times New Roman" w:eastAsia="仿宋_GB2312" w:cs="仿宋_GB2312"/>
          <w:kern w:val="0"/>
          <w:sz w:val="32"/>
          <w:szCs w:val="32"/>
          <w:highlight w:val="none"/>
          <w:lang w:eastAsia="zh-CN"/>
        </w:rPr>
        <w:t>甲状旁腺激素</w:t>
      </w:r>
      <w:r>
        <w:rPr>
          <w:rFonts w:hint="eastAsia" w:ascii="Times New Roman" w:hAnsi="Times New Roman" w:eastAsia="仿宋_GB2312" w:cs="仿宋_GB2312"/>
          <w:kern w:val="0"/>
          <w:sz w:val="32"/>
          <w:szCs w:val="32"/>
          <w:highlight w:val="none"/>
        </w:rPr>
        <w:t>测定试剂盒[S].</w:t>
      </w:r>
    </w:p>
    <w:p w14:paraId="70DB4A9D">
      <w:pPr>
        <w:widowControl/>
        <w:adjustRightInd w:val="0"/>
        <w:snapToGrid w:val="0"/>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[9]国家药品监督管理局医疗器械技术审评中心.定量检测体外诊断试剂分析性能评估注册审查指导原则:</w:t>
      </w:r>
      <w:r>
        <w:rPr>
          <w:rFonts w:hint="eastAsia" w:ascii="Times New Roman" w:hAnsi="Times New Roman" w:eastAsia="仿宋_GB2312" w:cs="仿宋_GB2312"/>
          <w:kern w:val="0"/>
          <w:sz w:val="32"/>
          <w:szCs w:val="32"/>
          <w:highlight w:val="none"/>
        </w:rPr>
        <w:t>国家药监局器审中心通告2022年第32号</w:t>
      </w:r>
      <w:r>
        <w:rPr>
          <w:rFonts w:hint="eastAsia" w:ascii="Times New Roman" w:hAnsi="Times New Roman" w:eastAsia="仿宋_GB2312" w:cs="仿宋_GB2312"/>
          <w:sz w:val="32"/>
          <w:szCs w:val="32"/>
          <w:highlight w:val="none"/>
        </w:rPr>
        <w:t>[Z].</w:t>
      </w:r>
    </w:p>
    <w:p w14:paraId="1A35EF15">
      <w:pPr>
        <w:widowControl/>
        <w:adjustRightInd w:val="0"/>
        <w:snapToGrid w:val="0"/>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[10]GB/T 21415，体外诊断医疗器械 建立校准品、正确度控制物质和人体样品赋值的计量溯源性要求</w:t>
      </w:r>
      <w:r>
        <w:rPr>
          <w:rFonts w:hint="eastAsia" w:ascii="Times New Roman" w:hAnsi="Times New Roman" w:eastAsia="仿宋_GB2312" w:cs="仿宋_GB2312"/>
          <w:kern w:val="0"/>
          <w:sz w:val="32"/>
          <w:szCs w:val="32"/>
          <w:highlight w:val="none"/>
        </w:rPr>
        <w:t>[S].</w:t>
      </w:r>
    </w:p>
    <w:p w14:paraId="0A6A532B">
      <w:pPr>
        <w:widowControl/>
        <w:adjustRightInd w:val="0"/>
        <w:snapToGrid w:val="0"/>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[11]</w:t>
      </w:r>
      <w:r>
        <w:rPr>
          <w:rFonts w:hint="eastAsia" w:ascii="Times New Roman" w:hAnsi="Times New Roman" w:eastAsia="仿宋_GB2312" w:cs="仿宋_GB2312"/>
          <w:bCs/>
          <w:sz w:val="32"/>
          <w:szCs w:val="32"/>
          <w:highlight w:val="none"/>
        </w:rPr>
        <w:t>YY/T 1579,体外诊断医疗器械</w:t>
      </w:r>
      <w:r>
        <w:rPr>
          <w:rFonts w:hint="eastAsia" w:ascii="Times New Roman" w:hAnsi="Times New Roman" w:eastAsia="仿宋_GB2312" w:cs="仿宋_GB2312"/>
          <w:bCs/>
          <w:sz w:val="32"/>
          <w:szCs w:val="32"/>
          <w:highlight w:val="none"/>
          <w:lang w:val="en-US" w:eastAsia="zh-CN"/>
        </w:rPr>
        <w:t xml:space="preserve"> </w:t>
      </w:r>
      <w:r>
        <w:rPr>
          <w:rFonts w:hint="eastAsia" w:ascii="Times New Roman" w:hAnsi="Times New Roman" w:eastAsia="仿宋_GB2312" w:cs="仿宋_GB2312"/>
          <w:bCs/>
          <w:sz w:val="32"/>
          <w:szCs w:val="32"/>
          <w:highlight w:val="none"/>
        </w:rPr>
        <w:t>体外诊断试剂稳定性评价</w:t>
      </w:r>
      <w:r>
        <w:rPr>
          <w:rFonts w:hint="eastAsia" w:ascii="Times New Roman" w:hAnsi="Times New Roman" w:eastAsia="仿宋_GB2312" w:cs="仿宋_GB2312"/>
          <w:sz w:val="32"/>
          <w:szCs w:val="32"/>
          <w:highlight w:val="none"/>
        </w:rPr>
        <w:t>[S].</w:t>
      </w:r>
    </w:p>
    <w:p w14:paraId="64546743">
      <w:pPr>
        <w:widowControl/>
        <w:adjustRightInd w:val="0"/>
        <w:snapToGrid w:val="0"/>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[12]国家药品监督管理局医疗器械技术审评中心.体外诊断试剂参考区间确定注册审查指导原则:国家药监局器审中心通告2022年第36号[Z].</w:t>
      </w:r>
    </w:p>
    <w:p w14:paraId="4BDCD228">
      <w:pPr>
        <w:adjustRightInd w:val="0"/>
        <w:snapToGrid w:val="0"/>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[13]国家药品监督管理局.免于</w:t>
      </w:r>
      <w:r>
        <w:rPr>
          <w:rFonts w:hint="eastAsia" w:ascii="Times New Roman" w:hAnsi="Times New Roman" w:eastAsia="仿宋_GB2312" w:cs="仿宋_GB2312"/>
          <w:sz w:val="32"/>
          <w:szCs w:val="32"/>
          <w:highlight w:val="none"/>
          <w:lang w:val="en-US" w:eastAsia="zh-CN"/>
        </w:rPr>
        <w:t>进行</w:t>
      </w:r>
      <w:r>
        <w:rPr>
          <w:rFonts w:hint="eastAsia" w:ascii="Times New Roman" w:hAnsi="Times New Roman" w:eastAsia="仿宋_GB2312" w:cs="仿宋_GB2312"/>
          <w:sz w:val="32"/>
          <w:szCs w:val="32"/>
          <w:highlight w:val="none"/>
        </w:rPr>
        <w:t>临床试验体外诊断试剂目录</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2025年</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:国家药监局通告202</w:t>
      </w:r>
      <w:r>
        <w:rPr>
          <w:rFonts w:hint="eastAsia" w:ascii="Times New Roman" w:hAnsi="Times New Roman" w:eastAsia="仿宋_GB2312" w:cs="仿宋_GB2312"/>
          <w:sz w:val="32"/>
          <w:szCs w:val="32"/>
          <w:highlight w:val="none"/>
          <w:lang w:val="en-US" w:eastAsia="zh-CN"/>
        </w:rPr>
        <w:t>5</w:t>
      </w:r>
      <w:r>
        <w:rPr>
          <w:rFonts w:hint="eastAsia" w:ascii="Times New Roman" w:hAnsi="Times New Roman" w:eastAsia="仿宋_GB2312" w:cs="仿宋_GB2312"/>
          <w:sz w:val="32"/>
          <w:szCs w:val="32"/>
          <w:highlight w:val="none"/>
        </w:rPr>
        <w:t>年第</w:t>
      </w:r>
      <w:r>
        <w:rPr>
          <w:rFonts w:hint="eastAsia" w:ascii="Times New Roman" w:hAnsi="Times New Roman" w:eastAsia="仿宋_GB2312" w:cs="仿宋_GB2312"/>
          <w:sz w:val="32"/>
          <w:szCs w:val="32"/>
          <w:highlight w:val="none"/>
          <w:lang w:val="en-US" w:eastAsia="zh-CN"/>
        </w:rPr>
        <w:t>23</w:t>
      </w:r>
      <w:r>
        <w:rPr>
          <w:rFonts w:hint="eastAsia" w:ascii="Times New Roman" w:hAnsi="Times New Roman" w:eastAsia="仿宋_GB2312" w:cs="仿宋_GB2312"/>
          <w:sz w:val="32"/>
          <w:szCs w:val="32"/>
          <w:highlight w:val="none"/>
        </w:rPr>
        <w:t>号[Z].</w:t>
      </w:r>
    </w:p>
    <w:p w14:paraId="21E6B43F">
      <w:pPr>
        <w:pStyle w:val="22"/>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[14]国家药品监督管理局.免于临床试验的体外诊断试剂临床评价技术指导原则:国家药监局通告2021年第74号[Z].</w:t>
      </w:r>
    </w:p>
    <w:p w14:paraId="18DF3ABE">
      <w:pPr>
        <w:pStyle w:val="22"/>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[15]国家药品监督管理局医疗器械技术审评中心.体外诊断试剂说明书编写指导原则</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2023年修订版</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:国家药监局器审中心通告2024年第1号[Z]</w:t>
      </w:r>
      <w:r>
        <w:rPr>
          <w:rFonts w:hint="eastAsia" w:ascii="Times New Roman" w:hAnsi="Times New Roman" w:eastAsia="仿宋_GB2312" w:cs="仿宋_GB2312"/>
          <w:sz w:val="32"/>
          <w:szCs w:val="32"/>
          <w:highlight w:val="none"/>
          <w:lang w:val="en-US" w:eastAsia="zh-CN"/>
        </w:rPr>
        <w:t>.</w:t>
      </w:r>
    </w:p>
    <w:p w14:paraId="38F05134">
      <w:pPr>
        <w:widowControl/>
        <w:adjustRightInd w:val="0"/>
        <w:snapToGrid w:val="0"/>
        <w:spacing w:line="520" w:lineRule="exact"/>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[16]YY/T 0466.1,医疗器械</w:t>
      </w:r>
      <w:r>
        <w:rPr>
          <w:rFonts w:hint="eastAsia" w:ascii="Times New Roman" w:hAnsi="Times New Roman" w:eastAsia="仿宋_GB2312" w:cs="仿宋_GB2312"/>
          <w:sz w:val="32"/>
          <w:szCs w:val="32"/>
          <w:highlight w:val="none"/>
          <w:lang w:val="en-US" w:eastAsia="zh-CN"/>
        </w:rPr>
        <w:t xml:space="preserve"> </w:t>
      </w:r>
      <w:r>
        <w:rPr>
          <w:rFonts w:hint="eastAsia" w:ascii="Times New Roman" w:hAnsi="Times New Roman" w:eastAsia="仿宋_GB2312" w:cs="仿宋_GB2312"/>
          <w:sz w:val="32"/>
          <w:szCs w:val="32"/>
          <w:highlight w:val="none"/>
        </w:rPr>
        <w:t>用于制造商提供信息的符号</w:t>
      </w:r>
      <w:r>
        <w:rPr>
          <w:rFonts w:hint="eastAsia" w:ascii="Times New Roman" w:hAnsi="Times New Roman" w:eastAsia="仿宋_GB2312" w:cs="仿宋_GB2312"/>
          <w:sz w:val="32"/>
          <w:szCs w:val="32"/>
          <w:highlight w:val="none"/>
          <w:lang w:val="en-US" w:eastAsia="zh-CN"/>
        </w:rPr>
        <w:t xml:space="preserve"> </w:t>
      </w:r>
      <w:r>
        <w:rPr>
          <w:rFonts w:hint="eastAsia" w:ascii="Times New Roman" w:hAnsi="Times New Roman" w:eastAsia="仿宋_GB2312" w:cs="仿宋_GB2312"/>
          <w:sz w:val="32"/>
          <w:szCs w:val="32"/>
          <w:highlight w:val="none"/>
        </w:rPr>
        <w:t>第1部分：通用要求[S].</w:t>
      </w:r>
    </w:p>
    <w:p w14:paraId="69E3ECE6">
      <w:pPr>
        <w:widowControl/>
        <w:adjustRightInd w:val="0"/>
        <w:snapToGrid w:val="0"/>
        <w:spacing w:line="520" w:lineRule="exact"/>
        <w:ind w:firstLine="640" w:firstLineChars="200"/>
        <w:rPr>
          <w:rFonts w:hint="eastAsia" w:ascii="Times New Roman" w:hAnsi="Times New Roman" w:eastAsia="仿宋_GB2312"/>
          <w:sz w:val="32"/>
          <w:szCs w:val="32"/>
          <w:highlight w:val="none"/>
        </w:rPr>
      </w:pPr>
      <w:r>
        <w:rPr>
          <w:rFonts w:hint="eastAsia" w:ascii="Times New Roman" w:hAnsi="Times New Roman" w:eastAsia="仿宋_GB2312" w:cs="仿宋_GB2312"/>
          <w:sz w:val="32"/>
          <w:szCs w:val="32"/>
          <w:highlight w:val="none"/>
        </w:rPr>
        <w:t>[17]郑洵</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李志辉</w:t>
      </w:r>
      <w:r>
        <w:rPr>
          <w:rFonts w:hint="eastAsia" w:ascii="Times New Roman" w:hAnsi="Times New Roman" w:eastAsia="仿宋_GB2312" w:cs="仿宋_GB2312"/>
          <w:sz w:val="32"/>
          <w:szCs w:val="32"/>
          <w:highlight w:val="none"/>
        </w:rPr>
        <w:t>，等.继发性甲状旁腺功能亢进围手术期多学科综合诊治华西共识[J].中国普外基础与临床杂志，2023年2月第30卷第2期.</w:t>
      </w:r>
    </w:p>
    <w:sectPr>
      <w:footerReference r:id="rId4" w:type="default"/>
      <w:headerReference r:id="rId3" w:type="even"/>
      <w:footerReference r:id="rId5" w:type="even"/>
      <w:pgSz w:w="11906" w:h="16838"/>
      <w:pgMar w:top="1440" w:right="1588" w:bottom="1440" w:left="1588" w:header="851" w:footer="1134" w:gutter="0"/>
      <w:lnNumType w:countBy="1" w:restart="continuou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6C1F5">
    <w:pPr>
      <w:pStyle w:val="10"/>
      <w:jc w:val="right"/>
      <w:rPr>
        <w:rFonts w:ascii="仿宋" w:hAnsi="仿宋" w:eastAsia="仿宋"/>
        <w:sz w:val="28"/>
        <w:szCs w:val="28"/>
      </w:rPr>
    </w:pPr>
    <w:r>
      <w:rPr>
        <w:rStyle w:val="18"/>
        <w:rFonts w:ascii="Times New Roman" w:hAnsi="Times New Roman"/>
        <w:sz w:val="28"/>
      </w:rPr>
      <w:t xml:space="preserve">— </w:t>
    </w:r>
    <w:r>
      <w:rPr>
        <w:rFonts w:ascii="Times New Roman" w:hAnsi="Times New Roman"/>
        <w:sz w:val="28"/>
      </w:rPr>
      <w:fldChar w:fldCharType="begin"/>
    </w:r>
    <w:r>
      <w:rPr>
        <w:rStyle w:val="18"/>
        <w:rFonts w:ascii="Times New Roman" w:hAnsi="Times New Roman"/>
        <w:sz w:val="28"/>
      </w:rPr>
      <w:instrText xml:space="preserve">PAGE  </w:instrText>
    </w:r>
    <w:r>
      <w:rPr>
        <w:rFonts w:ascii="Times New Roman" w:hAnsi="Times New Roman"/>
        <w:sz w:val="28"/>
      </w:rPr>
      <w:fldChar w:fldCharType="separate"/>
    </w:r>
    <w:r>
      <w:rPr>
        <w:rStyle w:val="18"/>
        <w:rFonts w:ascii="Times New Roman" w:hAnsi="Times New Roman"/>
        <w:sz w:val="28"/>
      </w:rPr>
      <w:t>15</w:t>
    </w:r>
    <w:r>
      <w:rPr>
        <w:rFonts w:ascii="Times New Roman" w:hAnsi="Times New Roman"/>
        <w:sz w:val="28"/>
      </w:rPr>
      <w:fldChar w:fldCharType="end"/>
    </w:r>
    <w:r>
      <w:rPr>
        <w:rStyle w:val="18"/>
        <w:rFonts w:ascii="Times New Roman" w:hAnsi="Times New Roman"/>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661C2">
    <w:pPr>
      <w:pStyle w:val="10"/>
      <w:ind w:right="360"/>
    </w:pPr>
    <w:r>
      <w:rPr>
        <w:rStyle w:val="18"/>
        <w:rFonts w:ascii="Times New Roman" w:hAnsi="Times New Roman"/>
        <w:sz w:val="28"/>
      </w:rPr>
      <w:t xml:space="preserve">— </w:t>
    </w:r>
    <w:r>
      <w:rPr>
        <w:rFonts w:ascii="Times New Roman" w:hAnsi="Times New Roman"/>
        <w:sz w:val="28"/>
      </w:rPr>
      <w:fldChar w:fldCharType="begin"/>
    </w:r>
    <w:r>
      <w:rPr>
        <w:rStyle w:val="18"/>
        <w:rFonts w:ascii="Times New Roman" w:hAnsi="Times New Roman"/>
        <w:sz w:val="28"/>
      </w:rPr>
      <w:instrText xml:space="preserve">PAGE  </w:instrText>
    </w:r>
    <w:r>
      <w:rPr>
        <w:rFonts w:ascii="Times New Roman" w:hAnsi="Times New Roman"/>
        <w:sz w:val="28"/>
      </w:rPr>
      <w:fldChar w:fldCharType="separate"/>
    </w:r>
    <w:r>
      <w:rPr>
        <w:rStyle w:val="18"/>
        <w:rFonts w:ascii="Times New Roman" w:hAnsi="Times New Roman"/>
        <w:sz w:val="28"/>
      </w:rPr>
      <w:t>16</w:t>
    </w:r>
    <w:r>
      <w:rPr>
        <w:rFonts w:ascii="Times New Roman" w:hAnsi="Times New Roman"/>
        <w:sz w:val="28"/>
      </w:rPr>
      <w:fldChar w:fldCharType="end"/>
    </w:r>
    <w:r>
      <w:rPr>
        <w:rStyle w:val="18"/>
        <w:rFonts w:ascii="Times New Roman" w:hAnsi="Times New Roman"/>
        <w:sz w:val="28"/>
      </w:rPr>
      <w:t xml:space="preserve"> —</w:t>
    </w: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-293370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D14C059"/>
                      </w:txbxContent>
                    </wps:txbx>
                    <wps:bodyPr wrap="none" lIns="0" tIns="0" rIns="0" bIns="0">
                      <a:spAutoFit/>
                    </wps:bodyPr>
                  </wps:wsp>
                </a:graphicData>
              </a:graphic>
            </wp:anchor>
          </w:drawing>
        </mc:Choice>
        <mc:Fallback>
          <w:pict>
            <v:shape id="_x0000_s1026" o:spid="_x0000_s1026" o:spt="202" type="#_x0000_t202" style="position:absolute;left:0pt;margin-top:-23.1pt;height:144pt;width:144pt;mso-position-horizontal:outside;mso-position-horizontal-relative:margin;mso-wrap-style:none;z-index:251662336;mso-width-relative:page;mso-height-relative:page;" filled="f" stroked="f" coordsize="21600,21600" o:gfxdata="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w72Xn1AAAAAgBAAAPAAAAAAAAAAEAIAAAACIAAABkcnMvZG93bnJldi54&#10;bWxQSwECFAAUAAAACACHTuJADLWbJcUBAACbAwAADgAAAAAAAAABACAAAAAjAQAAZHJzL2Uyb0Rv&#10;Yy54bWxQSwUGAAAAAAYABgBZAQAAWgUAAAAA&#10;">
              <v:fill on="f" focussize="0,0"/>
              <v:stroke on="f"/>
              <v:imagedata o:title=""/>
              <o:lock v:ext="edit" aspectratio="f"/>
              <v:textbox inset="0mm,0mm,0mm,0mm" style="mso-fit-shape-to-text:t;">
                <w:txbxContent>
                  <w:p w14:paraId="1D14C059"/>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9BC42">
    <w:pPr>
      <w:pStyle w:val="11"/>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wMGRhOTcwMzI1ODVkNjVjZWMwNmY5MzY1ZWJmYjQifQ=="/>
    <w:docVar w:name="KSO_WPS_MARK_KEY" w:val="4b13990e-6e1c-4f57-92e8-800731e2b73d"/>
  </w:docVars>
  <w:rsids>
    <w:rsidRoot w:val="006B7760"/>
    <w:rsid w:val="000020AE"/>
    <w:rsid w:val="00002C0C"/>
    <w:rsid w:val="0000575B"/>
    <w:rsid w:val="000142BB"/>
    <w:rsid w:val="000233B8"/>
    <w:rsid w:val="0002456B"/>
    <w:rsid w:val="00032421"/>
    <w:rsid w:val="000327B4"/>
    <w:rsid w:val="00036A9C"/>
    <w:rsid w:val="000417AC"/>
    <w:rsid w:val="00044CCF"/>
    <w:rsid w:val="00045A99"/>
    <w:rsid w:val="00045D70"/>
    <w:rsid w:val="0004610B"/>
    <w:rsid w:val="000535E5"/>
    <w:rsid w:val="000605C0"/>
    <w:rsid w:val="00064792"/>
    <w:rsid w:val="000707B4"/>
    <w:rsid w:val="00074124"/>
    <w:rsid w:val="0007706A"/>
    <w:rsid w:val="00080C0D"/>
    <w:rsid w:val="00080F0E"/>
    <w:rsid w:val="00090773"/>
    <w:rsid w:val="0009273A"/>
    <w:rsid w:val="000A09B4"/>
    <w:rsid w:val="000A0C97"/>
    <w:rsid w:val="000A1351"/>
    <w:rsid w:val="000A31CE"/>
    <w:rsid w:val="000A33E3"/>
    <w:rsid w:val="000A64A0"/>
    <w:rsid w:val="000B10DA"/>
    <w:rsid w:val="000B18C7"/>
    <w:rsid w:val="000C07BF"/>
    <w:rsid w:val="000C3291"/>
    <w:rsid w:val="000C3DD9"/>
    <w:rsid w:val="000F0185"/>
    <w:rsid w:val="000F3A1C"/>
    <w:rsid w:val="000F3A91"/>
    <w:rsid w:val="000F3B16"/>
    <w:rsid w:val="000F3F2A"/>
    <w:rsid w:val="00101178"/>
    <w:rsid w:val="001020D1"/>
    <w:rsid w:val="00106981"/>
    <w:rsid w:val="00113CEB"/>
    <w:rsid w:val="00115436"/>
    <w:rsid w:val="0011571B"/>
    <w:rsid w:val="001204D1"/>
    <w:rsid w:val="00134A0D"/>
    <w:rsid w:val="00135104"/>
    <w:rsid w:val="00142221"/>
    <w:rsid w:val="001431C3"/>
    <w:rsid w:val="00143302"/>
    <w:rsid w:val="00143FFA"/>
    <w:rsid w:val="0016189E"/>
    <w:rsid w:val="00164F23"/>
    <w:rsid w:val="00172914"/>
    <w:rsid w:val="00176B4E"/>
    <w:rsid w:val="001772E0"/>
    <w:rsid w:val="00185446"/>
    <w:rsid w:val="00185F06"/>
    <w:rsid w:val="001861E8"/>
    <w:rsid w:val="00186CB4"/>
    <w:rsid w:val="00195916"/>
    <w:rsid w:val="0019677F"/>
    <w:rsid w:val="001A2FA0"/>
    <w:rsid w:val="001A3F15"/>
    <w:rsid w:val="001A7DBA"/>
    <w:rsid w:val="001B0BCF"/>
    <w:rsid w:val="001B4092"/>
    <w:rsid w:val="001B6C09"/>
    <w:rsid w:val="001D0A60"/>
    <w:rsid w:val="001D102E"/>
    <w:rsid w:val="001D25DB"/>
    <w:rsid w:val="001F1F4F"/>
    <w:rsid w:val="001F6213"/>
    <w:rsid w:val="001F7933"/>
    <w:rsid w:val="00200E76"/>
    <w:rsid w:val="00203466"/>
    <w:rsid w:val="00206A12"/>
    <w:rsid w:val="00212A83"/>
    <w:rsid w:val="00215418"/>
    <w:rsid w:val="002172B1"/>
    <w:rsid w:val="002178C2"/>
    <w:rsid w:val="00226F83"/>
    <w:rsid w:val="00227407"/>
    <w:rsid w:val="002312DA"/>
    <w:rsid w:val="00231D91"/>
    <w:rsid w:val="00234DC1"/>
    <w:rsid w:val="0024722A"/>
    <w:rsid w:val="0025702B"/>
    <w:rsid w:val="00262118"/>
    <w:rsid w:val="00263063"/>
    <w:rsid w:val="002656B3"/>
    <w:rsid w:val="002659B6"/>
    <w:rsid w:val="00265A47"/>
    <w:rsid w:val="00267A9C"/>
    <w:rsid w:val="002701F1"/>
    <w:rsid w:val="002726A7"/>
    <w:rsid w:val="002773AE"/>
    <w:rsid w:val="00286FC7"/>
    <w:rsid w:val="002A26B0"/>
    <w:rsid w:val="002A552B"/>
    <w:rsid w:val="002A755D"/>
    <w:rsid w:val="002A7727"/>
    <w:rsid w:val="002C4050"/>
    <w:rsid w:val="002C4881"/>
    <w:rsid w:val="002C5E23"/>
    <w:rsid w:val="002D0256"/>
    <w:rsid w:val="002D3D60"/>
    <w:rsid w:val="002D5DD8"/>
    <w:rsid w:val="002D6352"/>
    <w:rsid w:val="002E463F"/>
    <w:rsid w:val="002F4627"/>
    <w:rsid w:val="002F6478"/>
    <w:rsid w:val="00301829"/>
    <w:rsid w:val="00305779"/>
    <w:rsid w:val="00311F45"/>
    <w:rsid w:val="003149D2"/>
    <w:rsid w:val="0031508F"/>
    <w:rsid w:val="00322288"/>
    <w:rsid w:val="00323CFE"/>
    <w:rsid w:val="00323DC6"/>
    <w:rsid w:val="0032590A"/>
    <w:rsid w:val="00330382"/>
    <w:rsid w:val="00331C0F"/>
    <w:rsid w:val="00332453"/>
    <w:rsid w:val="00343639"/>
    <w:rsid w:val="00351E3A"/>
    <w:rsid w:val="003579A6"/>
    <w:rsid w:val="00361233"/>
    <w:rsid w:val="0036191A"/>
    <w:rsid w:val="003718D2"/>
    <w:rsid w:val="003752EE"/>
    <w:rsid w:val="00377B6B"/>
    <w:rsid w:val="00390325"/>
    <w:rsid w:val="00391999"/>
    <w:rsid w:val="00394475"/>
    <w:rsid w:val="00397E49"/>
    <w:rsid w:val="003A776A"/>
    <w:rsid w:val="003A7D77"/>
    <w:rsid w:val="003B0999"/>
    <w:rsid w:val="003B568E"/>
    <w:rsid w:val="003C2128"/>
    <w:rsid w:val="003C320A"/>
    <w:rsid w:val="003C6F68"/>
    <w:rsid w:val="003E3A06"/>
    <w:rsid w:val="003E4DFB"/>
    <w:rsid w:val="003E6180"/>
    <w:rsid w:val="0040178A"/>
    <w:rsid w:val="004025AD"/>
    <w:rsid w:val="004029F6"/>
    <w:rsid w:val="00402CD8"/>
    <w:rsid w:val="00403555"/>
    <w:rsid w:val="00405256"/>
    <w:rsid w:val="004065E9"/>
    <w:rsid w:val="00406BA1"/>
    <w:rsid w:val="00407285"/>
    <w:rsid w:val="00411878"/>
    <w:rsid w:val="004139C0"/>
    <w:rsid w:val="00413CAE"/>
    <w:rsid w:val="004216BC"/>
    <w:rsid w:val="00433D02"/>
    <w:rsid w:val="00434AF4"/>
    <w:rsid w:val="00442FE9"/>
    <w:rsid w:val="0044565E"/>
    <w:rsid w:val="00445F19"/>
    <w:rsid w:val="00446F63"/>
    <w:rsid w:val="004531FE"/>
    <w:rsid w:val="00453656"/>
    <w:rsid w:val="004544D8"/>
    <w:rsid w:val="00461AF9"/>
    <w:rsid w:val="00465EAB"/>
    <w:rsid w:val="0046759E"/>
    <w:rsid w:val="00467641"/>
    <w:rsid w:val="00470643"/>
    <w:rsid w:val="00476CC7"/>
    <w:rsid w:val="0048674B"/>
    <w:rsid w:val="0049674E"/>
    <w:rsid w:val="004A2761"/>
    <w:rsid w:val="004A44A6"/>
    <w:rsid w:val="004A542E"/>
    <w:rsid w:val="004B2282"/>
    <w:rsid w:val="004C2B67"/>
    <w:rsid w:val="004C5E9F"/>
    <w:rsid w:val="004C66FC"/>
    <w:rsid w:val="004D092F"/>
    <w:rsid w:val="004D0E5A"/>
    <w:rsid w:val="004D7C61"/>
    <w:rsid w:val="004E29F3"/>
    <w:rsid w:val="004E3CF5"/>
    <w:rsid w:val="004E50E3"/>
    <w:rsid w:val="004E5CEC"/>
    <w:rsid w:val="004E64C1"/>
    <w:rsid w:val="004F1021"/>
    <w:rsid w:val="004F7E62"/>
    <w:rsid w:val="00502A8C"/>
    <w:rsid w:val="005063D9"/>
    <w:rsid w:val="005139E4"/>
    <w:rsid w:val="005166EF"/>
    <w:rsid w:val="00527C1E"/>
    <w:rsid w:val="00535754"/>
    <w:rsid w:val="00535CB6"/>
    <w:rsid w:val="00536E7B"/>
    <w:rsid w:val="005413F8"/>
    <w:rsid w:val="005465DE"/>
    <w:rsid w:val="00552932"/>
    <w:rsid w:val="00557422"/>
    <w:rsid w:val="00561C65"/>
    <w:rsid w:val="005637F7"/>
    <w:rsid w:val="00565134"/>
    <w:rsid w:val="00575FCF"/>
    <w:rsid w:val="00577395"/>
    <w:rsid w:val="00581FEF"/>
    <w:rsid w:val="00583F92"/>
    <w:rsid w:val="00586B0C"/>
    <w:rsid w:val="00587080"/>
    <w:rsid w:val="00590BF7"/>
    <w:rsid w:val="00591590"/>
    <w:rsid w:val="00597FA3"/>
    <w:rsid w:val="005A1F20"/>
    <w:rsid w:val="005A3B06"/>
    <w:rsid w:val="005A3FDA"/>
    <w:rsid w:val="005A6C66"/>
    <w:rsid w:val="005A6D43"/>
    <w:rsid w:val="005B08F8"/>
    <w:rsid w:val="005B0B59"/>
    <w:rsid w:val="005B1CCC"/>
    <w:rsid w:val="005C27FB"/>
    <w:rsid w:val="005C4580"/>
    <w:rsid w:val="005C4C32"/>
    <w:rsid w:val="005C669C"/>
    <w:rsid w:val="005D0102"/>
    <w:rsid w:val="005D0F88"/>
    <w:rsid w:val="005D284C"/>
    <w:rsid w:val="005D2A60"/>
    <w:rsid w:val="005D3512"/>
    <w:rsid w:val="005D45CD"/>
    <w:rsid w:val="005E1ADE"/>
    <w:rsid w:val="005E21A7"/>
    <w:rsid w:val="005E2A61"/>
    <w:rsid w:val="005F0073"/>
    <w:rsid w:val="005F3E42"/>
    <w:rsid w:val="005F41EC"/>
    <w:rsid w:val="005F6CE8"/>
    <w:rsid w:val="006029D5"/>
    <w:rsid w:val="00603B7D"/>
    <w:rsid w:val="006075E0"/>
    <w:rsid w:val="00607F98"/>
    <w:rsid w:val="0061130A"/>
    <w:rsid w:val="00612EFC"/>
    <w:rsid w:val="00615A0F"/>
    <w:rsid w:val="0061640F"/>
    <w:rsid w:val="006173A6"/>
    <w:rsid w:val="006250C4"/>
    <w:rsid w:val="00631362"/>
    <w:rsid w:val="00633FDA"/>
    <w:rsid w:val="00635CDB"/>
    <w:rsid w:val="00636B69"/>
    <w:rsid w:val="00640209"/>
    <w:rsid w:val="00643882"/>
    <w:rsid w:val="006470EA"/>
    <w:rsid w:val="00652227"/>
    <w:rsid w:val="0065271E"/>
    <w:rsid w:val="00654C06"/>
    <w:rsid w:val="006648EE"/>
    <w:rsid w:val="0066699F"/>
    <w:rsid w:val="00670650"/>
    <w:rsid w:val="00671D07"/>
    <w:rsid w:val="00673C24"/>
    <w:rsid w:val="00676B16"/>
    <w:rsid w:val="00677119"/>
    <w:rsid w:val="006772BB"/>
    <w:rsid w:val="0069075E"/>
    <w:rsid w:val="00690C59"/>
    <w:rsid w:val="00692E8A"/>
    <w:rsid w:val="00692F9A"/>
    <w:rsid w:val="006A5224"/>
    <w:rsid w:val="006B20B4"/>
    <w:rsid w:val="006B3F15"/>
    <w:rsid w:val="006B7760"/>
    <w:rsid w:val="006C2696"/>
    <w:rsid w:val="006C2CE2"/>
    <w:rsid w:val="006D1A09"/>
    <w:rsid w:val="006D3F52"/>
    <w:rsid w:val="006D4111"/>
    <w:rsid w:val="006D5436"/>
    <w:rsid w:val="006E2E2D"/>
    <w:rsid w:val="006E4F08"/>
    <w:rsid w:val="006F3A98"/>
    <w:rsid w:val="006F4058"/>
    <w:rsid w:val="006F7D25"/>
    <w:rsid w:val="0070174C"/>
    <w:rsid w:val="00701781"/>
    <w:rsid w:val="0070236A"/>
    <w:rsid w:val="00705C6D"/>
    <w:rsid w:val="00710D05"/>
    <w:rsid w:val="00711B7F"/>
    <w:rsid w:val="00713BCA"/>
    <w:rsid w:val="00714515"/>
    <w:rsid w:val="00715964"/>
    <w:rsid w:val="00715A04"/>
    <w:rsid w:val="007168B9"/>
    <w:rsid w:val="007169A6"/>
    <w:rsid w:val="007279CA"/>
    <w:rsid w:val="0073376B"/>
    <w:rsid w:val="00734093"/>
    <w:rsid w:val="00734282"/>
    <w:rsid w:val="00734F2C"/>
    <w:rsid w:val="0073619B"/>
    <w:rsid w:val="00741ED5"/>
    <w:rsid w:val="00743DBB"/>
    <w:rsid w:val="00747232"/>
    <w:rsid w:val="00751ED8"/>
    <w:rsid w:val="0075254E"/>
    <w:rsid w:val="00760FD5"/>
    <w:rsid w:val="007613BD"/>
    <w:rsid w:val="007627C7"/>
    <w:rsid w:val="0076283A"/>
    <w:rsid w:val="00762C27"/>
    <w:rsid w:val="00767A22"/>
    <w:rsid w:val="007721D2"/>
    <w:rsid w:val="00781589"/>
    <w:rsid w:val="00784DDD"/>
    <w:rsid w:val="00787717"/>
    <w:rsid w:val="0079635D"/>
    <w:rsid w:val="00796401"/>
    <w:rsid w:val="007A0EC0"/>
    <w:rsid w:val="007A782E"/>
    <w:rsid w:val="007B03BF"/>
    <w:rsid w:val="007B0C5A"/>
    <w:rsid w:val="007B2457"/>
    <w:rsid w:val="007B5C57"/>
    <w:rsid w:val="007C0D65"/>
    <w:rsid w:val="007C109A"/>
    <w:rsid w:val="007C495F"/>
    <w:rsid w:val="007C5198"/>
    <w:rsid w:val="007D309B"/>
    <w:rsid w:val="007E2A69"/>
    <w:rsid w:val="007E4AA7"/>
    <w:rsid w:val="007E56F6"/>
    <w:rsid w:val="007E69AA"/>
    <w:rsid w:val="007F0A53"/>
    <w:rsid w:val="007F200E"/>
    <w:rsid w:val="007F5658"/>
    <w:rsid w:val="007F6CDD"/>
    <w:rsid w:val="008000EE"/>
    <w:rsid w:val="008053E3"/>
    <w:rsid w:val="00812745"/>
    <w:rsid w:val="00821BAA"/>
    <w:rsid w:val="008239F7"/>
    <w:rsid w:val="008266F7"/>
    <w:rsid w:val="0083147B"/>
    <w:rsid w:val="008352E9"/>
    <w:rsid w:val="008404AF"/>
    <w:rsid w:val="00840672"/>
    <w:rsid w:val="00840E61"/>
    <w:rsid w:val="00842F5F"/>
    <w:rsid w:val="008443B6"/>
    <w:rsid w:val="00846771"/>
    <w:rsid w:val="00847367"/>
    <w:rsid w:val="00850AAD"/>
    <w:rsid w:val="008526FC"/>
    <w:rsid w:val="00854D1F"/>
    <w:rsid w:val="00861498"/>
    <w:rsid w:val="00862454"/>
    <w:rsid w:val="0086296C"/>
    <w:rsid w:val="00865A1F"/>
    <w:rsid w:val="00871684"/>
    <w:rsid w:val="00871A1F"/>
    <w:rsid w:val="00871FEB"/>
    <w:rsid w:val="00877B6F"/>
    <w:rsid w:val="00881089"/>
    <w:rsid w:val="008818D3"/>
    <w:rsid w:val="00881BD1"/>
    <w:rsid w:val="008842BC"/>
    <w:rsid w:val="00891638"/>
    <w:rsid w:val="00892141"/>
    <w:rsid w:val="008932FC"/>
    <w:rsid w:val="00894708"/>
    <w:rsid w:val="008A19CC"/>
    <w:rsid w:val="008B5C4F"/>
    <w:rsid w:val="008B6348"/>
    <w:rsid w:val="008B7765"/>
    <w:rsid w:val="008C1BFB"/>
    <w:rsid w:val="008C2DC8"/>
    <w:rsid w:val="008D19AA"/>
    <w:rsid w:val="008D2014"/>
    <w:rsid w:val="008D32E6"/>
    <w:rsid w:val="008F4ECE"/>
    <w:rsid w:val="00901478"/>
    <w:rsid w:val="00902783"/>
    <w:rsid w:val="00904713"/>
    <w:rsid w:val="0090646A"/>
    <w:rsid w:val="00906474"/>
    <w:rsid w:val="00911560"/>
    <w:rsid w:val="009124AA"/>
    <w:rsid w:val="00914E0E"/>
    <w:rsid w:val="00914F5F"/>
    <w:rsid w:val="00915A6D"/>
    <w:rsid w:val="00916044"/>
    <w:rsid w:val="0092132B"/>
    <w:rsid w:val="009224CE"/>
    <w:rsid w:val="009254D6"/>
    <w:rsid w:val="009336C0"/>
    <w:rsid w:val="00934991"/>
    <w:rsid w:val="00941689"/>
    <w:rsid w:val="00941D02"/>
    <w:rsid w:val="009608A0"/>
    <w:rsid w:val="00963D57"/>
    <w:rsid w:val="009649D0"/>
    <w:rsid w:val="009728E7"/>
    <w:rsid w:val="0097486D"/>
    <w:rsid w:val="0097500D"/>
    <w:rsid w:val="009815AD"/>
    <w:rsid w:val="00982084"/>
    <w:rsid w:val="00982304"/>
    <w:rsid w:val="009937BE"/>
    <w:rsid w:val="009974DE"/>
    <w:rsid w:val="00997787"/>
    <w:rsid w:val="009A39D4"/>
    <w:rsid w:val="009A466C"/>
    <w:rsid w:val="009B37C4"/>
    <w:rsid w:val="009C47A0"/>
    <w:rsid w:val="009C5A0D"/>
    <w:rsid w:val="009C7946"/>
    <w:rsid w:val="009D1BA9"/>
    <w:rsid w:val="009D2134"/>
    <w:rsid w:val="009D6BC5"/>
    <w:rsid w:val="009E4003"/>
    <w:rsid w:val="009E5BEF"/>
    <w:rsid w:val="009E75F3"/>
    <w:rsid w:val="009F083E"/>
    <w:rsid w:val="009F35C1"/>
    <w:rsid w:val="00A01D2E"/>
    <w:rsid w:val="00A04F85"/>
    <w:rsid w:val="00A06C66"/>
    <w:rsid w:val="00A10659"/>
    <w:rsid w:val="00A13C7B"/>
    <w:rsid w:val="00A16460"/>
    <w:rsid w:val="00A1773E"/>
    <w:rsid w:val="00A17DD9"/>
    <w:rsid w:val="00A20A04"/>
    <w:rsid w:val="00A21343"/>
    <w:rsid w:val="00A23ED3"/>
    <w:rsid w:val="00A305DC"/>
    <w:rsid w:val="00A362E0"/>
    <w:rsid w:val="00A44946"/>
    <w:rsid w:val="00A453FD"/>
    <w:rsid w:val="00A6190D"/>
    <w:rsid w:val="00A66D24"/>
    <w:rsid w:val="00A67CA1"/>
    <w:rsid w:val="00A714E9"/>
    <w:rsid w:val="00A73394"/>
    <w:rsid w:val="00A75D25"/>
    <w:rsid w:val="00A75EC8"/>
    <w:rsid w:val="00A819DE"/>
    <w:rsid w:val="00A82C51"/>
    <w:rsid w:val="00A86F18"/>
    <w:rsid w:val="00A92100"/>
    <w:rsid w:val="00A9425F"/>
    <w:rsid w:val="00A9457B"/>
    <w:rsid w:val="00A9687D"/>
    <w:rsid w:val="00AA1C99"/>
    <w:rsid w:val="00AA452A"/>
    <w:rsid w:val="00AA5A06"/>
    <w:rsid w:val="00AB2A1E"/>
    <w:rsid w:val="00AB3309"/>
    <w:rsid w:val="00AC36CD"/>
    <w:rsid w:val="00AC3F5F"/>
    <w:rsid w:val="00AC5066"/>
    <w:rsid w:val="00AC6877"/>
    <w:rsid w:val="00AD11DD"/>
    <w:rsid w:val="00AE0929"/>
    <w:rsid w:val="00AF171C"/>
    <w:rsid w:val="00AF1EF3"/>
    <w:rsid w:val="00AF4D04"/>
    <w:rsid w:val="00AF66C2"/>
    <w:rsid w:val="00AF7DA2"/>
    <w:rsid w:val="00B00F58"/>
    <w:rsid w:val="00B0161D"/>
    <w:rsid w:val="00B0251F"/>
    <w:rsid w:val="00B02A3A"/>
    <w:rsid w:val="00B10202"/>
    <w:rsid w:val="00B1234D"/>
    <w:rsid w:val="00B22025"/>
    <w:rsid w:val="00B239EF"/>
    <w:rsid w:val="00B35F14"/>
    <w:rsid w:val="00B41397"/>
    <w:rsid w:val="00B439E5"/>
    <w:rsid w:val="00B45095"/>
    <w:rsid w:val="00B455A4"/>
    <w:rsid w:val="00B6215F"/>
    <w:rsid w:val="00B6269D"/>
    <w:rsid w:val="00B638A6"/>
    <w:rsid w:val="00B70B31"/>
    <w:rsid w:val="00B7150E"/>
    <w:rsid w:val="00B72370"/>
    <w:rsid w:val="00B76499"/>
    <w:rsid w:val="00B77036"/>
    <w:rsid w:val="00B87461"/>
    <w:rsid w:val="00B91315"/>
    <w:rsid w:val="00BA03E8"/>
    <w:rsid w:val="00BA6325"/>
    <w:rsid w:val="00BB1477"/>
    <w:rsid w:val="00BB1891"/>
    <w:rsid w:val="00BB2C9A"/>
    <w:rsid w:val="00BB43F3"/>
    <w:rsid w:val="00BC0CD1"/>
    <w:rsid w:val="00BC0FFB"/>
    <w:rsid w:val="00BC2D27"/>
    <w:rsid w:val="00BC36E4"/>
    <w:rsid w:val="00BC5B56"/>
    <w:rsid w:val="00BD38C8"/>
    <w:rsid w:val="00BD437F"/>
    <w:rsid w:val="00BD699C"/>
    <w:rsid w:val="00BD751C"/>
    <w:rsid w:val="00BE1E46"/>
    <w:rsid w:val="00BE4FED"/>
    <w:rsid w:val="00BE6065"/>
    <w:rsid w:val="00BE6F19"/>
    <w:rsid w:val="00C06617"/>
    <w:rsid w:val="00C069C7"/>
    <w:rsid w:val="00C17FA7"/>
    <w:rsid w:val="00C217AB"/>
    <w:rsid w:val="00C2679D"/>
    <w:rsid w:val="00C32E8D"/>
    <w:rsid w:val="00C355B3"/>
    <w:rsid w:val="00C366EE"/>
    <w:rsid w:val="00C46373"/>
    <w:rsid w:val="00C4639C"/>
    <w:rsid w:val="00C5013A"/>
    <w:rsid w:val="00C540D8"/>
    <w:rsid w:val="00C54F21"/>
    <w:rsid w:val="00C606F4"/>
    <w:rsid w:val="00C6672D"/>
    <w:rsid w:val="00C7131F"/>
    <w:rsid w:val="00C80A1E"/>
    <w:rsid w:val="00C82510"/>
    <w:rsid w:val="00C8692D"/>
    <w:rsid w:val="00C87F5F"/>
    <w:rsid w:val="00CA31BD"/>
    <w:rsid w:val="00CA38E2"/>
    <w:rsid w:val="00CA3E15"/>
    <w:rsid w:val="00CA47CE"/>
    <w:rsid w:val="00CA5128"/>
    <w:rsid w:val="00CA62C6"/>
    <w:rsid w:val="00CA63BE"/>
    <w:rsid w:val="00CA68F1"/>
    <w:rsid w:val="00CB0CD9"/>
    <w:rsid w:val="00CB27A4"/>
    <w:rsid w:val="00CB5243"/>
    <w:rsid w:val="00CC2D85"/>
    <w:rsid w:val="00CC3006"/>
    <w:rsid w:val="00CC49FF"/>
    <w:rsid w:val="00CC531F"/>
    <w:rsid w:val="00CC7586"/>
    <w:rsid w:val="00CD285A"/>
    <w:rsid w:val="00CD77CE"/>
    <w:rsid w:val="00CD7ED9"/>
    <w:rsid w:val="00CE0104"/>
    <w:rsid w:val="00CE0855"/>
    <w:rsid w:val="00CE1573"/>
    <w:rsid w:val="00CE19D9"/>
    <w:rsid w:val="00CE6442"/>
    <w:rsid w:val="00CF1BE7"/>
    <w:rsid w:val="00CF1E23"/>
    <w:rsid w:val="00CF2CC8"/>
    <w:rsid w:val="00CF517B"/>
    <w:rsid w:val="00CF6E1C"/>
    <w:rsid w:val="00D02C6C"/>
    <w:rsid w:val="00D07769"/>
    <w:rsid w:val="00D135E0"/>
    <w:rsid w:val="00D171B7"/>
    <w:rsid w:val="00D20483"/>
    <w:rsid w:val="00D24B61"/>
    <w:rsid w:val="00D30AA3"/>
    <w:rsid w:val="00D321F6"/>
    <w:rsid w:val="00D36D9B"/>
    <w:rsid w:val="00D4220A"/>
    <w:rsid w:val="00D4418F"/>
    <w:rsid w:val="00D46A4A"/>
    <w:rsid w:val="00D56465"/>
    <w:rsid w:val="00D63EC5"/>
    <w:rsid w:val="00D66A50"/>
    <w:rsid w:val="00D700B4"/>
    <w:rsid w:val="00D736E2"/>
    <w:rsid w:val="00D8039F"/>
    <w:rsid w:val="00D81CB9"/>
    <w:rsid w:val="00D87FD3"/>
    <w:rsid w:val="00D90700"/>
    <w:rsid w:val="00D96F8D"/>
    <w:rsid w:val="00DB1245"/>
    <w:rsid w:val="00DB41A0"/>
    <w:rsid w:val="00DB5665"/>
    <w:rsid w:val="00DB7934"/>
    <w:rsid w:val="00DB7E9C"/>
    <w:rsid w:val="00DC42E4"/>
    <w:rsid w:val="00DC7682"/>
    <w:rsid w:val="00DD0E9D"/>
    <w:rsid w:val="00DD3A3E"/>
    <w:rsid w:val="00DE1660"/>
    <w:rsid w:val="00DE1D72"/>
    <w:rsid w:val="00DE5FBD"/>
    <w:rsid w:val="00DE66D9"/>
    <w:rsid w:val="00DE7425"/>
    <w:rsid w:val="00DF3B72"/>
    <w:rsid w:val="00DF7BE3"/>
    <w:rsid w:val="00E00B4E"/>
    <w:rsid w:val="00E0229B"/>
    <w:rsid w:val="00E136DA"/>
    <w:rsid w:val="00E13F1A"/>
    <w:rsid w:val="00E20465"/>
    <w:rsid w:val="00E2141D"/>
    <w:rsid w:val="00E2146C"/>
    <w:rsid w:val="00E233EE"/>
    <w:rsid w:val="00E2476E"/>
    <w:rsid w:val="00E27059"/>
    <w:rsid w:val="00E32972"/>
    <w:rsid w:val="00E32AB0"/>
    <w:rsid w:val="00E3647F"/>
    <w:rsid w:val="00E36E40"/>
    <w:rsid w:val="00E439DF"/>
    <w:rsid w:val="00E476F3"/>
    <w:rsid w:val="00E50E00"/>
    <w:rsid w:val="00E53A4C"/>
    <w:rsid w:val="00E53D1D"/>
    <w:rsid w:val="00E56499"/>
    <w:rsid w:val="00E647E4"/>
    <w:rsid w:val="00E7206B"/>
    <w:rsid w:val="00E756CA"/>
    <w:rsid w:val="00E873C7"/>
    <w:rsid w:val="00E9126D"/>
    <w:rsid w:val="00EA75D3"/>
    <w:rsid w:val="00EA77A0"/>
    <w:rsid w:val="00EB2D14"/>
    <w:rsid w:val="00EB3628"/>
    <w:rsid w:val="00EB6B15"/>
    <w:rsid w:val="00EB6DCB"/>
    <w:rsid w:val="00EB7511"/>
    <w:rsid w:val="00EB7BFE"/>
    <w:rsid w:val="00ED04F8"/>
    <w:rsid w:val="00ED118B"/>
    <w:rsid w:val="00ED49CE"/>
    <w:rsid w:val="00ED6FF8"/>
    <w:rsid w:val="00EE14C2"/>
    <w:rsid w:val="00EE341C"/>
    <w:rsid w:val="00EF4694"/>
    <w:rsid w:val="00EF68B4"/>
    <w:rsid w:val="00F01A83"/>
    <w:rsid w:val="00F02A72"/>
    <w:rsid w:val="00F02E04"/>
    <w:rsid w:val="00F076E8"/>
    <w:rsid w:val="00F07963"/>
    <w:rsid w:val="00F21889"/>
    <w:rsid w:val="00F23DE7"/>
    <w:rsid w:val="00F23EF3"/>
    <w:rsid w:val="00F27F49"/>
    <w:rsid w:val="00F33F75"/>
    <w:rsid w:val="00F348C8"/>
    <w:rsid w:val="00F52775"/>
    <w:rsid w:val="00F61478"/>
    <w:rsid w:val="00F61499"/>
    <w:rsid w:val="00F709C5"/>
    <w:rsid w:val="00F71688"/>
    <w:rsid w:val="00F74A30"/>
    <w:rsid w:val="00F75B25"/>
    <w:rsid w:val="00F941F9"/>
    <w:rsid w:val="00F97A1B"/>
    <w:rsid w:val="00F97F45"/>
    <w:rsid w:val="00FA7C95"/>
    <w:rsid w:val="00FB6919"/>
    <w:rsid w:val="00FC029C"/>
    <w:rsid w:val="00FC5758"/>
    <w:rsid w:val="00FC6CD6"/>
    <w:rsid w:val="00FD0C66"/>
    <w:rsid w:val="00FD2263"/>
    <w:rsid w:val="00FD756D"/>
    <w:rsid w:val="00FE12F8"/>
    <w:rsid w:val="00FE137D"/>
    <w:rsid w:val="00FE355F"/>
    <w:rsid w:val="00FE41D2"/>
    <w:rsid w:val="00FE54DE"/>
    <w:rsid w:val="00FE5A73"/>
    <w:rsid w:val="00FF0B2B"/>
    <w:rsid w:val="00FF2A50"/>
    <w:rsid w:val="0151041A"/>
    <w:rsid w:val="031A5ED1"/>
    <w:rsid w:val="033D3914"/>
    <w:rsid w:val="035141E4"/>
    <w:rsid w:val="0361694F"/>
    <w:rsid w:val="056913DC"/>
    <w:rsid w:val="06E464A7"/>
    <w:rsid w:val="08E91129"/>
    <w:rsid w:val="0940609C"/>
    <w:rsid w:val="0A201BF9"/>
    <w:rsid w:val="0A7E2A78"/>
    <w:rsid w:val="0AB8072D"/>
    <w:rsid w:val="0BAB6C05"/>
    <w:rsid w:val="0C3B264C"/>
    <w:rsid w:val="0C4B5C57"/>
    <w:rsid w:val="0CBC62B6"/>
    <w:rsid w:val="0CF95A7B"/>
    <w:rsid w:val="0E4C5C63"/>
    <w:rsid w:val="0E6B3D18"/>
    <w:rsid w:val="0EA841FD"/>
    <w:rsid w:val="0F192D71"/>
    <w:rsid w:val="0F1C2318"/>
    <w:rsid w:val="0F3B1FB3"/>
    <w:rsid w:val="0FAE3A4C"/>
    <w:rsid w:val="108B0D18"/>
    <w:rsid w:val="10BC7840"/>
    <w:rsid w:val="123E69D4"/>
    <w:rsid w:val="12A12A75"/>
    <w:rsid w:val="12B46304"/>
    <w:rsid w:val="13EE6AAF"/>
    <w:rsid w:val="13F74BC0"/>
    <w:rsid w:val="142174DF"/>
    <w:rsid w:val="14812B5E"/>
    <w:rsid w:val="14AD3C4F"/>
    <w:rsid w:val="14FB2260"/>
    <w:rsid w:val="163812A5"/>
    <w:rsid w:val="164976AB"/>
    <w:rsid w:val="18166040"/>
    <w:rsid w:val="183D3DB6"/>
    <w:rsid w:val="18682666"/>
    <w:rsid w:val="18932E60"/>
    <w:rsid w:val="18C0622C"/>
    <w:rsid w:val="1C485B0E"/>
    <w:rsid w:val="1D1954AA"/>
    <w:rsid w:val="1DB93368"/>
    <w:rsid w:val="1E0016C9"/>
    <w:rsid w:val="1E813300"/>
    <w:rsid w:val="1EEE2B9E"/>
    <w:rsid w:val="1F4C0FEA"/>
    <w:rsid w:val="201E1D2E"/>
    <w:rsid w:val="20395566"/>
    <w:rsid w:val="21222FD3"/>
    <w:rsid w:val="216975ED"/>
    <w:rsid w:val="22114AB5"/>
    <w:rsid w:val="22560A0C"/>
    <w:rsid w:val="22566761"/>
    <w:rsid w:val="22676DE3"/>
    <w:rsid w:val="22BB61DF"/>
    <w:rsid w:val="23487D4F"/>
    <w:rsid w:val="23890E43"/>
    <w:rsid w:val="2444579C"/>
    <w:rsid w:val="24601DFD"/>
    <w:rsid w:val="24CC3BE3"/>
    <w:rsid w:val="258B55EA"/>
    <w:rsid w:val="265C7447"/>
    <w:rsid w:val="26867B60"/>
    <w:rsid w:val="272A3F78"/>
    <w:rsid w:val="276C7C09"/>
    <w:rsid w:val="27A96981"/>
    <w:rsid w:val="28742173"/>
    <w:rsid w:val="28C13CF8"/>
    <w:rsid w:val="297C2450"/>
    <w:rsid w:val="29E51041"/>
    <w:rsid w:val="2A506E02"/>
    <w:rsid w:val="2A9A308B"/>
    <w:rsid w:val="2A9F4883"/>
    <w:rsid w:val="2C74345A"/>
    <w:rsid w:val="2D2325AC"/>
    <w:rsid w:val="306058C5"/>
    <w:rsid w:val="30715990"/>
    <w:rsid w:val="30B55EC5"/>
    <w:rsid w:val="30B956B6"/>
    <w:rsid w:val="30FA2A6D"/>
    <w:rsid w:val="31D71662"/>
    <w:rsid w:val="325D6CF4"/>
    <w:rsid w:val="326508EB"/>
    <w:rsid w:val="33107BE2"/>
    <w:rsid w:val="33F64577"/>
    <w:rsid w:val="352E6978"/>
    <w:rsid w:val="366F23BE"/>
    <w:rsid w:val="367D1432"/>
    <w:rsid w:val="3856592A"/>
    <w:rsid w:val="391944DD"/>
    <w:rsid w:val="392D760C"/>
    <w:rsid w:val="3ADF4090"/>
    <w:rsid w:val="3C007004"/>
    <w:rsid w:val="3C186DE6"/>
    <w:rsid w:val="3E9E7CE5"/>
    <w:rsid w:val="3F756364"/>
    <w:rsid w:val="40C163F2"/>
    <w:rsid w:val="414601C0"/>
    <w:rsid w:val="41656FB4"/>
    <w:rsid w:val="422964D6"/>
    <w:rsid w:val="42480AE7"/>
    <w:rsid w:val="42656115"/>
    <w:rsid w:val="42EC3217"/>
    <w:rsid w:val="431346A4"/>
    <w:rsid w:val="436D1466"/>
    <w:rsid w:val="43B906C4"/>
    <w:rsid w:val="449907D9"/>
    <w:rsid w:val="449C23A1"/>
    <w:rsid w:val="45145052"/>
    <w:rsid w:val="45696BD2"/>
    <w:rsid w:val="458330BE"/>
    <w:rsid w:val="459534C4"/>
    <w:rsid w:val="47134FE8"/>
    <w:rsid w:val="476623FA"/>
    <w:rsid w:val="478B689E"/>
    <w:rsid w:val="479271AB"/>
    <w:rsid w:val="47FE59FA"/>
    <w:rsid w:val="48B96871"/>
    <w:rsid w:val="4A8E4810"/>
    <w:rsid w:val="4A8E70B3"/>
    <w:rsid w:val="4ACC787E"/>
    <w:rsid w:val="4B301BEA"/>
    <w:rsid w:val="4B554200"/>
    <w:rsid w:val="4BE869CE"/>
    <w:rsid w:val="4C1D730B"/>
    <w:rsid w:val="4C4C1E56"/>
    <w:rsid w:val="4D075DE2"/>
    <w:rsid w:val="4E231FB4"/>
    <w:rsid w:val="4EEF118C"/>
    <w:rsid w:val="50397222"/>
    <w:rsid w:val="505521CD"/>
    <w:rsid w:val="51550825"/>
    <w:rsid w:val="527B62A8"/>
    <w:rsid w:val="52D61424"/>
    <w:rsid w:val="535676E4"/>
    <w:rsid w:val="53B04697"/>
    <w:rsid w:val="555A4896"/>
    <w:rsid w:val="58D25E50"/>
    <w:rsid w:val="5AC12785"/>
    <w:rsid w:val="5B1B1A16"/>
    <w:rsid w:val="5D591F9D"/>
    <w:rsid w:val="5E256B03"/>
    <w:rsid w:val="5EAC026A"/>
    <w:rsid w:val="5ED365D3"/>
    <w:rsid w:val="5F1F2DBE"/>
    <w:rsid w:val="5FDD40CF"/>
    <w:rsid w:val="5FE11377"/>
    <w:rsid w:val="5FFA069B"/>
    <w:rsid w:val="60422562"/>
    <w:rsid w:val="609F3315"/>
    <w:rsid w:val="60B63166"/>
    <w:rsid w:val="61453480"/>
    <w:rsid w:val="61A4623C"/>
    <w:rsid w:val="62B4778D"/>
    <w:rsid w:val="62F74E83"/>
    <w:rsid w:val="634D5517"/>
    <w:rsid w:val="63A94701"/>
    <w:rsid w:val="646A1302"/>
    <w:rsid w:val="64914BDD"/>
    <w:rsid w:val="654523B9"/>
    <w:rsid w:val="66652469"/>
    <w:rsid w:val="67187995"/>
    <w:rsid w:val="68A61A76"/>
    <w:rsid w:val="68D128E1"/>
    <w:rsid w:val="6A256DBC"/>
    <w:rsid w:val="6B4710C3"/>
    <w:rsid w:val="6B4C26F3"/>
    <w:rsid w:val="6BE10A4A"/>
    <w:rsid w:val="6CEE5607"/>
    <w:rsid w:val="6D3544DF"/>
    <w:rsid w:val="6D77157D"/>
    <w:rsid w:val="6E5414DF"/>
    <w:rsid w:val="6F2210E1"/>
    <w:rsid w:val="6F9F64EE"/>
    <w:rsid w:val="705815D8"/>
    <w:rsid w:val="706A0B13"/>
    <w:rsid w:val="713118C3"/>
    <w:rsid w:val="714A6F1A"/>
    <w:rsid w:val="72D50BC9"/>
    <w:rsid w:val="733F10A7"/>
    <w:rsid w:val="73E25960"/>
    <w:rsid w:val="75226675"/>
    <w:rsid w:val="753F7D79"/>
    <w:rsid w:val="758C1361"/>
    <w:rsid w:val="760A1021"/>
    <w:rsid w:val="7619739D"/>
    <w:rsid w:val="761C7166"/>
    <w:rsid w:val="76870A83"/>
    <w:rsid w:val="784E21E5"/>
    <w:rsid w:val="78A43B6E"/>
    <w:rsid w:val="78AF3A3E"/>
    <w:rsid w:val="7A233A2B"/>
    <w:rsid w:val="7A752C3C"/>
    <w:rsid w:val="7AAB0999"/>
    <w:rsid w:val="7AFA5607"/>
    <w:rsid w:val="7B787D65"/>
    <w:rsid w:val="7C050FF4"/>
    <w:rsid w:val="7CB00960"/>
    <w:rsid w:val="7CCD11BA"/>
    <w:rsid w:val="7CD720EE"/>
    <w:rsid w:val="7DA27FCE"/>
    <w:rsid w:val="7E296D89"/>
    <w:rsid w:val="7EDA3BF4"/>
    <w:rsid w:val="7EEEBAE1"/>
    <w:rsid w:val="7F15554C"/>
    <w:rsid w:val="7FB36D74"/>
    <w:rsid w:val="7FB64187"/>
    <w:rsid w:val="FDDB5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qFormat="1"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outlineLvl w:val="1"/>
    </w:pPr>
    <w:rPr>
      <w:rFonts w:ascii="Calibri Light" w:hAnsi="Calibri Light"/>
      <w:b/>
      <w:bCs/>
      <w:sz w:val="32"/>
      <w:szCs w:val="32"/>
    </w:rPr>
  </w:style>
  <w:style w:type="paragraph" w:styleId="4">
    <w:name w:val="heading 3"/>
    <w:basedOn w:val="1"/>
    <w:next w:val="1"/>
    <w:link w:val="32"/>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35"/>
    <w:rPr>
      <w:rFonts w:ascii="Calibri Light" w:hAnsi="Calibri Light" w:eastAsia="黑体"/>
      <w:sz w:val="20"/>
      <w:szCs w:val="20"/>
    </w:rPr>
  </w:style>
  <w:style w:type="paragraph" w:styleId="6">
    <w:name w:val="annotation text"/>
    <w:basedOn w:val="1"/>
    <w:link w:val="33"/>
    <w:unhideWhenUsed/>
    <w:qFormat/>
    <w:uiPriority w:val="0"/>
    <w:pPr>
      <w:jc w:val="left"/>
    </w:pPr>
  </w:style>
  <w:style w:type="paragraph" w:styleId="7">
    <w:name w:val="Plain Text"/>
    <w:basedOn w:val="1"/>
    <w:link w:val="34"/>
    <w:qFormat/>
    <w:uiPriority w:val="0"/>
    <w:rPr>
      <w:rFonts w:ascii="宋体" w:hAnsi="Courier New"/>
      <w:szCs w:val="20"/>
    </w:rPr>
  </w:style>
  <w:style w:type="paragraph" w:styleId="8">
    <w:name w:val="Date"/>
    <w:basedOn w:val="1"/>
    <w:next w:val="1"/>
    <w:link w:val="35"/>
    <w:unhideWhenUsed/>
    <w:qFormat/>
    <w:uiPriority w:val="99"/>
    <w:pPr>
      <w:ind w:left="100" w:leftChars="2500"/>
    </w:pPr>
  </w:style>
  <w:style w:type="paragraph" w:styleId="9">
    <w:name w:val="Balloon Text"/>
    <w:basedOn w:val="1"/>
    <w:link w:val="36"/>
    <w:unhideWhenUsed/>
    <w:qFormat/>
    <w:uiPriority w:val="99"/>
    <w:rPr>
      <w:sz w:val="18"/>
      <w:szCs w:val="18"/>
    </w:rPr>
  </w:style>
  <w:style w:type="paragraph" w:styleId="10">
    <w:name w:val="footer"/>
    <w:basedOn w:val="1"/>
    <w:link w:val="37"/>
    <w:qFormat/>
    <w:uiPriority w:val="99"/>
    <w:pPr>
      <w:tabs>
        <w:tab w:val="center" w:pos="4153"/>
        <w:tab w:val="right" w:pos="8306"/>
      </w:tabs>
      <w:snapToGrid w:val="0"/>
      <w:jc w:val="left"/>
    </w:pPr>
    <w:rPr>
      <w:sz w:val="18"/>
      <w:szCs w:val="18"/>
    </w:rPr>
  </w:style>
  <w:style w:type="paragraph" w:styleId="11">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spacing w:before="100" w:beforeAutospacing="1" w:after="100" w:afterAutospacing="1"/>
      <w:jc w:val="left"/>
    </w:pPr>
    <w:rPr>
      <w:kern w:val="0"/>
      <w:sz w:val="24"/>
    </w:rPr>
  </w:style>
  <w:style w:type="paragraph" w:styleId="13">
    <w:name w:val="annotation subject"/>
    <w:basedOn w:val="6"/>
    <w:next w:val="6"/>
    <w:link w:val="39"/>
    <w:unhideWhenUsed/>
    <w:qFormat/>
    <w:uiPriority w:val="99"/>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rPr>
  </w:style>
  <w:style w:type="character" w:styleId="18">
    <w:name w:val="page number"/>
    <w:qFormat/>
    <w:uiPriority w:val="0"/>
  </w:style>
  <w:style w:type="character" w:styleId="19">
    <w:name w:val="line number"/>
    <w:semiHidden/>
    <w:unhideWhenUsed/>
    <w:qFormat/>
    <w:uiPriority w:val="99"/>
  </w:style>
  <w:style w:type="character" w:styleId="20">
    <w:name w:val="Hyperlink"/>
    <w:unhideWhenUsed/>
    <w:qFormat/>
    <w:uiPriority w:val="99"/>
    <w:rPr>
      <w:color w:val="0563C1"/>
      <w:u w:val="single"/>
    </w:rPr>
  </w:style>
  <w:style w:type="character" w:styleId="21">
    <w:name w:val="annotation reference"/>
    <w:unhideWhenUsed/>
    <w:qFormat/>
    <w:uiPriority w:val="99"/>
    <w:rPr>
      <w:sz w:val="21"/>
      <w:szCs w:val="21"/>
    </w:rPr>
  </w:style>
  <w:style w:type="paragraph" w:styleId="22">
    <w:name w:val="No Spacing"/>
    <w:qFormat/>
    <w:uiPriority w:val="0"/>
    <w:pPr>
      <w:adjustRightInd w:val="0"/>
      <w:snapToGrid w:val="0"/>
    </w:pPr>
    <w:rPr>
      <w:rFonts w:ascii="Tahoma" w:hAnsi="Tahoma" w:eastAsia="微软雅黑" w:cs="Times New Roman"/>
      <w:sz w:val="22"/>
      <w:szCs w:val="22"/>
      <w:lang w:val="en-US" w:eastAsia="zh-CN" w:bidi="ar-SA"/>
    </w:rPr>
  </w:style>
  <w:style w:type="paragraph" w:customStyle="1" w:styleId="23">
    <w:name w:val="修订3"/>
    <w:semiHidden/>
    <w:qFormat/>
    <w:uiPriority w:val="99"/>
    <w:rPr>
      <w:rFonts w:ascii="Calibri" w:hAnsi="Calibri" w:eastAsia="宋体" w:cs="Times New Roman"/>
      <w:kern w:val="2"/>
      <w:sz w:val="21"/>
      <w:szCs w:val="24"/>
      <w:lang w:val="en-US" w:eastAsia="zh-CN" w:bidi="ar-SA"/>
    </w:rPr>
  </w:style>
  <w:style w:type="paragraph" w:customStyle="1" w:styleId="24">
    <w:name w:val="修订2"/>
    <w:semiHidden/>
    <w:qFormat/>
    <w:uiPriority w:val="99"/>
    <w:rPr>
      <w:rFonts w:ascii="Calibri" w:hAnsi="Calibri" w:eastAsia="宋体" w:cs="Times New Roman"/>
      <w:kern w:val="2"/>
      <w:sz w:val="21"/>
      <w:szCs w:val="24"/>
      <w:lang w:val="en-US" w:eastAsia="zh-CN" w:bidi="ar-SA"/>
    </w:rPr>
  </w:style>
  <w:style w:type="paragraph" w:customStyle="1" w:styleId="25">
    <w:name w:val="修订4"/>
    <w:semiHidden/>
    <w:qFormat/>
    <w:uiPriority w:val="99"/>
    <w:rPr>
      <w:rFonts w:ascii="Calibri" w:hAnsi="Calibri" w:eastAsia="宋体" w:cs="Times New Roman"/>
      <w:kern w:val="2"/>
      <w:sz w:val="21"/>
      <w:szCs w:val="24"/>
      <w:lang w:val="en-US" w:eastAsia="zh-CN" w:bidi="ar-SA"/>
    </w:rPr>
  </w:style>
  <w:style w:type="paragraph" w:customStyle="1" w:styleId="2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7">
    <w:name w:val="List Paragraph"/>
    <w:basedOn w:val="1"/>
    <w:qFormat/>
    <w:uiPriority w:val="34"/>
    <w:pPr>
      <w:ind w:firstLine="420" w:firstLineChars="200"/>
    </w:pPr>
    <w:rPr>
      <w:szCs w:val="22"/>
    </w:rPr>
  </w:style>
  <w:style w:type="paragraph" w:customStyle="1" w:styleId="28">
    <w:name w:val="修订5"/>
    <w:semiHidden/>
    <w:qFormat/>
    <w:uiPriority w:val="99"/>
    <w:rPr>
      <w:rFonts w:ascii="Calibri" w:hAnsi="Calibri" w:eastAsia="宋体" w:cs="Times New Roman"/>
      <w:kern w:val="2"/>
      <w:sz w:val="21"/>
      <w:szCs w:val="24"/>
      <w:lang w:val="en-US" w:eastAsia="zh-CN" w:bidi="ar-SA"/>
    </w:rPr>
  </w:style>
  <w:style w:type="paragraph" w:customStyle="1" w:styleId="29">
    <w:name w:val="修订1"/>
    <w:semiHidden/>
    <w:qFormat/>
    <w:uiPriority w:val="99"/>
    <w:rPr>
      <w:rFonts w:ascii="Calibri" w:hAnsi="Calibri" w:eastAsia="宋体" w:cs="Times New Roman"/>
      <w:kern w:val="2"/>
      <w:sz w:val="21"/>
      <w:szCs w:val="24"/>
      <w:lang w:val="en-US" w:eastAsia="zh-CN" w:bidi="ar-SA"/>
    </w:rPr>
  </w:style>
  <w:style w:type="character" w:customStyle="1" w:styleId="30">
    <w:name w:val="标题 1 字符"/>
    <w:link w:val="2"/>
    <w:qFormat/>
    <w:uiPriority w:val="9"/>
    <w:rPr>
      <w:rFonts w:ascii="Calibri" w:hAnsi="Calibri"/>
      <w:b/>
      <w:bCs/>
      <w:kern w:val="44"/>
      <w:sz w:val="44"/>
      <w:szCs w:val="44"/>
    </w:rPr>
  </w:style>
  <w:style w:type="character" w:customStyle="1" w:styleId="31">
    <w:name w:val="标题 2 字符"/>
    <w:link w:val="3"/>
    <w:semiHidden/>
    <w:qFormat/>
    <w:uiPriority w:val="9"/>
    <w:rPr>
      <w:rFonts w:ascii="Calibri Light" w:hAnsi="Calibri Light" w:eastAsia="宋体" w:cs="Times New Roman"/>
      <w:b/>
      <w:bCs/>
      <w:kern w:val="2"/>
      <w:sz w:val="32"/>
      <w:szCs w:val="32"/>
    </w:rPr>
  </w:style>
  <w:style w:type="character" w:customStyle="1" w:styleId="32">
    <w:name w:val="标题 3 字符"/>
    <w:link w:val="4"/>
    <w:semiHidden/>
    <w:qFormat/>
    <w:uiPriority w:val="9"/>
    <w:rPr>
      <w:rFonts w:ascii="Calibri" w:hAnsi="Calibri"/>
      <w:b/>
      <w:bCs/>
      <w:kern w:val="2"/>
      <w:sz w:val="32"/>
      <w:szCs w:val="32"/>
    </w:rPr>
  </w:style>
  <w:style w:type="character" w:customStyle="1" w:styleId="33">
    <w:name w:val="批注文字 字符"/>
    <w:link w:val="6"/>
    <w:qFormat/>
    <w:uiPriority w:val="99"/>
    <w:rPr>
      <w:rFonts w:ascii="Calibri" w:hAnsi="Calibri" w:eastAsia="宋体" w:cs="Times New Roman"/>
      <w:kern w:val="2"/>
      <w:sz w:val="21"/>
      <w:szCs w:val="24"/>
    </w:rPr>
  </w:style>
  <w:style w:type="character" w:customStyle="1" w:styleId="34">
    <w:name w:val="纯文本 字符"/>
    <w:link w:val="7"/>
    <w:qFormat/>
    <w:uiPriority w:val="0"/>
    <w:rPr>
      <w:rFonts w:ascii="宋体" w:hAnsi="Courier New" w:eastAsia="宋体" w:cs="Times New Roman"/>
      <w:szCs w:val="20"/>
    </w:rPr>
  </w:style>
  <w:style w:type="character" w:customStyle="1" w:styleId="35">
    <w:name w:val="日期 字符"/>
    <w:link w:val="8"/>
    <w:semiHidden/>
    <w:qFormat/>
    <w:uiPriority w:val="99"/>
    <w:rPr>
      <w:rFonts w:ascii="Calibri" w:hAnsi="Calibri"/>
      <w:kern w:val="2"/>
      <w:sz w:val="21"/>
      <w:szCs w:val="24"/>
    </w:rPr>
  </w:style>
  <w:style w:type="character" w:customStyle="1" w:styleId="36">
    <w:name w:val="批注框文本 字符"/>
    <w:link w:val="9"/>
    <w:semiHidden/>
    <w:qFormat/>
    <w:uiPriority w:val="99"/>
    <w:rPr>
      <w:rFonts w:ascii="Calibri" w:hAnsi="Calibri"/>
      <w:kern w:val="2"/>
      <w:sz w:val="18"/>
      <w:szCs w:val="18"/>
    </w:rPr>
  </w:style>
  <w:style w:type="character" w:customStyle="1" w:styleId="37">
    <w:name w:val="页脚 字符"/>
    <w:link w:val="10"/>
    <w:qFormat/>
    <w:uiPriority w:val="99"/>
    <w:rPr>
      <w:rFonts w:ascii="Calibri" w:hAnsi="Calibri" w:eastAsia="宋体" w:cs="Times New Roman"/>
      <w:sz w:val="18"/>
      <w:szCs w:val="18"/>
    </w:rPr>
  </w:style>
  <w:style w:type="character" w:customStyle="1" w:styleId="38">
    <w:name w:val="页眉 字符"/>
    <w:link w:val="11"/>
    <w:qFormat/>
    <w:uiPriority w:val="99"/>
    <w:rPr>
      <w:rFonts w:ascii="Calibri" w:hAnsi="Calibri" w:eastAsia="宋体" w:cs="Times New Roman"/>
      <w:sz w:val="18"/>
      <w:szCs w:val="18"/>
    </w:rPr>
  </w:style>
  <w:style w:type="character" w:customStyle="1" w:styleId="39">
    <w:name w:val="批注主题 字符"/>
    <w:link w:val="13"/>
    <w:semiHidden/>
    <w:qFormat/>
    <w:uiPriority w:val="99"/>
    <w:rPr>
      <w:rFonts w:ascii="Calibri" w:hAnsi="Calibri" w:eastAsia="宋体" w:cs="Times New Roman"/>
      <w:b/>
      <w:bCs/>
      <w:kern w:val="2"/>
      <w:sz w:val="21"/>
      <w:szCs w:val="24"/>
    </w:rPr>
  </w:style>
  <w:style w:type="paragraph" w:customStyle="1" w:styleId="40">
    <w:name w:val="修订6"/>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6A09FD-DE89-4E6E-AD40-B769E2DC753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23</Pages>
  <Words>6327</Words>
  <Characters>6623</Characters>
  <Lines>65</Lines>
  <Paragraphs>18</Paragraphs>
  <TotalTime>7</TotalTime>
  <ScaleCrop>false</ScaleCrop>
  <LinksUpToDate>false</LinksUpToDate>
  <CharactersWithSpaces>6669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2024-10-24T15:08:00Z</dcterms:created>
  <dc:creator>pc</dc:creator>
  <cp:lastModifiedBy>WWL</cp:lastModifiedBy>
  <cp:lastPrinted>2023-07-07T21:29:00Z</cp:lastPrinted>
  <dcterms:modified xsi:type="dcterms:W3CDTF">2026-08-10T03:56:10Z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67DEEBC3390B4557BA80A80EAEF01FBF_13</vt:lpwstr>
  </property>
  <property fmtid="{D5CDD505-2E9C-101B-9397-08002B2CF9AE}" pid="4" name="KSOTemplateDocerSaveRecord">
    <vt:lpwstr>eyJoZGlkIjoiYzk3ZGVjODc0OTNiOTgwOTE1NjNhNjkwNzlhMTg4NGQiLCJ1c2VySWQiOiIzMDA4MjAwNjgifQ==</vt:lpwstr>
  </property>
</Properties>
</file>