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43A13">
      <w:pPr>
        <w:spacing w:line="520" w:lineRule="exact"/>
        <w:ind w:right="-67" w:rightChars="-32"/>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粪便分析仪注册审查指导原则</w:t>
      </w:r>
    </w:p>
    <w:p w14:paraId="190CED6D">
      <w:pPr>
        <w:spacing w:line="520" w:lineRule="exact"/>
        <w:ind w:right="-67" w:rightChars="-32"/>
        <w:jc w:val="center"/>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（征求意见稿）</w:t>
      </w:r>
    </w:p>
    <w:p w14:paraId="4EE58F7E">
      <w:pPr>
        <w:spacing w:line="520" w:lineRule="exact"/>
        <w:rPr>
          <w:rFonts w:eastAsia="方正小标宋简体"/>
          <w:bCs/>
          <w:color w:val="000000" w:themeColor="text1"/>
          <w:sz w:val="44"/>
          <w:szCs w:val="44"/>
          <w14:textFill>
            <w14:solidFill>
              <w14:schemeClr w14:val="tx1"/>
            </w14:solidFill>
          </w14:textFill>
        </w:rPr>
      </w:pPr>
    </w:p>
    <w:p w14:paraId="57BEC0F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本指导原则旨在指导注册申请人对粪便分析仪注册申报资料的准备及撰写，同时也为技术审评部门审评注册申报资料提供参考。</w:t>
      </w:r>
    </w:p>
    <w:p w14:paraId="4BFDCF06">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本指导原则是对粪便分析仪的一般要求，申请人应依据产品的具体特性确定其中内容是否适用，若不适用，需具体阐述理由及相应的科学依据，并依据产品的具体特性对注册申报资料的内容进行充实和细化。</w:t>
      </w:r>
    </w:p>
    <w:p w14:paraId="62FBE65B">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本指导原则是供申请人和审查人员使用的指导文件，不涉及注册审批等行政事项，亦不作为法规强制执行，如有能够满足法规要求的其他方法，也可以采用，但应提供详细的研究资料和验证资料。相关人员应在遵循相关法规的前提下使用本指导原则。</w:t>
      </w:r>
    </w:p>
    <w:p w14:paraId="74C10E57">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本指导原则是在现行法规、标准体系及当前认知水平下制定的，随着法规、标准体系的不断完善和科学技术的不断发展，本指导原则相关内容也将适时进行调整。</w:t>
      </w:r>
    </w:p>
    <w:p w14:paraId="2D502547">
      <w:pPr>
        <w:spacing w:line="520" w:lineRule="exact"/>
        <w:ind w:firstLine="640" w:firstLineChars="200"/>
        <w:outlineLvl w:val="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一、适用范围</w:t>
      </w:r>
    </w:p>
    <w:p w14:paraId="17A5E857">
      <w:pPr>
        <w:spacing w:line="520" w:lineRule="exact"/>
        <w:ind w:firstLine="640" w:firstLineChars="200"/>
        <w:rPr>
          <w:rFonts w:eastAsia="仿宋_GB2312"/>
          <w:sz w:val="32"/>
          <w:szCs w:val="32"/>
        </w:rPr>
      </w:pPr>
      <w:r>
        <w:rPr>
          <w:rFonts w:hint="eastAsia" w:eastAsia="仿宋_GB2312"/>
          <w:color w:val="000000" w:themeColor="text1"/>
          <w:kern w:val="0"/>
          <w:sz w:val="32"/>
          <w:szCs w:val="32"/>
          <w14:textFill>
            <w14:solidFill>
              <w14:schemeClr w14:val="tx1"/>
            </w14:solidFill>
          </w14:textFill>
        </w:rPr>
        <w:t>本指导原则适用于《医疗器械分类目录》中</w:t>
      </w:r>
      <w:r>
        <w:rPr>
          <w:rFonts w:eastAsia="仿宋_GB2312"/>
          <w:color w:val="000000" w:themeColor="text1"/>
          <w:sz w:val="32"/>
          <w:szCs w:val="28"/>
          <w14:textFill>
            <w14:solidFill>
              <w14:schemeClr w14:val="tx1"/>
            </w14:solidFill>
          </w14:textFill>
        </w:rPr>
        <w:t>分类编码为</w:t>
      </w:r>
      <w:r>
        <w:rPr>
          <w:rFonts w:eastAsia="仿宋_GB2312"/>
          <w:color w:val="000000" w:themeColor="text1"/>
          <w:kern w:val="0"/>
          <w:sz w:val="32"/>
          <w:szCs w:val="32"/>
          <w14:textFill>
            <w14:solidFill>
              <w14:schemeClr w14:val="tx1"/>
            </w14:solidFill>
          </w14:textFill>
        </w:rPr>
        <w:t>22-09-0</w:t>
      </w:r>
      <w:r>
        <w:rPr>
          <w:rFonts w:hint="eastAsia" w:eastAsia="仿宋_GB2312"/>
          <w:color w:val="000000" w:themeColor="text1"/>
          <w:kern w:val="0"/>
          <w:sz w:val="32"/>
          <w:szCs w:val="32"/>
          <w14:textFill>
            <w14:solidFill>
              <w14:schemeClr w14:val="tx1"/>
            </w14:solidFill>
          </w14:textFill>
        </w:rPr>
        <w:t>4，</w:t>
      </w:r>
      <w:r>
        <w:rPr>
          <w:rFonts w:hint="eastAsia" w:eastAsia="仿宋_GB2312" w:cs="仿宋_GB2312"/>
          <w:snapToGrid w:val="0"/>
          <w:kern w:val="0"/>
          <w:sz w:val="32"/>
          <w:szCs w:val="32"/>
        </w:rPr>
        <w:t>管理类别为</w:t>
      </w:r>
      <w:r>
        <w:rPr>
          <w:rFonts w:hint="eastAsia" w:ascii="宋体" w:hAnsi="宋体" w:cs="宋体"/>
          <w:snapToGrid w:val="0"/>
          <w:kern w:val="0"/>
          <w:sz w:val="32"/>
          <w:szCs w:val="32"/>
        </w:rPr>
        <w:t>Ⅱ</w:t>
      </w:r>
      <w:r>
        <w:rPr>
          <w:rFonts w:hint="eastAsia" w:eastAsia="仿宋_GB2312" w:cs="仿宋_GB2312"/>
          <w:snapToGrid w:val="0"/>
          <w:kern w:val="0"/>
          <w:sz w:val="32"/>
          <w:szCs w:val="32"/>
        </w:rPr>
        <w:t>类的</w:t>
      </w:r>
      <w:r>
        <w:rPr>
          <w:rFonts w:hint="eastAsia" w:eastAsia="仿宋_GB2312"/>
          <w:color w:val="000000" w:themeColor="text1"/>
          <w:kern w:val="0"/>
          <w:sz w:val="32"/>
          <w:szCs w:val="32"/>
          <w14:textFill>
            <w14:solidFill>
              <w14:schemeClr w14:val="tx1"/>
            </w14:solidFill>
          </w14:textFill>
        </w:rPr>
        <w:t>粪便分析仪</w:t>
      </w:r>
      <w:r>
        <w:rPr>
          <w:rFonts w:hint="eastAsia" w:eastAsia="仿宋_GB2312"/>
          <w:sz w:val="32"/>
          <w:szCs w:val="32"/>
        </w:rPr>
        <w:t>。</w:t>
      </w:r>
    </w:p>
    <w:p w14:paraId="2229EC46">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本指导原则不适用于采用人工智能算法的粪便分析仪。</w:t>
      </w:r>
    </w:p>
    <w:p w14:paraId="08CDB960">
      <w:pPr>
        <w:spacing w:line="520" w:lineRule="exact"/>
        <w:ind w:firstLine="640" w:firstLineChars="200"/>
        <w:outlineLvl w:val="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二、</w:t>
      </w:r>
      <w:r>
        <w:rPr>
          <w:rFonts w:eastAsia="黑体"/>
          <w:color w:val="000000" w:themeColor="text1"/>
          <w:sz w:val="32"/>
          <w:szCs w:val="32"/>
          <w:lang w:eastAsia="zh-Hans"/>
          <w14:textFill>
            <w14:solidFill>
              <w14:schemeClr w14:val="tx1"/>
            </w14:solidFill>
          </w14:textFill>
        </w:rPr>
        <w:t>注册</w:t>
      </w:r>
      <w:r>
        <w:rPr>
          <w:rFonts w:eastAsia="黑体"/>
          <w:color w:val="000000" w:themeColor="text1"/>
          <w:sz w:val="32"/>
          <w:szCs w:val="32"/>
          <w14:textFill>
            <w14:solidFill>
              <w14:schemeClr w14:val="tx1"/>
            </w14:solidFill>
          </w14:textFill>
        </w:rPr>
        <w:t>审查要点</w:t>
      </w:r>
    </w:p>
    <w:p w14:paraId="574D5397">
      <w:pPr>
        <w:spacing w:line="520" w:lineRule="exact"/>
        <w:ind w:right="-67" w:rightChars="-32" w:firstLine="640" w:firstLineChars="200"/>
        <w:outlineLvl w:val="1"/>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（一）监管信息</w:t>
      </w:r>
    </w:p>
    <w:p w14:paraId="21568EBA">
      <w:pPr>
        <w:overflowPunct w:val="0"/>
        <w:autoSpaceDE w:val="0"/>
        <w:autoSpaceDN w:val="0"/>
        <w:spacing w:line="520" w:lineRule="exact"/>
        <w:ind w:firstLine="640" w:firstLineChars="200"/>
        <w:rPr>
          <w:rFonts w:eastAsia="楷体_GB2312"/>
          <w:sz w:val="32"/>
          <w:szCs w:val="32"/>
        </w:rPr>
      </w:pPr>
      <w:r>
        <w:rPr>
          <w:rFonts w:hint="eastAsia" w:eastAsia="仿宋_GB2312"/>
          <w:color w:val="000000"/>
          <w:sz w:val="32"/>
          <w:szCs w:val="32"/>
        </w:rPr>
        <w:t>明确申请表中</w:t>
      </w:r>
      <w:r>
        <w:rPr>
          <w:rFonts w:eastAsia="仿宋_GB2312"/>
          <w:snapToGrid w:val="0"/>
          <w:color w:val="000000"/>
          <w:kern w:val="0"/>
          <w:sz w:val="32"/>
          <w:szCs w:val="32"/>
        </w:rPr>
        <w:t>产品名称</w:t>
      </w:r>
      <w:r>
        <w:rPr>
          <w:rFonts w:hint="eastAsia" w:eastAsia="仿宋_GB2312"/>
          <w:snapToGrid w:val="0"/>
          <w:color w:val="000000"/>
          <w:kern w:val="0"/>
          <w:sz w:val="32"/>
          <w:szCs w:val="32"/>
        </w:rPr>
        <w:t>、</w:t>
      </w:r>
      <w:r>
        <w:rPr>
          <w:rFonts w:eastAsia="仿宋_GB2312"/>
          <w:snapToGrid w:val="0"/>
          <w:color w:val="000000"/>
          <w:kern w:val="0"/>
          <w:sz w:val="32"/>
          <w:szCs w:val="32"/>
        </w:rPr>
        <w:t>管理类别、分类编码</w:t>
      </w:r>
      <w:r>
        <w:rPr>
          <w:rFonts w:hint="eastAsia" w:eastAsia="仿宋_GB2312"/>
          <w:snapToGrid w:val="0"/>
          <w:color w:val="000000"/>
          <w:kern w:val="0"/>
          <w:sz w:val="32"/>
          <w:szCs w:val="32"/>
        </w:rPr>
        <w:t>、型号规格、产品组成等信息</w:t>
      </w:r>
      <w:r>
        <w:rPr>
          <w:rFonts w:eastAsia="仿宋_GB2312"/>
          <w:snapToGrid w:val="0"/>
          <w:color w:val="000000"/>
          <w:kern w:val="0"/>
          <w:sz w:val="32"/>
          <w:szCs w:val="32"/>
        </w:rPr>
        <w:t>。</w:t>
      </w:r>
    </w:p>
    <w:p w14:paraId="4E8DA883">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1.产品名称</w:t>
      </w:r>
    </w:p>
    <w:p w14:paraId="3394260E">
      <w:pPr>
        <w:spacing w:line="560" w:lineRule="exact"/>
        <w:ind w:firstLine="482"/>
        <w:jc w:val="left"/>
        <w:rPr>
          <w:rFonts w:eastAsia="仿宋"/>
          <w:sz w:val="24"/>
        </w:rPr>
      </w:pPr>
      <w:r>
        <w:rPr>
          <w:rFonts w:hint="eastAsia" w:eastAsia="仿宋_GB2312"/>
          <w:sz w:val="32"/>
          <w:szCs w:val="28"/>
        </w:rPr>
        <w:t>申请人应描述申报产品的通用名称及其确定依据。按照《医疗器械通用名称命名规则》、《临床检验器械通用名称命名指导原则》、《医疗器械分类目录》及相关法规的要求，产品通用名称由核心词和特征词组成，如：</w:t>
      </w:r>
      <w:r>
        <w:rPr>
          <w:rFonts w:eastAsia="仿宋_GB2312"/>
          <w:color w:val="000000" w:themeColor="text1"/>
          <w:kern w:val="0"/>
          <w:sz w:val="32"/>
          <w:szCs w:val="32"/>
          <w14:textFill>
            <w14:solidFill>
              <w14:schemeClr w14:val="tx1"/>
            </w14:solidFill>
          </w14:textFill>
        </w:rPr>
        <w:t>粪便分析仪</w:t>
      </w:r>
      <w:r>
        <w:rPr>
          <w:rFonts w:hint="eastAsia" w:eastAsia="仿宋_GB2312"/>
          <w:sz w:val="32"/>
          <w:szCs w:val="32"/>
        </w:rPr>
        <w:t>、全自动</w:t>
      </w:r>
      <w:r>
        <w:rPr>
          <w:rFonts w:eastAsia="仿宋_GB2312"/>
          <w:color w:val="000000" w:themeColor="text1"/>
          <w:kern w:val="0"/>
          <w:sz w:val="32"/>
          <w:szCs w:val="32"/>
          <w14:textFill>
            <w14:solidFill>
              <w14:schemeClr w14:val="tx1"/>
            </w14:solidFill>
          </w14:textFill>
        </w:rPr>
        <w:t>粪便分析仪</w:t>
      </w:r>
      <w:r>
        <w:rPr>
          <w:rFonts w:hint="eastAsia" w:eastAsia="仿宋_GB2312"/>
          <w:sz w:val="32"/>
          <w:szCs w:val="32"/>
        </w:rPr>
        <w:t>。</w:t>
      </w:r>
    </w:p>
    <w:p w14:paraId="611C93C3">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2.分类编码</w:t>
      </w:r>
    </w:p>
    <w:p w14:paraId="205D8F09">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28"/>
          <w14:textFill>
            <w14:solidFill>
              <w14:schemeClr w14:val="tx1"/>
            </w14:solidFill>
          </w14:textFill>
        </w:rPr>
        <w:t>根据《医疗器械分类目录》，</w:t>
      </w:r>
      <w:r>
        <w:rPr>
          <w:rFonts w:eastAsia="仿宋_GB2312"/>
          <w:color w:val="000000" w:themeColor="text1"/>
          <w:kern w:val="0"/>
          <w:sz w:val="32"/>
          <w:szCs w:val="32"/>
          <w14:textFill>
            <w14:solidFill>
              <w14:schemeClr w14:val="tx1"/>
            </w14:solidFill>
          </w14:textFill>
        </w:rPr>
        <w:t>粪便分析仪</w:t>
      </w:r>
      <w:r>
        <w:rPr>
          <w:rFonts w:eastAsia="仿宋_GB2312"/>
          <w:color w:val="000000" w:themeColor="text1"/>
          <w:sz w:val="32"/>
          <w:szCs w:val="28"/>
          <w14:textFill>
            <w14:solidFill>
              <w14:schemeClr w14:val="tx1"/>
            </w14:solidFill>
          </w14:textFill>
        </w:rPr>
        <w:t>管理类别为Ⅱ类，分类编码为</w:t>
      </w:r>
      <w:r>
        <w:rPr>
          <w:rFonts w:eastAsia="仿宋_GB2312"/>
          <w:color w:val="000000" w:themeColor="text1"/>
          <w:kern w:val="0"/>
          <w:sz w:val="32"/>
          <w:szCs w:val="32"/>
          <w14:textFill>
            <w14:solidFill>
              <w14:schemeClr w14:val="tx1"/>
            </w14:solidFill>
          </w14:textFill>
        </w:rPr>
        <w:t>22-09-04。</w:t>
      </w:r>
    </w:p>
    <w:p w14:paraId="40451506">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3.注册单元划分的原则</w:t>
      </w:r>
    </w:p>
    <w:p w14:paraId="35446F55">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粪便分析仪</w:t>
      </w:r>
      <w:r>
        <w:rPr>
          <w:rFonts w:eastAsia="仿宋_GB2312"/>
          <w:color w:val="000000" w:themeColor="text1"/>
          <w:sz w:val="32"/>
          <w:szCs w:val="32"/>
          <w14:textFill>
            <w14:solidFill>
              <w14:schemeClr w14:val="tx1"/>
            </w14:solidFill>
          </w14:textFill>
        </w:rPr>
        <w:t>的注册单元划分应符合《医疗器械注册单元划分指导原则》的要求，原则上以产品的技术原理、结构组成、性能指标和适用范围为划分依</w:t>
      </w:r>
      <w:r>
        <w:rPr>
          <w:rFonts w:hint="eastAsia" w:eastAsia="仿宋_GB2312"/>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据。</w:t>
      </w:r>
    </w:p>
    <w:p w14:paraId="6306D167">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自动化程度不同应考虑归入不同的注册单元。</w:t>
      </w:r>
    </w:p>
    <w:p w14:paraId="755DDF6C">
      <w:pPr>
        <w:spacing w:line="520" w:lineRule="exact"/>
        <w:ind w:right="-67" w:rightChars="-32" w:firstLine="640" w:firstLineChars="200"/>
        <w:outlineLvl w:val="1"/>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（二）综述资料</w:t>
      </w:r>
    </w:p>
    <w:p w14:paraId="4A24D547">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.工作原理</w:t>
      </w:r>
    </w:p>
    <w:p w14:paraId="0216D08D">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粪便分析仪</w:t>
      </w:r>
      <w:r>
        <w:rPr>
          <w:rFonts w:hint="eastAsia" w:eastAsia="仿宋_GB2312"/>
          <w:color w:val="000000" w:themeColor="text1"/>
          <w:kern w:val="0"/>
          <w:sz w:val="32"/>
          <w:szCs w:val="32"/>
          <w14:textFill>
            <w14:solidFill>
              <w14:schemeClr w14:val="tx1"/>
            </w14:solidFill>
          </w14:textFill>
        </w:rPr>
        <w:t>原理一般为化学法、免疫法及显微镜检法等。</w:t>
      </w:r>
    </w:p>
    <w:p w14:paraId="404B56D6">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化学法是基于待测物质自身化学性质、酶学活性或物理化学特性，与专用试剂发生氧化还原、酶促催化、酸碱显色等化学反应，产生光信号或电信号变化，实现粪便化学成分定性/定量筛查的检测方法，不依赖抗原抗体特异性结合。</w:t>
      </w:r>
    </w:p>
    <w:p w14:paraId="254F30A1">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免疫法是以抗原 - 抗体特异性结合反应为基础，通过免疫复合物形成产生显色、浊度、荧光、发光等可检测信号，实现粪便中特定抗原高灵敏、高特异性定性/定量检测的方法，为精准筛查与诊断核心技术。</w:t>
      </w:r>
    </w:p>
    <w:p w14:paraId="6A0955A5">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显微镜检法是通过对粪便样本进行稀释、涂片、富集、染色后，利用光学显微成像直接观察、识别、计数有形成分的形态学检测方法，为粪便常规有形成分分析金标准。</w:t>
      </w:r>
    </w:p>
    <w:p w14:paraId="03278DE3">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粪便分析仪</w:t>
      </w:r>
      <w:r>
        <w:rPr>
          <w:rFonts w:hint="eastAsia" w:eastAsia="仿宋_GB2312"/>
          <w:color w:val="000000" w:themeColor="text1"/>
          <w:kern w:val="0"/>
          <w:sz w:val="32"/>
          <w:szCs w:val="32"/>
          <w14:textFill>
            <w14:solidFill>
              <w14:schemeClr w14:val="tx1"/>
            </w14:solidFill>
          </w14:textFill>
        </w:rPr>
        <w:t>可以采用以上一种或多种方法原理。</w:t>
      </w:r>
    </w:p>
    <w:p w14:paraId="2D513642">
      <w:pPr>
        <w:spacing w:line="520" w:lineRule="exact"/>
        <w:ind w:firstLine="640" w:firstLineChars="200"/>
        <w:outlineLvl w:val="2"/>
        <w:rPr>
          <w:rFonts w:eastAsia="楷体_GB2312"/>
          <w:b/>
          <w:color w:val="000000" w:themeColor="text1"/>
          <w14:textFill>
            <w14:solidFill>
              <w14:schemeClr w14:val="tx1"/>
            </w14:solidFill>
          </w14:textFill>
        </w:rPr>
      </w:pP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.结构组成</w:t>
      </w:r>
    </w:p>
    <w:p w14:paraId="1F9B5DEA">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粪便分析仪</w:t>
      </w:r>
      <w:r>
        <w:rPr>
          <w:rFonts w:hint="eastAsia" w:eastAsia="仿宋_GB2312"/>
          <w:color w:val="000000" w:themeColor="text1"/>
          <w:kern w:val="0"/>
          <w:sz w:val="32"/>
          <w:szCs w:val="32"/>
          <w14:textFill>
            <w14:solidFill>
              <w14:schemeClr w14:val="tx1"/>
            </w14:solidFill>
          </w14:textFill>
        </w:rPr>
        <w:t>通常由样本处理模块、显微镜模块、结果处理软件模块等组成。</w:t>
      </w:r>
      <w:r>
        <w:rPr>
          <w:rFonts w:eastAsia="仿宋_GB2312"/>
          <w:color w:val="000000" w:themeColor="text1"/>
          <w:kern w:val="0"/>
          <w:sz w:val="32"/>
          <w:szCs w:val="32"/>
          <w14:textFill>
            <w14:solidFill>
              <w14:schemeClr w14:val="tx1"/>
            </w14:solidFill>
          </w14:textFill>
        </w:rPr>
        <w:t>不同生产企业的产品，在结构上可能存在一定差异</w:t>
      </w:r>
      <w:r>
        <w:rPr>
          <w:rFonts w:hint="eastAsia" w:eastAsia="仿宋_GB2312"/>
          <w:color w:val="000000" w:themeColor="text1"/>
          <w:kern w:val="0"/>
          <w:sz w:val="32"/>
          <w:szCs w:val="32"/>
          <w14:textFill>
            <w14:solidFill>
              <w14:schemeClr w14:val="tx1"/>
            </w14:solidFill>
          </w14:textFill>
        </w:rPr>
        <w:t>，申请人可根据产品的具体特征描述产品的具体结构组成（含配合使用的附件），并描述申报产品的主要功能及各组成装置的功能，可以采用图片结合文字的描述形式给予说明。</w:t>
      </w:r>
    </w:p>
    <w:p w14:paraId="06A8A679">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产品型号规格</w:t>
      </w:r>
    </w:p>
    <w:p w14:paraId="3CAB71CD">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对于同一注册单元申报产品存在多种型号规格的，应当明确各型号规格之间的区别，应当采用表格加说明性文字的图片、图表，对各型号规格的结构组成</w:t>
      </w:r>
      <w:r>
        <w:rPr>
          <w:rFonts w:eastAsia="仿宋_GB2312"/>
          <w:color w:val="000000" w:themeColor="text1"/>
          <w:sz w:val="32"/>
          <w:szCs w:val="32"/>
          <w14:textFill>
            <w14:solidFill>
              <w14:schemeClr w14:val="tx1"/>
            </w14:solidFill>
          </w14:textFill>
        </w:rPr>
        <w:t>（或配置）</w:t>
      </w:r>
      <w:r>
        <w:rPr>
          <w:rFonts w:eastAsia="仿宋_GB2312"/>
          <w:color w:val="000000" w:themeColor="text1"/>
          <w:kern w:val="0"/>
          <w:sz w:val="32"/>
          <w:szCs w:val="32"/>
          <w14:textFill>
            <w14:solidFill>
              <w14:schemeClr w14:val="tx1"/>
            </w14:solidFill>
          </w14:textFill>
        </w:rPr>
        <w:t>、功能、</w:t>
      </w:r>
      <w:r>
        <w:rPr>
          <w:rFonts w:eastAsia="仿宋_GB2312"/>
          <w:color w:val="000000" w:themeColor="text1"/>
          <w:sz w:val="32"/>
          <w:szCs w:val="32"/>
          <w14:textFill>
            <w14:solidFill>
              <w14:schemeClr w14:val="tx1"/>
            </w14:solidFill>
          </w14:textFill>
        </w:rPr>
        <w:t>产品特征和运行模式、技术参数、</w:t>
      </w:r>
      <w:r>
        <w:rPr>
          <w:rFonts w:eastAsia="仿宋_GB2312"/>
          <w:color w:val="000000" w:themeColor="text1"/>
          <w:kern w:val="0"/>
          <w:sz w:val="32"/>
          <w:szCs w:val="32"/>
          <w14:textFill>
            <w14:solidFill>
              <w14:schemeClr w14:val="tx1"/>
            </w14:solidFill>
          </w14:textFill>
        </w:rPr>
        <w:t>性能指标等方面的差异进行描述。</w:t>
      </w:r>
    </w:p>
    <w:p w14:paraId="4909FD34">
      <w:pPr>
        <w:spacing w:line="520" w:lineRule="exact"/>
        <w:ind w:firstLine="640" w:firstLineChars="200"/>
        <w:outlineLvl w:val="2"/>
        <w:rPr>
          <w:rFonts w:eastAsia="仿宋_GB2312"/>
          <w:color w:val="000000" w:themeColor="text1"/>
          <w:sz w:val="32"/>
          <w:szCs w:val="32"/>
          <w:lang w:eastAsia="zh-Hans"/>
          <w14:textFill>
            <w14:solidFill>
              <w14:schemeClr w14:val="tx1"/>
            </w14:solidFill>
          </w14:textFill>
        </w:rPr>
      </w:pP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.适用范围</w:t>
      </w:r>
    </w:p>
    <w:p w14:paraId="6A6275FB">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4.1适用范围</w:t>
      </w:r>
    </w:p>
    <w:p w14:paraId="003BF29B">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4.1.1明确写明申报产品的预期用途</w:t>
      </w:r>
      <w:r>
        <w:rPr>
          <w:rFonts w:hint="eastAsia" w:eastAsia="仿宋_GB2312"/>
          <w:sz w:val="32"/>
          <w:szCs w:val="32"/>
        </w:rPr>
        <w:t>，</w:t>
      </w:r>
      <w:r>
        <w:rPr>
          <w:rFonts w:eastAsia="仿宋_GB2312"/>
          <w:color w:val="000000" w:themeColor="text1"/>
          <w:sz w:val="32"/>
          <w:szCs w:val="32"/>
          <w14:textFill>
            <w14:solidFill>
              <w14:schemeClr w14:val="tx1"/>
            </w14:solidFill>
          </w14:textFill>
        </w:rPr>
        <w:t>建议描述中明确被测样本类型和预期检测项目</w:t>
      </w:r>
      <w:r>
        <w:rPr>
          <w:rFonts w:hint="eastAsia" w:eastAsia="仿宋_GB2312"/>
          <w:color w:val="000000" w:themeColor="text1"/>
          <w:sz w:val="32"/>
          <w:szCs w:val="32"/>
          <w14:textFill>
            <w14:solidFill>
              <w14:schemeClr w14:val="tx1"/>
            </w14:solidFill>
          </w14:textFill>
        </w:rPr>
        <w:t>；若需与</w:t>
      </w:r>
      <w:r>
        <w:rPr>
          <w:rFonts w:eastAsia="仿宋_GB2312"/>
          <w:color w:val="000000" w:themeColor="text1"/>
          <w:sz w:val="32"/>
          <w:szCs w:val="32"/>
          <w14:textFill>
            <w14:solidFill>
              <w14:schemeClr w14:val="tx1"/>
            </w14:solidFill>
          </w14:textFill>
        </w:rPr>
        <w:t>配套试剂共同使用</w:t>
      </w:r>
      <w:r>
        <w:rPr>
          <w:rFonts w:hint="eastAsia" w:eastAsia="仿宋_GB2312"/>
          <w:color w:val="000000" w:themeColor="text1"/>
          <w:sz w:val="32"/>
          <w:szCs w:val="32"/>
          <w14:textFill>
            <w14:solidFill>
              <w14:schemeClr w14:val="tx1"/>
            </w14:solidFill>
          </w14:textFill>
        </w:rPr>
        <w:t>，需在描述中予以说明。示例：产品</w:t>
      </w:r>
      <w:r>
        <w:rPr>
          <w:rFonts w:hint="eastAsia" w:eastAsia="仿宋_GB2312"/>
          <w:sz w:val="32"/>
          <w:szCs w:val="32"/>
        </w:rPr>
        <w:t>供医疗机构对人体粪便样本</w:t>
      </w:r>
      <w:r>
        <w:rPr>
          <w:rFonts w:hint="eastAsia" w:eastAsia="仿宋_GB2312"/>
          <w:color w:val="000000" w:themeColor="text1"/>
          <w:sz w:val="32"/>
          <w:szCs w:val="32"/>
          <w14:textFill>
            <w14:solidFill>
              <w14:schemeClr w14:val="tx1"/>
            </w14:solidFill>
          </w14:textFill>
        </w:rPr>
        <w:t>的颜色、性状、有形成分进行检测；与检测试剂盒配合使用进行化学及免疫学指标的检测。</w:t>
      </w:r>
    </w:p>
    <w:p w14:paraId="42116E52">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4.1.2明确写明目标用户为经专业培训的医疗卫生机构的检验人员，并写明相关人员操作申报产品应当具备的基本能力要求。</w:t>
      </w:r>
    </w:p>
    <w:p w14:paraId="31C2210C">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4.2预期使用环境</w:t>
      </w:r>
    </w:p>
    <w:p w14:paraId="7F7A9A5A">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4.2.1明确写明申报产品预期使用的地点，如医疗卫生机构检验科。</w:t>
      </w:r>
    </w:p>
    <w:p w14:paraId="73247D56">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4.2.2明确写明可能会影响申报产品安全性和有效性的环境条件，即申报产品的正常工作条件，包括温度、湿度、海拔高度、电源要求等，对每一条件均应给出具体的指标要求，如温度范围在10℃～30℃。</w:t>
      </w:r>
    </w:p>
    <w:p w14:paraId="59E950A4">
      <w:pPr>
        <w:spacing w:line="520" w:lineRule="exact"/>
        <w:ind w:right="-67" w:rightChars="-32" w:firstLine="640" w:firstLineChars="200"/>
        <w:outlineLvl w:val="1"/>
        <w:rPr>
          <w:rFonts w:eastAsia="仿宋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（三）非临床资料</w:t>
      </w:r>
    </w:p>
    <w:p w14:paraId="66C77BEB">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1.产品风险管理资料</w:t>
      </w:r>
    </w:p>
    <w:p w14:paraId="0DE9C622">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14:textFill>
            <w14:solidFill>
              <w14:schemeClr w14:val="tx1"/>
            </w14:solidFill>
          </w14:textFill>
        </w:rPr>
        <w:t>注册申请人需对产品全生命周期实施风险管理，依据GB/T 42062，</w:t>
      </w:r>
      <w:r>
        <w:rPr>
          <w:rFonts w:eastAsia="仿宋_GB2312"/>
          <w:color w:val="000000" w:themeColor="text1"/>
          <w:sz w:val="32"/>
          <w:szCs w:val="32"/>
          <w:lang w:val="zh-CN"/>
          <w14:textFill>
            <w14:solidFill>
              <w14:schemeClr w14:val="tx1"/>
            </w14:solidFill>
          </w14:textFill>
        </w:rPr>
        <w:t>提供产品风险管理报告。</w:t>
      </w:r>
    </w:p>
    <w:p w14:paraId="5C62BF12">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14:textFill>
            <w14:solidFill>
              <w14:schemeClr w14:val="tx1"/>
            </w14:solidFill>
          </w14:textFill>
        </w:rPr>
        <w:t>注册</w:t>
      </w:r>
      <w:r>
        <w:rPr>
          <w:rFonts w:eastAsia="仿宋_GB2312"/>
          <w:color w:val="000000" w:themeColor="text1"/>
          <w:sz w:val="32"/>
          <w:szCs w:val="32"/>
          <w:lang w:val="zh-CN"/>
          <w14:textFill>
            <w14:solidFill>
              <w14:schemeClr w14:val="tx1"/>
            </w14:solidFill>
          </w14:textFill>
        </w:rPr>
        <w:t>申请人需重点说明：申报产品的研制阶段已对有关可能的危</w:t>
      </w:r>
      <w:r>
        <w:rPr>
          <w:rFonts w:eastAsia="仿宋_GB2312"/>
          <w:color w:val="000000" w:themeColor="text1"/>
          <w:sz w:val="32"/>
          <w:szCs w:val="32"/>
          <w14:textFill>
            <w14:solidFill>
              <w14:schemeClr w14:val="tx1"/>
            </w14:solidFill>
          </w14:textFill>
        </w:rPr>
        <w:t>险</w:t>
      </w:r>
      <w:r>
        <w:rPr>
          <w:rFonts w:eastAsia="仿宋_GB2312"/>
          <w:color w:val="000000" w:themeColor="text1"/>
          <w:sz w:val="32"/>
          <w:szCs w:val="32"/>
          <w:lang w:val="zh-CN"/>
          <w14:textFill>
            <w14:solidFill>
              <w14:schemeClr w14:val="tx1"/>
            </w14:solidFill>
          </w14:textFill>
        </w:rPr>
        <w:t>及产生的风险进行了估计和评价，针对性地实施了降低风险的技术和管理方面的措施。产品性能测试对上述措施的有效性进行了验证，达到了通用和专用标准的要求。</w:t>
      </w:r>
      <w:r>
        <w:rPr>
          <w:rFonts w:eastAsia="仿宋_GB2312"/>
          <w:color w:val="000000" w:themeColor="text1"/>
          <w:sz w:val="32"/>
          <w:szCs w:val="32"/>
          <w14:textFill>
            <w14:solidFill>
              <w14:schemeClr w14:val="tx1"/>
            </w14:solidFill>
          </w14:textFill>
        </w:rPr>
        <w:t>注册</w:t>
      </w:r>
      <w:r>
        <w:rPr>
          <w:rFonts w:eastAsia="仿宋_GB2312"/>
          <w:color w:val="000000" w:themeColor="text1"/>
          <w:sz w:val="32"/>
          <w:szCs w:val="32"/>
          <w:lang w:val="zh-CN"/>
          <w14:textFill>
            <w14:solidFill>
              <w14:schemeClr w14:val="tx1"/>
            </w14:solidFill>
          </w14:textFill>
        </w:rPr>
        <w:t>申请人对所有剩余风险进行了评价，全部达到可接受的水平。产品风险分析资料需为</w:t>
      </w:r>
      <w:r>
        <w:rPr>
          <w:rFonts w:eastAsia="仿宋_GB2312"/>
          <w:color w:val="000000" w:themeColor="text1"/>
          <w:sz w:val="32"/>
          <w:szCs w:val="32"/>
          <w14:textFill>
            <w14:solidFill>
              <w14:schemeClr w14:val="tx1"/>
            </w14:solidFill>
          </w14:textFill>
        </w:rPr>
        <w:t>注册</w:t>
      </w:r>
      <w:r>
        <w:rPr>
          <w:rFonts w:eastAsia="仿宋_GB2312"/>
          <w:color w:val="000000" w:themeColor="text1"/>
          <w:sz w:val="32"/>
          <w:szCs w:val="32"/>
          <w:lang w:val="zh-CN"/>
          <w14:textFill>
            <w14:solidFill>
              <w14:schemeClr w14:val="tx1"/>
            </w14:solidFill>
          </w14:textFill>
        </w:rPr>
        <w:t>申请人关于产品安全性的承诺提供支持。</w:t>
      </w:r>
    </w:p>
    <w:p w14:paraId="534902A2">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lang w:val="zh-CN"/>
          <w14:textFill>
            <w14:solidFill>
              <w14:schemeClr w14:val="tx1"/>
            </w14:solidFill>
          </w14:textFill>
        </w:rPr>
        <w:t>风险管理报告一般包括以下内容：</w:t>
      </w:r>
    </w:p>
    <w:p w14:paraId="5347F9B8">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14:textFill>
            <w14:solidFill>
              <w14:schemeClr w14:val="tx1"/>
            </w14:solidFill>
          </w14:textFill>
        </w:rPr>
        <w:t>1.1</w:t>
      </w:r>
      <w:r>
        <w:rPr>
          <w:rFonts w:eastAsia="仿宋_GB2312"/>
          <w:color w:val="000000" w:themeColor="text1"/>
          <w:sz w:val="32"/>
          <w:szCs w:val="32"/>
          <w:lang w:val="zh-CN"/>
          <w14:textFill>
            <w14:solidFill>
              <w14:schemeClr w14:val="tx1"/>
            </w14:solidFill>
          </w14:textFill>
        </w:rPr>
        <w:t>申报产品的预期用途，与安全性有关的特征的判定；</w:t>
      </w:r>
    </w:p>
    <w:p w14:paraId="0B43F8C4">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14:textFill>
            <w14:solidFill>
              <w14:schemeClr w14:val="tx1"/>
            </w14:solidFill>
          </w14:textFill>
        </w:rPr>
        <w:t>1.2</w:t>
      </w:r>
      <w:r>
        <w:rPr>
          <w:rFonts w:eastAsia="仿宋_GB2312"/>
          <w:color w:val="000000" w:themeColor="text1"/>
          <w:sz w:val="32"/>
          <w:szCs w:val="32"/>
          <w:lang w:val="zh-CN"/>
          <w14:textFill>
            <w14:solidFill>
              <w14:schemeClr w14:val="tx1"/>
            </w14:solidFill>
          </w14:textFill>
        </w:rPr>
        <w:t>对申报产品的可能危</w:t>
      </w:r>
      <w:r>
        <w:rPr>
          <w:rFonts w:eastAsia="仿宋_GB2312"/>
          <w:color w:val="000000" w:themeColor="text1"/>
          <w:sz w:val="32"/>
          <w:szCs w:val="32"/>
          <w14:textFill>
            <w14:solidFill>
              <w14:schemeClr w14:val="tx1"/>
            </w14:solidFill>
          </w14:textFill>
        </w:rPr>
        <w:t>险</w:t>
      </w:r>
      <w:r>
        <w:rPr>
          <w:rFonts w:eastAsia="仿宋_GB2312"/>
          <w:color w:val="000000" w:themeColor="text1"/>
          <w:sz w:val="32"/>
          <w:szCs w:val="32"/>
          <w:lang w:val="zh-CN"/>
          <w14:textFill>
            <w14:solidFill>
              <w14:schemeClr w14:val="tx1"/>
            </w14:solidFill>
          </w14:textFill>
        </w:rPr>
        <w:t>作出判定</w:t>
      </w:r>
      <w:r>
        <w:rPr>
          <w:rFonts w:hint="eastAsia" w:eastAsia="仿宋_GB2312"/>
          <w:sz w:val="32"/>
          <w:szCs w:val="32"/>
          <w:lang w:val="zh-CN"/>
        </w:rPr>
        <w:t>（</w:t>
      </w:r>
      <w:r>
        <w:rPr>
          <w:rFonts w:hint="eastAsia" w:eastAsia="仿宋_GB2312"/>
          <w:sz w:val="32"/>
          <w:szCs w:val="32"/>
        </w:rPr>
        <w:t>见附表</w:t>
      </w:r>
      <w:r>
        <w:rPr>
          <w:rFonts w:hint="eastAsia" w:eastAsia="仿宋_GB2312"/>
          <w:sz w:val="32"/>
          <w:szCs w:val="32"/>
          <w:lang w:val="zh-CN"/>
        </w:rPr>
        <w:t>）</w:t>
      </w:r>
      <w:r>
        <w:rPr>
          <w:rFonts w:eastAsia="仿宋_GB2312"/>
          <w:color w:val="000000" w:themeColor="text1"/>
          <w:sz w:val="32"/>
          <w:szCs w:val="32"/>
          <w:lang w:val="zh-CN"/>
          <w14:textFill>
            <w14:solidFill>
              <w14:schemeClr w14:val="tx1"/>
            </w14:solidFill>
          </w14:textFill>
        </w:rPr>
        <w:t>；</w:t>
      </w:r>
    </w:p>
    <w:p w14:paraId="49AB206A">
      <w:pPr>
        <w:spacing w:line="520" w:lineRule="exact"/>
        <w:ind w:firstLine="640" w:firstLineChars="200"/>
        <w:rPr>
          <w:rFonts w:eastAsia="仿宋_GB2312"/>
          <w:color w:val="000000" w:themeColor="text1"/>
          <w:sz w:val="32"/>
          <w:szCs w:val="32"/>
          <w:lang w:val="zh-CN"/>
          <w14:textFill>
            <w14:solidFill>
              <w14:schemeClr w14:val="tx1"/>
            </w14:solidFill>
          </w14:textFill>
        </w:rPr>
      </w:pPr>
      <w:r>
        <w:rPr>
          <w:rFonts w:eastAsia="仿宋_GB2312"/>
          <w:color w:val="000000" w:themeColor="text1"/>
          <w:sz w:val="32"/>
          <w:szCs w:val="32"/>
          <w14:textFill>
            <w14:solidFill>
              <w14:schemeClr w14:val="tx1"/>
            </w14:solidFill>
          </w14:textFill>
        </w:rPr>
        <w:t>1.3</w:t>
      </w:r>
      <w:r>
        <w:rPr>
          <w:rFonts w:eastAsia="仿宋_GB2312"/>
          <w:color w:val="000000" w:themeColor="text1"/>
          <w:sz w:val="32"/>
          <w:szCs w:val="32"/>
          <w:lang w:val="zh-CN"/>
          <w14:textFill>
            <w14:solidFill>
              <w14:schemeClr w14:val="tx1"/>
            </w14:solidFill>
          </w14:textFill>
        </w:rPr>
        <w:t>对所判定的危</w:t>
      </w:r>
      <w:r>
        <w:rPr>
          <w:rFonts w:eastAsia="仿宋_GB2312"/>
          <w:color w:val="000000" w:themeColor="text1"/>
          <w:sz w:val="32"/>
          <w:szCs w:val="32"/>
          <w14:textFill>
            <w14:solidFill>
              <w14:schemeClr w14:val="tx1"/>
            </w14:solidFill>
          </w14:textFill>
        </w:rPr>
        <w:t>险</w:t>
      </w:r>
      <w:r>
        <w:rPr>
          <w:rFonts w:eastAsia="仿宋_GB2312"/>
          <w:color w:val="000000" w:themeColor="text1"/>
          <w:sz w:val="32"/>
          <w:szCs w:val="32"/>
          <w:lang w:val="zh-CN"/>
          <w14:textFill>
            <w14:solidFill>
              <w14:schemeClr w14:val="tx1"/>
            </w14:solidFill>
          </w14:textFill>
        </w:rPr>
        <w:t>采取的降低风险的控制措施；</w:t>
      </w:r>
    </w:p>
    <w:p w14:paraId="4507589A">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1.4</w:t>
      </w:r>
      <w:r>
        <w:rPr>
          <w:rFonts w:eastAsia="仿宋_GB2312"/>
          <w:color w:val="000000" w:themeColor="text1"/>
          <w:sz w:val="32"/>
          <w:szCs w:val="32"/>
          <w:lang w:val="zh-CN"/>
          <w14:textFill>
            <w14:solidFill>
              <w14:schemeClr w14:val="tx1"/>
            </w14:solidFill>
          </w14:textFill>
        </w:rPr>
        <w:t>对采取控制措施后的剩余风险进行估计和评价；</w:t>
      </w:r>
    </w:p>
    <w:p w14:paraId="40C2D537">
      <w:pPr>
        <w:spacing w:line="520" w:lineRule="exact"/>
        <w:ind w:firstLine="640" w:firstLineChars="200"/>
        <w:outlineLvl w:val="2"/>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2.产品技术要求及检验报告</w:t>
      </w:r>
    </w:p>
    <w:p w14:paraId="0D7A718E">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2.1产品技术要求</w:t>
      </w:r>
    </w:p>
    <w:p w14:paraId="2D630E82">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注册申请人应按照《医疗器械产品技术要求编写指导原则》编写产品技术要求。</w:t>
      </w:r>
    </w:p>
    <w:p w14:paraId="4C30545D">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2.1.1产品型号/规格及其划分的说明</w:t>
      </w:r>
    </w:p>
    <w:p w14:paraId="75214408">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说明产品的型号、规格，明确产品型号、规格的划分说明。</w:t>
      </w:r>
    </w:p>
    <w:p w14:paraId="183BD55A">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产品中包含软件组件，应明确软件的名称、型号规格（若适用）、发布版本、版本命名规则，软件模块若有单独的版本、版本命名规则均需说明。</w:t>
      </w:r>
    </w:p>
    <w:p w14:paraId="4A74ADA5">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2.1.2性能指标</w:t>
      </w:r>
    </w:p>
    <w:p w14:paraId="79366582">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粪便分析仪应</w:t>
      </w:r>
      <w:r>
        <w:rPr>
          <w:rFonts w:eastAsia="仿宋_GB2312"/>
          <w:color w:val="000000" w:themeColor="text1"/>
          <w:sz w:val="32"/>
          <w:szCs w:val="32"/>
          <w14:textFill>
            <w14:solidFill>
              <w14:schemeClr w14:val="tx1"/>
            </w14:solidFill>
          </w14:textFill>
        </w:rPr>
        <w:t>符合</w:t>
      </w:r>
      <w:r>
        <w:rPr>
          <w:rFonts w:eastAsia="仿宋_GB2312"/>
          <w:color w:val="000000" w:themeColor="text1"/>
          <w:kern w:val="0"/>
          <w:sz w:val="32"/>
          <w:szCs w:val="32"/>
          <w14:textFill>
            <w14:solidFill>
              <w14:schemeClr w14:val="tx1"/>
            </w14:solidFill>
          </w14:textFill>
        </w:rPr>
        <w:t>YY/T 1745</w:t>
      </w:r>
      <w:r>
        <w:rPr>
          <w:rFonts w:eastAsia="仿宋_GB2312"/>
          <w:color w:val="000000" w:themeColor="text1"/>
          <w:sz w:val="32"/>
          <w:szCs w:val="32"/>
          <w14:textFill>
            <w14:solidFill>
              <w14:schemeClr w14:val="tx1"/>
            </w14:solidFill>
          </w14:textFill>
        </w:rPr>
        <w:t>要求。若申报产品结构特征、适用范围、使用方式等与上述标准的适用范围不一致，申请人应当提出不适用的说明，并提供经验证的证明性资料。</w:t>
      </w:r>
    </w:p>
    <w:p w14:paraId="36E132E0">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粪便分析仪</w:t>
      </w:r>
      <w:r>
        <w:rPr>
          <w:rFonts w:eastAsia="仿宋_GB2312"/>
          <w:color w:val="000000" w:themeColor="text1"/>
          <w:sz w:val="32"/>
          <w:szCs w:val="32"/>
          <w14:textFill>
            <w14:solidFill>
              <w14:schemeClr w14:val="tx1"/>
            </w14:solidFill>
          </w14:textFill>
        </w:rPr>
        <w:t>产品技术要求中性能指标项目主要包括以下要求：</w:t>
      </w:r>
      <w:r>
        <w:rPr>
          <w:rFonts w:hint="eastAsia" w:eastAsia="仿宋_GB2312"/>
          <w:color w:val="000000" w:themeColor="text1"/>
          <w:sz w:val="32"/>
          <w:szCs w:val="32"/>
          <w14:textFill>
            <w14:solidFill>
              <w14:schemeClr w14:val="tx1"/>
            </w14:solidFill>
          </w14:textFill>
        </w:rPr>
        <w:t>检出率、</w:t>
      </w:r>
      <w:r>
        <w:rPr>
          <w:rFonts w:eastAsia="仿宋_GB2312"/>
          <w:color w:val="000000" w:themeColor="text1"/>
          <w:sz w:val="32"/>
          <w:szCs w:val="32"/>
          <w14:textFill>
            <w14:solidFill>
              <w14:schemeClr w14:val="tx1"/>
            </w14:solidFill>
          </w14:textFill>
        </w:rPr>
        <w:t>重复性</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携带污染</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临床应用指标</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检出符合率</w:t>
      </w:r>
      <w:r>
        <w:rPr>
          <w:rFonts w:hint="eastAsia" w:eastAsia="仿宋_GB2312"/>
          <w:color w:val="000000" w:themeColor="text1"/>
          <w:sz w:val="32"/>
          <w:szCs w:val="32"/>
          <w14:textFill>
            <w14:solidFill>
              <w14:schemeClr w14:val="tx1"/>
            </w14:solidFill>
          </w14:textFill>
        </w:rPr>
        <w:t>、温度准确度与波动度（</w:t>
      </w:r>
      <w:r>
        <w:rPr>
          <w:rFonts w:eastAsia="仿宋_GB2312"/>
          <w:color w:val="000000" w:themeColor="text1"/>
          <w:sz w:val="32"/>
          <w:szCs w:val="32"/>
          <w14:textFill>
            <w14:solidFill>
              <w14:schemeClr w14:val="tx1"/>
            </w14:solidFill>
          </w14:textFill>
        </w:rPr>
        <w:t>如适用</w:t>
      </w:r>
      <w:r>
        <w:rPr>
          <w:rFonts w:hint="eastAsia" w:eastAsia="仿宋_GB2312"/>
          <w:color w:val="000000" w:themeColor="text1"/>
          <w:sz w:val="32"/>
          <w:szCs w:val="32"/>
          <w14:textFill>
            <w14:solidFill>
              <w14:schemeClr w14:val="tx1"/>
            </w14:solidFill>
          </w14:textFill>
        </w:rPr>
        <w:t>）、外观、</w:t>
      </w:r>
      <w:bookmarkStart w:id="0" w:name="OLE_LINK2"/>
      <w:r>
        <w:rPr>
          <w:rFonts w:hint="eastAsia" w:eastAsia="仿宋_GB2312"/>
          <w:color w:val="000000" w:themeColor="text1"/>
          <w:sz w:val="32"/>
          <w:szCs w:val="32"/>
          <w14:textFill>
            <w14:solidFill>
              <w14:schemeClr w14:val="tx1"/>
            </w14:solidFill>
          </w14:textFill>
        </w:rPr>
        <w:t>样本前处理功能、分析功能、自检功能、故障报警功能</w:t>
      </w:r>
      <w:bookmarkEnd w:id="0"/>
      <w:r>
        <w:rPr>
          <w:rFonts w:eastAsia="仿宋_GB2312"/>
          <w:color w:val="000000" w:themeColor="text1"/>
          <w:sz w:val="32"/>
          <w:szCs w:val="32"/>
          <w14:textFill>
            <w14:solidFill>
              <w14:schemeClr w14:val="tx1"/>
            </w14:solidFill>
          </w14:textFill>
        </w:rPr>
        <w:t>。</w:t>
      </w:r>
    </w:p>
    <w:p w14:paraId="78697E95">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2.1.3</w:t>
      </w:r>
      <w:r>
        <w:rPr>
          <w:rFonts w:hint="eastAsia" w:eastAsia="仿宋_GB2312"/>
          <w:color w:val="000000" w:themeColor="text1"/>
          <w:sz w:val="32"/>
          <w:szCs w:val="32"/>
          <w14:textFill>
            <w14:solidFill>
              <w14:schemeClr w14:val="tx1"/>
            </w14:solidFill>
          </w14:textFill>
        </w:rPr>
        <w:t>电气</w:t>
      </w:r>
      <w:r>
        <w:rPr>
          <w:rFonts w:eastAsia="仿宋_GB2312"/>
          <w:color w:val="000000" w:themeColor="text1"/>
          <w:sz w:val="32"/>
          <w:szCs w:val="32"/>
          <w14:textFill>
            <w14:solidFill>
              <w14:schemeClr w14:val="tx1"/>
            </w14:solidFill>
          </w14:textFill>
        </w:rPr>
        <w:t>安全要求</w:t>
      </w:r>
    </w:p>
    <w:p w14:paraId="022A17B6">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应符合GB 4793、GB/T 42125.1</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B/T 42125.2（如适用）、YY/</w:t>
      </w:r>
      <w:r>
        <w:rPr>
          <w:rFonts w:hint="eastAsia" w:eastAsia="仿宋_GB2312"/>
          <w:color w:val="000000" w:themeColor="text1"/>
          <w:sz w:val="32"/>
          <w:szCs w:val="32"/>
          <w14:textFill>
            <w14:solidFill>
              <w14:schemeClr w14:val="tx1"/>
            </w14:solidFill>
          </w14:textFill>
        </w:rPr>
        <w:t>T</w:t>
      </w:r>
      <w:r>
        <w:rPr>
          <w:rFonts w:eastAsia="仿宋_GB2312"/>
          <w:color w:val="000000" w:themeColor="text1"/>
          <w:sz w:val="32"/>
          <w:szCs w:val="32"/>
          <w14:textFill>
            <w14:solidFill>
              <w14:schemeClr w14:val="tx1"/>
            </w14:solidFill>
          </w14:textFill>
        </w:rPr>
        <w:t xml:space="preserve"> 0648中适用条款的要求。</w:t>
      </w:r>
    </w:p>
    <w:p w14:paraId="23DC6514">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2.1.4电磁兼容要求</w:t>
      </w:r>
    </w:p>
    <w:p w14:paraId="591E8071">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应符合GB/T 18268.1、GB/T 18268.26中适用条款的要求。</w:t>
      </w:r>
    </w:p>
    <w:p w14:paraId="1CE89869">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2.1.5软件功能要求</w:t>
      </w:r>
    </w:p>
    <w:p w14:paraId="222BAA65">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应参照《医疗器械软件注册审查指导原则（2022年修订版）》的相关要求，</w:t>
      </w:r>
      <w:r>
        <w:rPr>
          <w:rFonts w:hint="eastAsia" w:eastAsia="仿宋_GB2312"/>
          <w:sz w:val="32"/>
          <w:szCs w:val="32"/>
        </w:rPr>
        <w:t>软件组件在“产品型号/规格及其划分说明”明确软件的名称、型号规格（如适用）、发布版本、版本命名规则。在“性能指标”明确软件的功能、使用限制、接口、访问控制、运行环境（如适用）、性能效率（如适用）等要求。</w:t>
      </w:r>
    </w:p>
    <w:p w14:paraId="0034ABA7">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2.2检验报告</w:t>
      </w:r>
    </w:p>
    <w:p w14:paraId="7FA9D9AA">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可提交以下任一形式的检验报告：</w:t>
      </w:r>
    </w:p>
    <w:p w14:paraId="32105136">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2.2.1注册申请人出具的自检报告；</w:t>
      </w:r>
    </w:p>
    <w:p w14:paraId="37084F9F">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2.2.2委托有资质的医疗器械检验机构出具的检验报告。</w:t>
      </w:r>
    </w:p>
    <w:p w14:paraId="54E359C8">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2.3同一注册单元内检验典型性产品确定原则</w:t>
      </w:r>
    </w:p>
    <w:p w14:paraId="3C8B73BD">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应说明检验用型号规格的典型性，如所检型号规格部分性能指标不足以覆盖其他型号规格时，应针对差异部分进行检验。</w:t>
      </w:r>
    </w:p>
    <w:p w14:paraId="4CE3EC28">
      <w:pPr>
        <w:spacing w:line="520" w:lineRule="exact"/>
        <w:ind w:firstLine="640" w:firstLineChars="200"/>
        <w:outlineLvl w:val="2"/>
        <w:rPr>
          <w:rFonts w:eastAsia="仿宋_GB2312"/>
          <w:color w:val="000000" w:themeColor="text1"/>
          <w:sz w:val="32"/>
          <w:szCs w:val="32"/>
          <w:lang w:eastAsia="zh-Hans"/>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eastAsia="仿宋_GB2312"/>
          <w:color w:val="000000" w:themeColor="text1"/>
          <w:sz w:val="32"/>
          <w:szCs w:val="32"/>
          <w:lang w:eastAsia="zh-Hans"/>
          <w14:textFill>
            <w14:solidFill>
              <w14:schemeClr w14:val="tx1"/>
            </w14:solidFill>
          </w14:textFill>
        </w:rPr>
        <w:t>.研究资料</w:t>
      </w:r>
    </w:p>
    <w:p w14:paraId="5EE793D8">
      <w:pPr>
        <w:spacing w:line="520" w:lineRule="exact"/>
        <w:ind w:firstLine="640" w:firstLineChars="200"/>
        <w:outlineLvl w:val="3"/>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3.1产品性能研究资料</w:t>
      </w:r>
    </w:p>
    <w:p w14:paraId="751FB316">
      <w:pPr>
        <w:spacing w:line="520" w:lineRule="exact"/>
        <w:ind w:firstLine="640" w:firstLineChars="200"/>
        <w:outlineLvl w:val="4"/>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3.1.1功能性指标</w:t>
      </w:r>
    </w:p>
    <w:p w14:paraId="5C26493A">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应根据综述资料中有关申报产品结构组成和各主要组件、模块的情况，提供详细的组件的功能性指标或者模块中主要元器件功能性指标的研究资料。</w:t>
      </w:r>
    </w:p>
    <w:p w14:paraId="43D42830">
      <w:pPr>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粪便分析仪</w:t>
      </w:r>
      <w:r>
        <w:rPr>
          <w:rFonts w:eastAsia="仿宋_GB2312"/>
          <w:color w:val="000000" w:themeColor="text1"/>
          <w:sz w:val="32"/>
          <w:szCs w:val="32"/>
          <w14:textFill>
            <w14:solidFill>
              <w14:schemeClr w14:val="tx1"/>
            </w14:solidFill>
          </w14:textFill>
        </w:rPr>
        <w:t>应包括</w:t>
      </w:r>
      <w:r>
        <w:rPr>
          <w:rFonts w:hint="eastAsia" w:eastAsia="仿宋_GB2312"/>
          <w:color w:val="000000" w:themeColor="text1"/>
          <w:sz w:val="32"/>
          <w:szCs w:val="32"/>
          <w14:textFill>
            <w14:solidFill>
              <w14:schemeClr w14:val="tx1"/>
            </w14:solidFill>
          </w14:textFill>
        </w:rPr>
        <w:t>检出率、</w:t>
      </w:r>
      <w:r>
        <w:rPr>
          <w:rFonts w:eastAsia="仿宋_GB2312"/>
          <w:color w:val="000000" w:themeColor="text1"/>
          <w:sz w:val="32"/>
          <w:szCs w:val="32"/>
          <w14:textFill>
            <w14:solidFill>
              <w14:schemeClr w14:val="tx1"/>
            </w14:solidFill>
          </w14:textFill>
        </w:rPr>
        <w:t>重复性</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携带污染</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临床应用指标</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检出符合率</w:t>
      </w:r>
      <w:r>
        <w:rPr>
          <w:rFonts w:hint="eastAsia" w:eastAsia="仿宋_GB2312"/>
          <w:color w:val="000000" w:themeColor="text1"/>
          <w:sz w:val="32"/>
          <w:szCs w:val="32"/>
          <w14:textFill>
            <w14:solidFill>
              <w14:schemeClr w14:val="tx1"/>
            </w14:solidFill>
          </w14:textFill>
        </w:rPr>
        <w:t>、温度准确度与波动度（</w:t>
      </w:r>
      <w:r>
        <w:rPr>
          <w:rFonts w:eastAsia="仿宋_GB2312"/>
          <w:color w:val="000000" w:themeColor="text1"/>
          <w:sz w:val="32"/>
          <w:szCs w:val="32"/>
          <w14:textFill>
            <w14:solidFill>
              <w14:schemeClr w14:val="tx1"/>
            </w14:solidFill>
          </w14:textFill>
        </w:rPr>
        <w:t>如适用</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等研究项目；结合产品各主要组件、模块的情况，还应考虑对</w:t>
      </w:r>
      <w:r>
        <w:rPr>
          <w:rFonts w:hint="eastAsia" w:eastAsia="仿宋_GB2312"/>
          <w:color w:val="000000" w:themeColor="text1"/>
          <w:sz w:val="32"/>
          <w:szCs w:val="32"/>
          <w14:textFill>
            <w14:solidFill>
              <w14:schemeClr w14:val="tx1"/>
            </w14:solidFill>
          </w14:textFill>
        </w:rPr>
        <w:t>粪便分析仪</w:t>
      </w:r>
      <w:r>
        <w:rPr>
          <w:rFonts w:eastAsia="仿宋_GB2312"/>
          <w:color w:val="000000" w:themeColor="text1"/>
          <w:sz w:val="32"/>
          <w:szCs w:val="32"/>
          <w14:textFill>
            <w14:solidFill>
              <w14:schemeClr w14:val="tx1"/>
            </w14:solidFill>
          </w14:textFill>
        </w:rPr>
        <w:t>的</w:t>
      </w:r>
      <w:r>
        <w:rPr>
          <w:rFonts w:hint="eastAsia" w:eastAsia="仿宋_GB2312"/>
          <w:color w:val="000000" w:themeColor="text1"/>
          <w:sz w:val="32"/>
          <w:szCs w:val="32"/>
          <w14:textFill>
            <w14:solidFill>
              <w14:schemeClr w14:val="tx1"/>
            </w14:solidFill>
          </w14:textFill>
        </w:rPr>
        <w:t>样本</w:t>
      </w:r>
      <w:r>
        <w:rPr>
          <w:rFonts w:eastAsia="仿宋_GB2312"/>
          <w:color w:val="000000" w:themeColor="text1"/>
          <w:sz w:val="32"/>
          <w:szCs w:val="32"/>
          <w14:textFill>
            <w14:solidFill>
              <w14:schemeClr w14:val="tx1"/>
            </w14:solidFill>
          </w14:textFill>
        </w:rPr>
        <w:t>处理模块、</w:t>
      </w:r>
      <w:r>
        <w:rPr>
          <w:rFonts w:hint="eastAsia" w:eastAsia="仿宋_GB2312"/>
          <w:color w:val="000000" w:themeColor="text1"/>
          <w:sz w:val="32"/>
          <w:szCs w:val="32"/>
          <w14:textFill>
            <w14:solidFill>
              <w14:schemeClr w14:val="tx1"/>
            </w14:solidFill>
          </w14:textFill>
        </w:rPr>
        <w:t>显微镜模块</w:t>
      </w:r>
      <w:r>
        <w:rPr>
          <w:rFonts w:eastAsia="仿宋_GB2312"/>
          <w:color w:val="000000" w:themeColor="text1"/>
          <w:sz w:val="32"/>
          <w:szCs w:val="32"/>
          <w14:textFill>
            <w14:solidFill>
              <w14:schemeClr w14:val="tx1"/>
            </w14:solidFill>
          </w14:textFill>
        </w:rPr>
        <w:t>等部分提交研究资料</w:t>
      </w:r>
      <w:r>
        <w:rPr>
          <w:rFonts w:hint="eastAsia" w:eastAsia="仿宋_GB2312"/>
          <w:color w:val="000000" w:themeColor="text1"/>
          <w:sz w:val="32"/>
          <w:szCs w:val="32"/>
          <w14:textFill>
            <w14:solidFill>
              <w14:schemeClr w14:val="tx1"/>
            </w14:solidFill>
          </w14:textFill>
        </w:rPr>
        <w:t>。</w:t>
      </w:r>
    </w:p>
    <w:p w14:paraId="3D16856A">
      <w:pPr>
        <w:spacing w:line="520" w:lineRule="exact"/>
        <w:ind w:firstLine="640" w:firstLineChars="200"/>
        <w:outlineLvl w:val="4"/>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3.1.2临床项目分析性能的研究资料</w:t>
      </w:r>
    </w:p>
    <w:p w14:paraId="24091464">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建议注册申请人根据配套检测试剂分析性能评估的基础研究结果，结合申报产品适用范围和预期检测项目类型，选择检测项目最全的配套试剂型号或试剂组合，对配套试剂产品的主要性能进行系统性评估，提交临床项目分析性能的研究资料，包括但不限于</w:t>
      </w:r>
      <w:r>
        <w:rPr>
          <w:rFonts w:hint="eastAsia" w:eastAsia="仿宋_GB2312"/>
          <w:color w:val="000000" w:themeColor="text1"/>
          <w:sz w:val="32"/>
          <w:szCs w:val="32"/>
          <w14:textFill>
            <w14:solidFill>
              <w14:schemeClr w14:val="tx1"/>
            </w14:solidFill>
          </w14:textFill>
        </w:rPr>
        <w:t>最低检测限</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阴性符合率</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阳性</w:t>
      </w:r>
      <w:r>
        <w:rPr>
          <w:rFonts w:eastAsia="仿宋_GB2312"/>
          <w:color w:val="000000" w:themeColor="text1"/>
          <w:sz w:val="32"/>
          <w:szCs w:val="32"/>
          <w14:textFill>
            <w14:solidFill>
              <w14:schemeClr w14:val="tx1"/>
            </w14:solidFill>
          </w14:textFill>
        </w:rPr>
        <w:t>符合率</w:t>
      </w:r>
      <w:r>
        <w:rPr>
          <w:rFonts w:hint="eastAsia" w:eastAsia="仿宋_GB2312"/>
          <w:color w:val="000000" w:themeColor="text1"/>
          <w:sz w:val="32"/>
          <w:szCs w:val="32"/>
          <w14:textFill>
            <w14:solidFill>
              <w14:schemeClr w14:val="tx1"/>
            </w14:solidFill>
          </w14:textFill>
        </w:rPr>
        <w:t>、重复性</w:t>
      </w:r>
      <w:r>
        <w:rPr>
          <w:rFonts w:eastAsia="仿宋_GB2312"/>
          <w:color w:val="000000" w:themeColor="text1"/>
          <w:sz w:val="32"/>
          <w:szCs w:val="32"/>
          <w14:textFill>
            <w14:solidFill>
              <w14:schemeClr w14:val="tx1"/>
            </w14:solidFill>
          </w14:textFill>
        </w:rPr>
        <w:t>等项目。</w:t>
      </w:r>
    </w:p>
    <w:p w14:paraId="0B6014DA">
      <w:pPr>
        <w:spacing w:line="520" w:lineRule="exact"/>
        <w:ind w:firstLine="640" w:firstLineChars="200"/>
        <w:outlineLvl w:val="4"/>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3.1.3安全性指标</w:t>
      </w:r>
    </w:p>
    <w:p w14:paraId="251A07EA">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安全性指标的验证包括电气安全指标和电磁兼容指标两大类。</w:t>
      </w:r>
    </w:p>
    <w:p w14:paraId="72AE6D9A">
      <w:pPr>
        <w:widowControl/>
        <w:snapToGrid w:val="0"/>
        <w:spacing w:line="520" w:lineRule="exact"/>
        <w:ind w:firstLine="640" w:firstLineChars="200"/>
        <w:rPr>
          <w:rFonts w:eastAsia="仿宋_GB2312"/>
          <w:sz w:val="32"/>
          <w:szCs w:val="32"/>
        </w:rPr>
      </w:pPr>
      <w:r>
        <w:rPr>
          <w:rFonts w:hint="eastAsia" w:eastAsia="仿宋_GB2312"/>
          <w:sz w:val="32"/>
          <w:szCs w:val="32"/>
        </w:rPr>
        <w:t>电气安全应当符合GB 4793、GB/T 42125.1、YY/T 0648及其他适用的国家标准和行业标准中的要求。</w:t>
      </w:r>
    </w:p>
    <w:p w14:paraId="3DFD6AEF">
      <w:pPr>
        <w:widowControl/>
        <w:snapToGrid w:val="0"/>
        <w:spacing w:line="520" w:lineRule="exact"/>
        <w:ind w:firstLine="640" w:firstLineChars="200"/>
        <w:rPr>
          <w:rFonts w:eastAsia="仿宋_GB2312"/>
          <w:sz w:val="32"/>
          <w:szCs w:val="32"/>
        </w:rPr>
      </w:pPr>
      <w:r>
        <w:rPr>
          <w:rFonts w:hint="eastAsia" w:eastAsia="仿宋_GB2312"/>
          <w:sz w:val="32"/>
          <w:szCs w:val="32"/>
        </w:rPr>
        <w:t>电磁兼容性应当符合GB/T 18268.1、GB/T 18268.26及其他适用的国家标准和行业标准的要求。</w:t>
      </w:r>
    </w:p>
    <w:p w14:paraId="000C9E7B">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具备能力的注册申请人可对这两类项目自行研究，并提交详细的验证资料；不具备能力的注册申请人可通过检验报告对上述项目进行验证，以检验报告作为该部分的验证资料。</w:t>
      </w:r>
    </w:p>
    <w:p w14:paraId="0AA40DFB">
      <w:pPr>
        <w:widowControl/>
        <w:snapToGrid w:val="0"/>
        <w:spacing w:line="520" w:lineRule="exact"/>
        <w:ind w:firstLine="640" w:firstLineChars="200"/>
        <w:rPr>
          <w:rFonts w:eastAsia="仿宋_GB2312"/>
          <w:sz w:val="32"/>
          <w:szCs w:val="32"/>
        </w:rPr>
      </w:pP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.1.4</w:t>
      </w:r>
      <w:bookmarkStart w:id="1" w:name="_Toc433873351"/>
      <w:r>
        <w:rPr>
          <w:rFonts w:hint="eastAsia" w:eastAsia="仿宋_GB2312"/>
          <w:sz w:val="32"/>
          <w:szCs w:val="32"/>
        </w:rPr>
        <w:t>清洁、消毒、灭菌研究</w:t>
      </w:r>
      <w:bookmarkEnd w:id="1"/>
    </w:p>
    <w:p w14:paraId="0750EF14">
      <w:pPr>
        <w:widowControl/>
        <w:snapToGrid w:val="0"/>
        <w:spacing w:line="520" w:lineRule="exact"/>
        <w:ind w:firstLine="640" w:firstLineChars="200"/>
        <w:rPr>
          <w:rFonts w:eastAsia="仿宋_GB2312"/>
          <w:sz w:val="32"/>
          <w:szCs w:val="32"/>
        </w:rPr>
      </w:pPr>
      <w:r>
        <w:rPr>
          <w:rFonts w:hint="eastAsia" w:eastAsia="仿宋_GB2312"/>
          <w:sz w:val="32"/>
          <w:szCs w:val="32"/>
        </w:rPr>
        <w:t>粪便分析仪涉及与粪便样本直接或间接接触的部件（加样针、管路、计数池等），存在生物样本交叉污染风险，注册申请人应当明确推荐的清洁消毒方法以及所推荐方法确定的依据及验证的相关研究资料。</w:t>
      </w:r>
    </w:p>
    <w:p w14:paraId="137BCDF4">
      <w:pPr>
        <w:widowControl/>
        <w:snapToGrid w:val="0"/>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1.</w:t>
      </w:r>
      <w:r>
        <w:rPr>
          <w:rFonts w:hint="eastAsia" w:eastAsia="仿宋_GB2312"/>
          <w:sz w:val="32"/>
          <w:szCs w:val="32"/>
        </w:rPr>
        <w:t>5可用性工程研究</w:t>
      </w:r>
    </w:p>
    <w:p w14:paraId="51505FE6">
      <w:pPr>
        <w:widowControl/>
        <w:snapToGrid w:val="0"/>
        <w:spacing w:line="520" w:lineRule="exact"/>
        <w:ind w:firstLine="640" w:firstLineChars="200"/>
        <w:rPr>
          <w:rFonts w:eastAsia="仿宋_GB2312"/>
          <w:sz w:val="32"/>
          <w:szCs w:val="32"/>
        </w:rPr>
      </w:pPr>
      <w:r>
        <w:rPr>
          <w:rFonts w:hint="eastAsia" w:eastAsia="仿宋_GB2312"/>
          <w:sz w:val="32"/>
          <w:szCs w:val="32"/>
        </w:rPr>
        <w:t>粪便分析仪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2166E36E">
      <w:pPr>
        <w:spacing w:line="520" w:lineRule="exact"/>
        <w:ind w:firstLine="640" w:firstLineChars="200"/>
        <w:outlineLvl w:val="3"/>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3.2软件研究</w:t>
      </w:r>
    </w:p>
    <w:p w14:paraId="70BE0F10">
      <w:pPr>
        <w:widowControl/>
        <w:snapToGrid w:val="0"/>
        <w:spacing w:line="520" w:lineRule="exact"/>
        <w:ind w:firstLine="640" w:firstLineChars="200"/>
        <w:rPr>
          <w:rFonts w:eastAsia="仿宋_GB2312"/>
          <w:sz w:val="32"/>
          <w:szCs w:val="32"/>
        </w:rPr>
      </w:pPr>
      <w:r>
        <w:rPr>
          <w:rFonts w:hint="eastAsia" w:eastAsia="仿宋_GB2312"/>
          <w:sz w:val="32"/>
          <w:szCs w:val="32"/>
        </w:rPr>
        <w:t>应参照《医疗器械软件注册审查指导原则（2022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14:paraId="4654C216">
      <w:pPr>
        <w:widowControl/>
        <w:snapToGrid w:val="0"/>
        <w:spacing w:line="520" w:lineRule="exact"/>
        <w:ind w:firstLine="640" w:firstLineChars="200"/>
        <w:rPr>
          <w:rFonts w:eastAsia="仿宋_GB2312"/>
          <w:sz w:val="32"/>
          <w:szCs w:val="32"/>
        </w:rPr>
      </w:pPr>
      <w:r>
        <w:rPr>
          <w:rFonts w:hint="eastAsia" w:eastAsia="仿宋_GB2312"/>
          <w:sz w:val="32"/>
          <w:szCs w:val="32"/>
        </w:rPr>
        <w:t>应参照《医疗器械网络安全注册审查指导原则（2022年修订版）》提供研究资料，基本信息包括软件信息、数据架构、网络安全能力、网络安全补丁、安全软件，实现过程包括风险管理、需求规范、验证与确认、可追溯性分析、更新维护计划，漏洞评估明确已知漏洞相关信息。</w:t>
      </w:r>
    </w:p>
    <w:p w14:paraId="0375250E">
      <w:pPr>
        <w:spacing w:line="520" w:lineRule="exact"/>
        <w:ind w:firstLine="640" w:firstLineChars="200"/>
        <w:outlineLvl w:val="3"/>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3.3</w:t>
      </w:r>
      <w:r>
        <w:rPr>
          <w:rFonts w:hint="eastAsia" w:eastAsia="仿宋_GB2312"/>
          <w:color w:val="000000" w:themeColor="text1"/>
          <w:sz w:val="32"/>
          <w:szCs w:val="32"/>
          <w14:textFill>
            <w14:solidFill>
              <w14:schemeClr w14:val="tx1"/>
            </w14:solidFill>
          </w14:textFill>
        </w:rPr>
        <w:t>稳定性研究资料有效期</w:t>
      </w:r>
      <w:r>
        <w:rPr>
          <w:rFonts w:eastAsia="仿宋_GB2312"/>
          <w:color w:val="000000" w:themeColor="text1"/>
          <w:sz w:val="32"/>
          <w:szCs w:val="32"/>
          <w14:textFill>
            <w14:solidFill>
              <w14:schemeClr w14:val="tx1"/>
            </w14:solidFill>
          </w14:textFill>
        </w:rPr>
        <w:t>和包装研究</w:t>
      </w:r>
    </w:p>
    <w:p w14:paraId="401B30E6">
      <w:pPr>
        <w:spacing w:line="520" w:lineRule="exact"/>
        <w:ind w:firstLine="640" w:firstLineChars="200"/>
        <w:outlineLvl w:val="4"/>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3.3.1</w:t>
      </w:r>
      <w:r>
        <w:rPr>
          <w:rFonts w:hint="eastAsia" w:eastAsia="仿宋_GB2312"/>
          <w:color w:val="000000" w:themeColor="text1"/>
          <w:sz w:val="32"/>
          <w:szCs w:val="32"/>
          <w14:textFill>
            <w14:solidFill>
              <w14:schemeClr w14:val="tx1"/>
            </w14:solidFill>
          </w14:textFill>
        </w:rPr>
        <w:t>有效期</w:t>
      </w:r>
      <w:r>
        <w:rPr>
          <w:rFonts w:eastAsia="仿宋_GB2312"/>
          <w:color w:val="000000" w:themeColor="text1"/>
          <w:sz w:val="32"/>
          <w:szCs w:val="32"/>
          <w14:textFill>
            <w14:solidFill>
              <w14:schemeClr w14:val="tx1"/>
            </w14:solidFill>
          </w14:textFill>
        </w:rPr>
        <w:t>研究</w:t>
      </w:r>
    </w:p>
    <w:p w14:paraId="062853E7">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注册申请人应参照《有源医疗器械使用期限注册技术审查指导原则》，提供产品有效期的验证资料。</w:t>
      </w:r>
    </w:p>
    <w:p w14:paraId="54278821">
      <w:pPr>
        <w:spacing w:line="520" w:lineRule="exact"/>
        <w:ind w:firstLine="640" w:firstLineChars="200"/>
        <w:outlineLvl w:val="4"/>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3.3.2</w:t>
      </w:r>
      <w:r>
        <w:rPr>
          <w:rFonts w:hint="eastAsia" w:eastAsia="仿宋_GB2312"/>
          <w:color w:val="000000" w:themeColor="text1"/>
          <w:sz w:val="32"/>
          <w:szCs w:val="32"/>
          <w14:textFill>
            <w14:solidFill>
              <w14:schemeClr w14:val="tx1"/>
            </w14:solidFill>
          </w14:textFill>
        </w:rPr>
        <w:t>运输稳定性</w:t>
      </w:r>
    </w:p>
    <w:p w14:paraId="3636446B">
      <w:pPr>
        <w:widowControl/>
        <w:snapToGrid w:val="0"/>
        <w:spacing w:line="520" w:lineRule="exact"/>
        <w:ind w:firstLine="640" w:firstLineChars="200"/>
        <w:rPr>
          <w:rFonts w:eastAsia="仿宋_GB2312"/>
          <w:sz w:val="32"/>
          <w:szCs w:val="32"/>
        </w:rPr>
      </w:pPr>
      <w:r>
        <w:rPr>
          <w:rFonts w:hint="eastAsia" w:eastAsia="仿宋_GB2312"/>
          <w:sz w:val="32"/>
          <w:szCs w:val="32"/>
        </w:rPr>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GB/T 14710《医用电器环境要求及试验方法》的要求，包装要求可参考GB/T 4857系列标准。</w:t>
      </w:r>
    </w:p>
    <w:p w14:paraId="4ED28237">
      <w:pPr>
        <w:spacing w:line="520" w:lineRule="exact"/>
        <w:ind w:firstLine="640" w:firstLineChars="200"/>
        <w:outlineLvl w:val="3"/>
        <w:rPr>
          <w:rFonts w:eastAsia="仿宋_GB2312"/>
          <w:color w:val="000000" w:themeColor="text1"/>
          <w:sz w:val="32"/>
          <w:szCs w:val="32"/>
          <w:lang w:eastAsia="zh-Hans"/>
          <w14:textFill>
            <w14:solidFill>
              <w14:schemeClr w14:val="tx1"/>
            </w14:solidFill>
          </w14:textFill>
        </w:rPr>
      </w:pPr>
      <w:r>
        <w:rPr>
          <w:rFonts w:eastAsia="仿宋_GB2312"/>
          <w:color w:val="000000" w:themeColor="text1"/>
          <w:sz w:val="32"/>
          <w:szCs w:val="32"/>
          <w14:textFill>
            <w14:solidFill>
              <w14:schemeClr w14:val="tx1"/>
            </w14:solidFill>
          </w14:textFill>
        </w:rPr>
        <w:t>3.4</w:t>
      </w:r>
      <w:r>
        <w:rPr>
          <w:rFonts w:eastAsia="仿宋_GB2312"/>
          <w:color w:val="000000" w:themeColor="text1"/>
          <w:sz w:val="32"/>
          <w:szCs w:val="32"/>
          <w:lang w:eastAsia="zh-Hans"/>
          <w14:textFill>
            <w14:solidFill>
              <w14:schemeClr w14:val="tx1"/>
            </w14:solidFill>
          </w14:textFill>
        </w:rPr>
        <w:t>其他资料</w:t>
      </w:r>
    </w:p>
    <w:p w14:paraId="7CDA4826">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粪便分析仪</w:t>
      </w:r>
      <w:r>
        <w:rPr>
          <w:rFonts w:eastAsia="仿宋_GB2312"/>
          <w:color w:val="000000" w:themeColor="text1"/>
          <w:sz w:val="32"/>
          <w:szCs w:val="32"/>
          <w14:textFill>
            <w14:solidFill>
              <w14:schemeClr w14:val="tx1"/>
            </w14:solidFill>
          </w14:textFill>
        </w:rPr>
        <w:t>产品列入《免于进行临床评价医疗器械目录》，注册申请人应当按照《列入免于进行临床评价医疗器械目录产品对比说明技术指导原则》，从基本原理、结构组成、性能、安全性、适用范围等方面，证明产品的安全有效性。</w:t>
      </w:r>
    </w:p>
    <w:p w14:paraId="5D0EE7A4">
      <w:pPr>
        <w:spacing w:line="520" w:lineRule="exact"/>
        <w:ind w:right="-67" w:rightChars="-32" w:firstLine="640" w:firstLineChars="200"/>
        <w:outlineLvl w:val="1"/>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（四）临床评价资料</w:t>
      </w:r>
    </w:p>
    <w:p w14:paraId="1FD978F0">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粪便分析工作站</w:t>
      </w:r>
      <w:r>
        <w:rPr>
          <w:rFonts w:eastAsia="仿宋_GB2312"/>
          <w:color w:val="000000" w:themeColor="text1"/>
          <w:sz w:val="32"/>
          <w:szCs w:val="32"/>
          <w14:textFill>
            <w14:solidFill>
              <w14:schemeClr w14:val="tx1"/>
            </w14:solidFill>
          </w14:textFill>
        </w:rPr>
        <w:t>产品列入《免于进行临床评价医疗器械目录》 （以下简称《目录》），注册申请人无需提交临床评价资料。</w:t>
      </w:r>
    </w:p>
    <w:p w14:paraId="75015A6A">
      <w:pPr>
        <w:widowControl/>
        <w:spacing w:line="520" w:lineRule="exact"/>
        <w:ind w:firstLine="640" w:firstLineChars="200"/>
        <w:rPr>
          <w:rFonts w:eastAsia="仿宋_GB2312"/>
          <w:color w:val="000000" w:themeColor="text1"/>
          <w:sz w:val="32"/>
          <w:szCs w:val="32"/>
          <w:lang w:eastAsia="zh-Hans"/>
          <w14:textFill>
            <w14:solidFill>
              <w14:schemeClr w14:val="tx1"/>
            </w14:solidFill>
          </w14:textFill>
        </w:rPr>
      </w:pPr>
      <w:r>
        <w:rPr>
          <w:rFonts w:eastAsia="仿宋_GB2312"/>
          <w:color w:val="000000" w:themeColor="text1"/>
          <w:sz w:val="32"/>
          <w:szCs w:val="32"/>
          <w:lang w:eastAsia="zh-Hans"/>
          <w14:textFill>
            <w14:solidFill>
              <w14:schemeClr w14:val="tx1"/>
            </w14:solidFill>
          </w14:textFill>
        </w:rPr>
        <w:t>若该产品不在《免于临床评价医疗器械目录》的产品“</w:t>
      </w:r>
      <w:r>
        <w:rPr>
          <w:rFonts w:hint="eastAsia" w:eastAsia="仿宋_GB2312"/>
          <w:color w:val="000000" w:themeColor="text1"/>
          <w:sz w:val="32"/>
          <w:szCs w:val="32"/>
          <w:lang w:eastAsia="zh-Hans"/>
          <w14:textFill>
            <w14:solidFill>
              <w14:schemeClr w14:val="tx1"/>
            </w14:solidFill>
          </w14:textFill>
        </w:rPr>
        <w:t>粪便分析工作站</w:t>
      </w:r>
      <w:r>
        <w:rPr>
          <w:rFonts w:eastAsia="仿宋_GB2312"/>
          <w:color w:val="000000" w:themeColor="text1"/>
          <w:sz w:val="32"/>
          <w:szCs w:val="32"/>
          <w:lang w:eastAsia="zh-Hans"/>
          <w14:textFill>
            <w14:solidFill>
              <w14:schemeClr w14:val="tx1"/>
            </w14:solidFill>
          </w14:textFill>
        </w:rPr>
        <w:t>”描述范围之内，或无法证明申报产品与《目录》所述的产品具有基本等同性，则应</w:t>
      </w:r>
      <w:r>
        <w:rPr>
          <w:rFonts w:hint="eastAsia" w:eastAsia="仿宋_GB2312"/>
          <w:color w:val="000000" w:themeColor="text1"/>
          <w:sz w:val="32"/>
          <w:szCs w:val="32"/>
          <w:lang w:eastAsia="zh-Hans"/>
          <w14:textFill>
            <w14:solidFill>
              <w14:schemeClr w14:val="tx1"/>
            </w14:solidFill>
          </w14:textFill>
        </w:rPr>
        <w:t>按照相关要求</w:t>
      </w:r>
      <w:r>
        <w:rPr>
          <w:rFonts w:eastAsia="仿宋_GB2312"/>
          <w:color w:val="000000" w:themeColor="text1"/>
          <w:sz w:val="32"/>
          <w:szCs w:val="32"/>
          <w:lang w:eastAsia="zh-Hans"/>
          <w14:textFill>
            <w14:solidFill>
              <w14:schemeClr w14:val="tx1"/>
            </w14:solidFill>
          </w14:textFill>
        </w:rPr>
        <w:t>开展临床评价。</w:t>
      </w:r>
    </w:p>
    <w:p w14:paraId="4FF67C6F">
      <w:pPr>
        <w:spacing w:line="520" w:lineRule="exact"/>
        <w:ind w:right="-67" w:rightChars="-32" w:firstLine="640" w:firstLineChars="200"/>
        <w:outlineLvl w:val="1"/>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（五）产品说明书和标签样稿</w:t>
      </w:r>
    </w:p>
    <w:p w14:paraId="2182DD4B">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1.产品说明书</w:t>
      </w:r>
    </w:p>
    <w:p w14:paraId="34703B73">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产品说明书应当符合《医疗器械说明书和标签管理规定》的要求，至少包括以下内容：</w:t>
      </w:r>
    </w:p>
    <w:p w14:paraId="50A573E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（1）产品名称、型号、规格；</w:t>
      </w:r>
    </w:p>
    <w:p w14:paraId="765C6FE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（2）注册人的名称、住所、联系方式及售后服务单位，进口产品还应当载明代理人的名称、住所及联系方式；</w:t>
      </w:r>
    </w:p>
    <w:p w14:paraId="533E154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（3）生产企业的名称、住所、生产地址、联系方式及生产许可证编号，委托生产的还应当标注受托企业的名称、住所、生产地址、生产许可证编号；</w:t>
      </w:r>
    </w:p>
    <w:p w14:paraId="0FC4659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（4）医疗器械注册证编号；</w:t>
      </w:r>
    </w:p>
    <w:p w14:paraId="7C7B4A24">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（5）产品技术要求的编号；</w:t>
      </w:r>
    </w:p>
    <w:p w14:paraId="20D84EED">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（6）产品性能、主要结构组成、适用范围：</w:t>
      </w:r>
    </w:p>
    <w:p w14:paraId="255899B7">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1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①</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主要结构组成</w:t>
      </w:r>
    </w:p>
    <w:p w14:paraId="530DBD1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建议以实物照片/示意图加文字的形式对申报产品的整体结构进行描述，标明各主要模块的名称（应包含软件组件，并注明软件组件的名称和发布版本）。</w:t>
      </w:r>
    </w:p>
    <w:p w14:paraId="511D3E94">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建议对软件的主要功能进行描述，重点对用户界面的整体情况和各功能窗口涉及的操作功能进行简单介绍。</w:t>
      </w:r>
    </w:p>
    <w:p w14:paraId="69F69851">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2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②</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适用范围</w:t>
      </w:r>
    </w:p>
    <w:p w14:paraId="343E527D">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建议采用以下形式进行描述：</w:t>
      </w:r>
      <w:r>
        <w:rPr>
          <w:rFonts w:hint="eastAsia" w:eastAsia="仿宋_GB2312"/>
          <w:color w:val="000000" w:themeColor="text1"/>
          <w:kern w:val="0"/>
          <w:sz w:val="32"/>
          <w:szCs w:val="32"/>
          <w14:textFill>
            <w14:solidFill>
              <w14:schemeClr w14:val="tx1"/>
            </w14:solidFill>
          </w14:textFill>
        </w:rPr>
        <w:t>“产品适用于对粪便的××项目进行检测，与检测试剂盒配合使用进行××指标的检测”</w:t>
      </w:r>
      <w:r>
        <w:rPr>
          <w:rFonts w:eastAsia="仿宋_GB2312"/>
          <w:color w:val="000000" w:themeColor="text1"/>
          <w:kern w:val="0"/>
          <w:sz w:val="32"/>
          <w:szCs w:val="32"/>
          <w14:textFill>
            <w14:solidFill>
              <w14:schemeClr w14:val="tx1"/>
            </w14:solidFill>
          </w14:textFill>
        </w:rPr>
        <w:t>。</w:t>
      </w:r>
    </w:p>
    <w:p w14:paraId="55EF50F0">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3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③</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工作原理</w:t>
      </w:r>
    </w:p>
    <w:p w14:paraId="5900E49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建议对申报产品</w:t>
      </w:r>
      <w:r>
        <w:rPr>
          <w:rFonts w:hint="eastAsia" w:eastAsia="仿宋_GB2312"/>
          <w:color w:val="000000" w:themeColor="text1"/>
          <w:kern w:val="0"/>
          <w:sz w:val="32"/>
          <w:szCs w:val="32"/>
          <w14:textFill>
            <w14:solidFill>
              <w14:schemeClr w14:val="tx1"/>
            </w14:solidFill>
          </w14:textFill>
        </w:rPr>
        <w:t>检测的项目原理</w:t>
      </w:r>
      <w:r>
        <w:rPr>
          <w:rFonts w:eastAsia="仿宋_GB2312"/>
          <w:color w:val="000000" w:themeColor="text1"/>
          <w:kern w:val="0"/>
          <w:sz w:val="32"/>
          <w:szCs w:val="32"/>
          <w14:textFill>
            <w14:solidFill>
              <w14:schemeClr w14:val="tx1"/>
            </w14:solidFill>
          </w14:textFill>
        </w:rPr>
        <w:t>进行详细描述，可配合公式、示意图等进行解释。</w:t>
      </w:r>
    </w:p>
    <w:p w14:paraId="124F9503">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建议对申报产品</w:t>
      </w:r>
      <w:r>
        <w:rPr>
          <w:rFonts w:hint="eastAsia" w:eastAsia="仿宋_GB2312"/>
          <w:color w:val="000000" w:themeColor="text1"/>
          <w:kern w:val="0"/>
          <w:sz w:val="32"/>
          <w:szCs w:val="32"/>
          <w14:textFill>
            <w14:solidFill>
              <w14:schemeClr w14:val="tx1"/>
            </w14:solidFill>
          </w14:textFill>
        </w:rPr>
        <w:t>检测试剂的方法学及原理分步骤</w:t>
      </w:r>
      <w:r>
        <w:rPr>
          <w:rFonts w:eastAsia="仿宋_GB2312"/>
          <w:color w:val="000000" w:themeColor="text1"/>
          <w:kern w:val="0"/>
          <w:sz w:val="32"/>
          <w:szCs w:val="32"/>
          <w14:textFill>
            <w14:solidFill>
              <w14:schemeClr w14:val="tx1"/>
            </w14:solidFill>
          </w14:textFill>
        </w:rPr>
        <w:t>进行详细</w:t>
      </w:r>
      <w:r>
        <w:rPr>
          <w:rFonts w:hint="eastAsia" w:eastAsia="仿宋_GB2312"/>
          <w:color w:val="000000" w:themeColor="text1"/>
          <w:kern w:val="0"/>
          <w:sz w:val="32"/>
          <w:szCs w:val="32"/>
          <w14:textFill>
            <w14:solidFill>
              <w14:schemeClr w14:val="tx1"/>
            </w14:solidFill>
          </w14:textFill>
        </w:rPr>
        <w:t>介绍</w:t>
      </w:r>
      <w:r>
        <w:rPr>
          <w:rFonts w:eastAsia="仿宋_GB2312"/>
          <w:color w:val="000000" w:themeColor="text1"/>
          <w:kern w:val="0"/>
          <w:sz w:val="32"/>
          <w:szCs w:val="32"/>
          <w14:textFill>
            <w14:solidFill>
              <w14:schemeClr w14:val="tx1"/>
            </w14:solidFill>
          </w14:textFill>
        </w:rPr>
        <w:t>。</w:t>
      </w:r>
    </w:p>
    <w:p w14:paraId="2E132279">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4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④</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性能指标</w:t>
      </w:r>
    </w:p>
    <w:p w14:paraId="2F1E3820">
      <w:pPr>
        <w:adjustRightInd w:val="0"/>
        <w:snapToGrid w:val="0"/>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建议写明以下内容：产品基本参数（</w:t>
      </w:r>
      <w:r>
        <w:rPr>
          <w:rFonts w:hint="eastAsia" w:eastAsia="仿宋_GB2312"/>
          <w:color w:val="000000" w:themeColor="text1"/>
          <w:sz w:val="32"/>
          <w:szCs w:val="32"/>
          <w14:textFill>
            <w14:solidFill>
              <w14:schemeClr w14:val="tx1"/>
            </w14:solidFill>
          </w14:textFill>
        </w:rPr>
        <w:t>测试速度、</w:t>
      </w:r>
      <w:r>
        <w:rPr>
          <w:rFonts w:eastAsia="仿宋_GB2312"/>
          <w:color w:val="000000" w:themeColor="text1"/>
          <w:kern w:val="0"/>
          <w:sz w:val="32"/>
          <w:szCs w:val="32"/>
          <w14:textFill>
            <w14:solidFill>
              <w14:schemeClr w14:val="tx1"/>
            </w14:solidFill>
          </w14:textFill>
        </w:rPr>
        <w:t>试剂</w:t>
      </w:r>
      <w:r>
        <w:rPr>
          <w:rFonts w:hint="eastAsia" w:eastAsia="仿宋_GB2312"/>
          <w:color w:val="000000" w:themeColor="text1"/>
          <w:kern w:val="0"/>
          <w:sz w:val="32"/>
          <w:szCs w:val="32"/>
          <w14:textFill>
            <w14:solidFill>
              <w14:schemeClr w14:val="tx1"/>
            </w14:solidFill>
          </w14:textFill>
        </w:rPr>
        <w:t>通道</w:t>
      </w:r>
      <w:r>
        <w:rPr>
          <w:rFonts w:eastAsia="仿宋_GB2312"/>
          <w:color w:val="000000" w:themeColor="text1"/>
          <w:kern w:val="0"/>
          <w:sz w:val="32"/>
          <w:szCs w:val="32"/>
          <w14:textFill>
            <w14:solidFill>
              <w14:schemeClr w14:val="tx1"/>
            </w14:solidFill>
          </w14:textFill>
        </w:rPr>
        <w:t>数量、样品位数量等</w:t>
      </w:r>
      <w:r>
        <w:rPr>
          <w:rFonts w:eastAsia="仿宋_GB2312"/>
          <w:color w:val="000000" w:themeColor="text1"/>
          <w:sz w:val="32"/>
          <w:szCs w:val="32"/>
          <w14:textFill>
            <w14:solidFill>
              <w14:schemeClr w14:val="tx1"/>
            </w14:solidFill>
          </w14:textFill>
        </w:rPr>
        <w:t>）、性能指标等。</w:t>
      </w:r>
    </w:p>
    <w:p w14:paraId="355BF7F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⑤</w:t>
      </w:r>
      <w:r>
        <w:rPr>
          <w:rFonts w:eastAsia="仿宋_GB2312"/>
          <w:color w:val="000000" w:themeColor="text1"/>
          <w:kern w:val="0"/>
          <w:sz w:val="32"/>
          <w:szCs w:val="32"/>
          <w14:textFill>
            <w14:solidFill>
              <w14:schemeClr w14:val="tx1"/>
            </w14:solidFill>
          </w14:textFill>
        </w:rPr>
        <w:t xml:space="preserve">工作环境要求 </w:t>
      </w:r>
    </w:p>
    <w:p w14:paraId="2445B95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建议至少写明以下内容：产品尺寸、重量、储存条件（温度、湿度）、正常工作条件（温度、湿度、海拔高度、电源要求）。</w:t>
      </w:r>
    </w:p>
    <w:p w14:paraId="21E4384B">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（7）禁忌证、注意事项、警示以及提示的内容；</w:t>
      </w:r>
    </w:p>
    <w:p w14:paraId="4B50481F">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（8）安装和使用说明或者图示：</w:t>
      </w:r>
    </w:p>
    <w:p w14:paraId="61EBB3E9">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以申报产品安装调试完毕可开始正常工作作为初始状态介绍具体的操作方法，详细描述校准、质控、检测设计（样本操作、试剂操作、检测流程等）、结果传输和打印等每一步骤的详细操作方式，主要是在用户界面上如何操作应有详细的文字及图示描述。</w:t>
      </w:r>
    </w:p>
    <w:p w14:paraId="2A61EC01">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（9）产品维护和保养方法，特殊储存、运输条件、方法：</w:t>
      </w:r>
    </w:p>
    <w:p w14:paraId="09A7AD9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1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①</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维护和保养</w:t>
      </w:r>
    </w:p>
    <w:p w14:paraId="00BB61C9">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建议以文字加图示的方式对使用者能够进行的维护保养措施，包括每日维护（如，非工作时间液路系统的维护方法、废液桶更换方法</w:t>
      </w:r>
      <w:r>
        <w:rPr>
          <w:rFonts w:hint="eastAsia" w:eastAsia="仿宋_GB2312"/>
          <w:color w:val="000000" w:themeColor="text1"/>
          <w:kern w:val="0"/>
          <w:sz w:val="32"/>
          <w:szCs w:val="32"/>
          <w14:textFill>
            <w14:solidFill>
              <w14:schemeClr w14:val="tx1"/>
            </w14:solidFill>
          </w14:textFill>
        </w:rPr>
        <w:t>、</w:t>
      </w:r>
      <w:r>
        <w:rPr>
          <w:rFonts w:eastAsia="仿宋_GB2312"/>
          <w:color w:val="000000" w:themeColor="text1"/>
          <w:kern w:val="0"/>
          <w:sz w:val="32"/>
          <w:szCs w:val="32"/>
          <w14:textFill>
            <w14:solidFill>
              <w14:schemeClr w14:val="tx1"/>
            </w14:solidFill>
          </w14:textFill>
        </w:rPr>
        <w:t>清洗</w:t>
      </w:r>
      <w:r>
        <w:rPr>
          <w:rFonts w:hint="eastAsia" w:eastAsia="仿宋_GB2312"/>
          <w:color w:val="000000" w:themeColor="text1"/>
          <w:kern w:val="0"/>
          <w:sz w:val="32"/>
          <w:szCs w:val="32"/>
          <w14:textFill>
            <w14:solidFill>
              <w14:schemeClr w14:val="tx1"/>
            </w14:solidFill>
          </w14:textFill>
        </w:rPr>
        <w:t>计数池</w:t>
      </w:r>
      <w:r>
        <w:rPr>
          <w:rFonts w:eastAsia="仿宋_GB2312"/>
          <w:color w:val="000000" w:themeColor="text1"/>
          <w:kern w:val="0"/>
          <w:sz w:val="32"/>
          <w:szCs w:val="32"/>
          <w14:textFill>
            <w14:solidFill>
              <w14:schemeClr w14:val="tx1"/>
            </w14:solidFill>
          </w14:textFill>
        </w:rPr>
        <w:t>的方法）、每周维护（如，</w:t>
      </w:r>
      <w:r>
        <w:rPr>
          <w:rFonts w:hint="eastAsia" w:eastAsia="仿宋_GB2312"/>
          <w:color w:val="000000" w:themeColor="text1"/>
          <w:kern w:val="0"/>
          <w:sz w:val="32"/>
          <w:szCs w:val="32"/>
          <w14:textFill>
            <w14:solidFill>
              <w14:schemeClr w14:val="tx1"/>
            </w14:solidFill>
          </w14:textFill>
        </w:rPr>
        <w:t>显微镜镜头</w:t>
      </w:r>
      <w:r>
        <w:rPr>
          <w:rFonts w:eastAsia="仿宋_GB2312"/>
          <w:color w:val="000000" w:themeColor="text1"/>
          <w:kern w:val="0"/>
          <w:sz w:val="32"/>
          <w:szCs w:val="32"/>
          <w14:textFill>
            <w14:solidFill>
              <w14:schemeClr w14:val="tx1"/>
            </w14:solidFill>
          </w14:textFill>
        </w:rPr>
        <w:t>的清洁方法）、重点零部件维护（如，</w:t>
      </w:r>
      <w:r>
        <w:rPr>
          <w:rFonts w:hint="eastAsia" w:eastAsia="仿宋_GB2312"/>
          <w:color w:val="000000" w:themeColor="text1"/>
          <w:kern w:val="0"/>
          <w:sz w:val="32"/>
          <w:szCs w:val="32"/>
          <w14:textFill>
            <w14:solidFill>
              <w14:schemeClr w14:val="tx1"/>
            </w14:solidFill>
          </w14:textFill>
        </w:rPr>
        <w:t>光学系统</w:t>
      </w:r>
      <w:r>
        <w:rPr>
          <w:rFonts w:eastAsia="仿宋_GB2312"/>
          <w:color w:val="000000" w:themeColor="text1"/>
          <w:kern w:val="0"/>
          <w:sz w:val="32"/>
          <w:szCs w:val="32"/>
          <w14:textFill>
            <w14:solidFill>
              <w14:schemeClr w14:val="tx1"/>
            </w14:solidFill>
          </w14:textFill>
        </w:rPr>
        <w:t>的维护保养方法）的具体内容进行详细描述。</w:t>
      </w:r>
    </w:p>
    <w:p w14:paraId="2FA30D06">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fldChar w:fldCharType="begin"/>
      </w:r>
      <w:r>
        <w:rPr>
          <w:rFonts w:eastAsia="仿宋_GB2312"/>
          <w:color w:val="000000" w:themeColor="text1"/>
          <w:kern w:val="0"/>
          <w:sz w:val="32"/>
          <w:szCs w:val="32"/>
          <w14:textFill>
            <w14:solidFill>
              <w14:schemeClr w14:val="tx1"/>
            </w14:solidFill>
          </w14:textFill>
        </w:rPr>
        <w:instrText xml:space="preserve"> = 2 \* GB3 </w:instrText>
      </w:r>
      <w:r>
        <w:rPr>
          <w:rFonts w:eastAsia="仿宋_GB2312"/>
          <w:color w:val="000000" w:themeColor="text1"/>
          <w:kern w:val="0"/>
          <w:sz w:val="32"/>
          <w:szCs w:val="32"/>
          <w14:textFill>
            <w14:solidFill>
              <w14:schemeClr w14:val="tx1"/>
            </w14:solidFill>
          </w14:textFill>
        </w:rPr>
        <w:fldChar w:fldCharType="separate"/>
      </w:r>
      <w:r>
        <w:rPr>
          <w:rFonts w:hint="eastAsia" w:ascii="宋体" w:hAnsi="宋体" w:cs="宋体"/>
          <w:color w:val="000000" w:themeColor="text1"/>
          <w:kern w:val="0"/>
          <w:sz w:val="32"/>
          <w:szCs w:val="32"/>
          <w14:textFill>
            <w14:solidFill>
              <w14:schemeClr w14:val="tx1"/>
            </w14:solidFill>
          </w14:textFill>
        </w:rPr>
        <w:t>②</w:t>
      </w:r>
      <w:r>
        <w:rPr>
          <w:rFonts w:eastAsia="仿宋_GB2312"/>
          <w:color w:val="000000" w:themeColor="text1"/>
          <w:kern w:val="0"/>
          <w:sz w:val="32"/>
          <w:szCs w:val="32"/>
          <w14:textFill>
            <w14:solidFill>
              <w14:schemeClr w14:val="tx1"/>
            </w14:solidFill>
          </w14:textFill>
        </w:rPr>
        <w:fldChar w:fldCharType="end"/>
      </w:r>
      <w:r>
        <w:rPr>
          <w:rFonts w:eastAsia="仿宋_GB2312"/>
          <w:color w:val="000000" w:themeColor="text1"/>
          <w:kern w:val="0"/>
          <w:sz w:val="32"/>
          <w:szCs w:val="32"/>
          <w14:textFill>
            <w14:solidFill>
              <w14:schemeClr w14:val="tx1"/>
            </w14:solidFill>
          </w14:textFill>
        </w:rPr>
        <w:t>故障排除</w:t>
      </w:r>
    </w:p>
    <w:p w14:paraId="1D377114">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建议以列表方式对申报产品正常使用过程中可能出现的可由使用者自行排除的故障进行详细描述，应当至少写明故障的表现、可能原因、建议的处理方式。</w:t>
      </w:r>
    </w:p>
    <w:p w14:paraId="72F9DFB2">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（10）生产日期，使用期限：</w:t>
      </w:r>
    </w:p>
    <w:p w14:paraId="7707A689">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注明产品的使用期限。使用期限应当根据产品有效期研究资料的内容写明年限。</w:t>
      </w:r>
    </w:p>
    <w:p w14:paraId="7B8CC988">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（11）配件清单，包括配件（适用的</w:t>
      </w:r>
      <w:r>
        <w:rPr>
          <w:rFonts w:hint="eastAsia" w:eastAsia="仿宋_GB2312"/>
          <w:color w:val="000000" w:themeColor="text1"/>
          <w:kern w:val="0"/>
          <w:sz w:val="32"/>
          <w:szCs w:val="32"/>
          <w14:textFill>
            <w14:solidFill>
              <w14:schemeClr w14:val="tx1"/>
            </w14:solidFill>
          </w14:textFill>
        </w:rPr>
        <w:t>样本架、计数池、试剂卡盒等</w:t>
      </w:r>
      <w:r>
        <w:rPr>
          <w:rFonts w:eastAsia="仿宋_GB2312"/>
          <w:color w:val="000000" w:themeColor="text1"/>
          <w:kern w:val="0"/>
          <w:sz w:val="32"/>
          <w:szCs w:val="32"/>
          <w14:textFill>
            <w14:solidFill>
              <w14:schemeClr w14:val="tx1"/>
            </w14:solidFill>
          </w14:textFill>
        </w:rPr>
        <w:t>）、附属品及损耗品，应写明每一配件的名称，如必要，还需写明更换周期以及更换方法等；</w:t>
      </w:r>
    </w:p>
    <w:p w14:paraId="631C58AC">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（12）产品标签所用的图形、符号、缩写等内容的解释；</w:t>
      </w:r>
    </w:p>
    <w:p w14:paraId="51829879">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（13）说明书的编制或者修订日期；</w:t>
      </w:r>
    </w:p>
    <w:p w14:paraId="1A203991">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上述各项目均应当包含在产品说明书中，但其中的详细内容可能因申请人和申报产品的不同而有所区别，或者某些项目的详细内容可能记载于其他文件（如维修保养手册）中，此种情况下，申请人应当在提交产品说明书时另附文件予以说明。</w:t>
      </w:r>
    </w:p>
    <w:p w14:paraId="614D40D2">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产品说明书的内容均应有明确的来源，与综述资料、研究资料等注册申报资料的内容保持一致。进口产品的原文说明书如缺少上述项目中的某些内容，应当在产品中文说明书中予以增加，涉及技术内容且前述注册申报资料中未包含的，建议提交相应验证资料。</w:t>
      </w:r>
    </w:p>
    <w:p w14:paraId="6BBCADA0">
      <w:pPr>
        <w:spacing w:line="52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2.最小销售单元的标签样稿</w:t>
      </w:r>
    </w:p>
    <w:p w14:paraId="405DBE33">
      <w:pPr>
        <w:widowControl/>
        <w:adjustRightInd w:val="0"/>
        <w:snapToGrid w:val="0"/>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标签样稿应当符合《医疗器械说明书和标签管理规定》的要求，其内容应当至少包括第十三条规定的所有适用内容。</w:t>
      </w:r>
      <w:r>
        <w:rPr>
          <w:rFonts w:eastAsia="仿宋_GB2312"/>
          <w:color w:val="000000" w:themeColor="text1"/>
          <w:sz w:val="32"/>
          <w:szCs w:val="32"/>
          <w14:textFill>
            <w14:solidFill>
              <w14:schemeClr w14:val="tx1"/>
            </w14:solidFill>
          </w14:textFill>
        </w:rPr>
        <w:t>因位置或者大小受限而无法全部标明上述内容的，至少应当标注产品名称、型号、规格、生产日期和使用期限或者失效日期，并在标签中明确“其他内容详见说明书”。</w:t>
      </w:r>
    </w:p>
    <w:p w14:paraId="4C211AF4">
      <w:pPr>
        <w:spacing w:line="520" w:lineRule="exact"/>
        <w:ind w:left="640" w:right="-67" w:rightChars="-32"/>
        <w:outlineLvl w:val="1"/>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（六）质量管理体系文件</w:t>
      </w:r>
    </w:p>
    <w:p w14:paraId="2D13D3CA">
      <w:pPr>
        <w:spacing w:line="520" w:lineRule="exact"/>
        <w:ind w:right="-67" w:rightChars="-32" w:firstLine="640" w:firstLineChars="200"/>
        <w:outlineLvl w:val="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质量管理体系文件主要包括综述、生产制造信息、质量管理体系程序、管理职责程序、资源管理程序、产品实现程序、质量管理体系的测量、分析和改进程序、其他质量体系程序信息、质量管理体系核查信息等内容，文件应符合《医疗器械生产质量管理规范》的要求，并按《医疗器械注册申报资料要求及说明》提交资料。</w:t>
      </w:r>
    </w:p>
    <w:p w14:paraId="6CB0BB5B">
      <w:pPr>
        <w:spacing w:line="520" w:lineRule="exact"/>
        <w:ind w:right="-67" w:rightChars="-32" w:firstLine="640" w:firstLineChars="200"/>
        <w:outlineLvl w:val="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三、参考文献</w:t>
      </w:r>
    </w:p>
    <w:p w14:paraId="189A8A0A">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[1]中华人民共和国国务院.</w:t>
      </w:r>
      <w:bookmarkStart w:id="2" w:name="_Hlk225785739"/>
      <w:r>
        <w:rPr>
          <w:rFonts w:eastAsia="仿宋_GB2312"/>
          <w:color w:val="000000" w:themeColor="text1"/>
          <w:sz w:val="32"/>
          <w:szCs w:val="32"/>
          <w14:textFill>
            <w14:solidFill>
              <w14:schemeClr w14:val="tx1"/>
            </w14:solidFill>
          </w14:textFill>
        </w:rPr>
        <w:t>医疗器械监督管理条例</w:t>
      </w:r>
      <w:bookmarkEnd w:id="2"/>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中华人民共和国国务院令第739号[Z].</w:t>
      </w:r>
    </w:p>
    <w:p w14:paraId="750BC1DE">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[2]国家市场监督管理总局</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医疗器械注册与备案管理办法</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国家市场监督管理总局令第47号[Z].</w:t>
      </w:r>
    </w:p>
    <w:p w14:paraId="40C3EDAC">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[3]国家药品监督管理局.关于公布医疗器械注册申报资料要求和批准证明文件格式的公告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国家药品监督管理局公告2021年第121号[Z].</w:t>
      </w:r>
    </w:p>
    <w:p w14:paraId="5ED9BEB2">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[4]国家药品监督管理局.医疗器械注册自检管理规定</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国家药品监督管理局公告2021年第126号[Z].</w:t>
      </w:r>
    </w:p>
    <w:p w14:paraId="62758A8E">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[5]国家药品监督管理局.医疗器械说明书和标签管理规定</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国家食品药品监督管理总局令第6号[Z].</w:t>
      </w:r>
    </w:p>
    <w:p w14:paraId="525145E6">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[6]国家药品监督管理局.医疗器械通用名称命名规则</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国家食品药品监督管理总局令第19号[Z].</w:t>
      </w:r>
    </w:p>
    <w:p w14:paraId="24A9E4DB">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[7]国家药品监督管理局.总局关于发布医疗器械分类目录的公告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国家食品药品监督管理总局公告2017年第104号[Z].</w:t>
      </w:r>
    </w:p>
    <w:p w14:paraId="24BD5EA8">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[8]国家药品监督管理局.国家药监局关于发布医疗器械产品技术要求编写指导原则的通告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国家药品监督管理局通告2022年第8号[Z].</w:t>
      </w:r>
    </w:p>
    <w:p w14:paraId="0FE5163F">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[9]国家药品监督管理局.国家药监局器审中心关于发布医疗器械软件注册审查指导原则（2022年修订版）的通告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国家药品监督管理局医疗器械技术审评中心通告2022年第9号[Z].</w:t>
      </w:r>
    </w:p>
    <w:p w14:paraId="62931FBD">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[10]国家药品监督管理局医疗器械技术审评中心.国家药监局器审中心关于发布医疗器械网络安全注册审查指导原则（2022年修订版）的通告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国家药品监督管理局医疗器械技术审评中心通告2022年第7号[Z].</w:t>
      </w:r>
    </w:p>
    <w:p w14:paraId="41357FFC">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[11]国家药品监督管理局.关于发布有源医疗器械使用期限注册技术审查指导原则的通告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国家药品监督管理局通告2019年第23号[Z].</w:t>
      </w:r>
    </w:p>
    <w:p w14:paraId="3C7BB6B8">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[12]国家药品监督管理局.国家药监局关于发布免于</w:t>
      </w:r>
      <w:r>
        <w:rPr>
          <w:rFonts w:hint="eastAsia" w:eastAsia="仿宋_GB2312"/>
          <w:color w:val="000000" w:themeColor="text1"/>
          <w:sz w:val="32"/>
          <w:szCs w:val="32"/>
          <w14:textFill>
            <w14:solidFill>
              <w14:schemeClr w14:val="tx1"/>
            </w14:solidFill>
          </w14:textFill>
        </w:rPr>
        <w:t>进行</w:t>
      </w:r>
      <w:r>
        <w:rPr>
          <w:rFonts w:eastAsia="仿宋_GB2312"/>
          <w:color w:val="000000" w:themeColor="text1"/>
          <w:sz w:val="32"/>
          <w:szCs w:val="32"/>
          <w14:textFill>
            <w14:solidFill>
              <w14:schemeClr w14:val="tx1"/>
            </w14:solidFill>
          </w14:textFill>
        </w:rPr>
        <w:t>临床评价医疗器械目录的通告</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国家药品监督管理局通告2025年第19号）[Z].</w:t>
      </w:r>
    </w:p>
    <w:p w14:paraId="6FBF1DBD">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13</w:t>
      </w:r>
      <w:r>
        <w:rPr>
          <w:rFonts w:eastAsia="仿宋_GB2312"/>
          <w:color w:val="000000" w:themeColor="text1"/>
          <w:sz w:val="32"/>
          <w:szCs w:val="32"/>
          <w14:textFill>
            <w14:solidFill>
              <w14:schemeClr w14:val="tx1"/>
            </w14:solidFill>
          </w14:textFill>
        </w:rPr>
        <w:t>]GB 4793-20</w:t>
      </w:r>
      <w:r>
        <w:rPr>
          <w:rFonts w:hint="eastAsia" w:eastAsia="仿宋_GB2312"/>
          <w:color w:val="000000" w:themeColor="text1"/>
          <w:sz w:val="32"/>
          <w:szCs w:val="32"/>
          <w14:textFill>
            <w14:solidFill>
              <w14:schemeClr w14:val="tx1"/>
            </w14:solidFill>
          </w14:textFill>
        </w:rPr>
        <w:t>24</w:t>
      </w:r>
      <w:r>
        <w:rPr>
          <w:rFonts w:eastAsia="仿宋_GB2312"/>
          <w:color w:val="000000" w:themeColor="text1"/>
          <w:sz w:val="32"/>
          <w:szCs w:val="32"/>
          <w14:textFill>
            <w14:solidFill>
              <w14:schemeClr w14:val="tx1"/>
            </w14:solidFill>
          </w14:textFill>
        </w:rPr>
        <w:t xml:space="preserve">,测量、控制和实验室用电气设备安全要求 </w:t>
      </w:r>
      <w:r>
        <w:rPr>
          <w:rFonts w:hint="eastAsia" w:eastAsia="仿宋_GB2312"/>
          <w:color w:val="000000" w:themeColor="text1"/>
          <w:sz w:val="32"/>
          <w:szCs w:val="32"/>
          <w14:textFill>
            <w14:solidFill>
              <w14:schemeClr w14:val="tx1"/>
            </w14:solidFill>
          </w14:textFill>
        </w:rPr>
        <w:t>规范</w:t>
      </w:r>
      <w:r>
        <w:rPr>
          <w:rFonts w:eastAsia="仿宋_GB2312"/>
          <w:color w:val="000000" w:themeColor="text1"/>
          <w:sz w:val="32"/>
          <w:szCs w:val="32"/>
          <w14:textFill>
            <w14:solidFill>
              <w14:schemeClr w14:val="tx1"/>
            </w14:solidFill>
          </w14:textFill>
        </w:rPr>
        <w:t>[S].</w:t>
      </w:r>
    </w:p>
    <w:p w14:paraId="786A8E82">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14</w:t>
      </w:r>
      <w:r>
        <w:rPr>
          <w:rFonts w:eastAsia="仿宋_GB2312"/>
          <w:color w:val="000000" w:themeColor="text1"/>
          <w:sz w:val="32"/>
          <w:szCs w:val="32"/>
          <w14:textFill>
            <w14:solidFill>
              <w14:schemeClr w14:val="tx1"/>
            </w14:solidFill>
          </w14:textFill>
        </w:rPr>
        <w:t>]</w:t>
      </w:r>
      <w:r>
        <w:rPr>
          <w:color w:val="000000" w:themeColor="text1"/>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GB/T 42125.1,</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测量、控制和实验室用电气设备的安全要求 第1部分：通用要求</w:t>
      </w:r>
      <w:r>
        <w:rPr>
          <w:rFonts w:eastAsia="仿宋_GB2312"/>
          <w:color w:val="000000" w:themeColor="text1"/>
          <w:sz w:val="32"/>
          <w:szCs w:val="32"/>
          <w14:textFill>
            <w14:solidFill>
              <w14:schemeClr w14:val="tx1"/>
            </w14:solidFill>
          </w14:textFill>
        </w:rPr>
        <w:t>[S].</w:t>
      </w:r>
    </w:p>
    <w:p w14:paraId="76CC23D1">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15</w:t>
      </w:r>
      <w:r>
        <w:rPr>
          <w:rFonts w:eastAsia="仿宋_GB2312"/>
          <w:color w:val="000000" w:themeColor="text1"/>
          <w:sz w:val="32"/>
          <w:szCs w:val="32"/>
          <w14:textFill>
            <w14:solidFill>
              <w14:schemeClr w14:val="tx1"/>
            </w14:solidFill>
          </w14:textFill>
        </w:rPr>
        <w:t>]</w:t>
      </w:r>
      <w:r>
        <w:rPr>
          <w:color w:val="000000" w:themeColor="text1"/>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GB/T 42125.2,</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测量、控制和实验室用电气设备的安全要求　第2部分：材料加热用实验室设备的特殊要求</w:t>
      </w:r>
      <w:r>
        <w:rPr>
          <w:rFonts w:eastAsia="仿宋_GB2312"/>
          <w:color w:val="000000" w:themeColor="text1"/>
          <w:sz w:val="32"/>
          <w:szCs w:val="32"/>
          <w14:textFill>
            <w14:solidFill>
              <w14:schemeClr w14:val="tx1"/>
            </w14:solidFill>
          </w14:textFill>
        </w:rPr>
        <w:t>[S].</w:t>
      </w:r>
    </w:p>
    <w:p w14:paraId="5B5E61CD">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]GB/T 191-2008,包装储运图示标志[S].</w:t>
      </w:r>
    </w:p>
    <w:p w14:paraId="4EDAD95A">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]GB/T 14710-2009,医用电器环境要求及试验方法[S].</w:t>
      </w:r>
    </w:p>
    <w:p w14:paraId="3CD13068">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]GB/T 18268.1-2025测量、控制和实验室用的电设备 电磁兼容性要求 第1部分：通用要求[S].</w:t>
      </w:r>
    </w:p>
    <w:p w14:paraId="403AD009">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9</w:t>
      </w:r>
      <w:r>
        <w:rPr>
          <w:rFonts w:eastAsia="仿宋_GB2312"/>
          <w:color w:val="000000" w:themeColor="text1"/>
          <w:sz w:val="32"/>
          <w:szCs w:val="32"/>
          <w14:textFill>
            <w14:solidFill>
              <w14:schemeClr w14:val="tx1"/>
            </w14:solidFill>
          </w14:textFill>
        </w:rPr>
        <w:t>]GB/T 18268.26-2010,测量、控制和实验室用的电设备 电磁兼容性要求 第26部分：特殊要求 体外诊断（IVD）医疗设备[S].</w:t>
      </w:r>
    </w:p>
    <w:p w14:paraId="2B4BC356">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20</w:t>
      </w:r>
      <w:r>
        <w:rPr>
          <w:rFonts w:eastAsia="仿宋_GB2312"/>
          <w:color w:val="000000" w:themeColor="text1"/>
          <w:sz w:val="32"/>
          <w:szCs w:val="32"/>
          <w14:textFill>
            <w14:solidFill>
              <w14:schemeClr w14:val="tx1"/>
            </w14:solidFill>
          </w14:textFill>
        </w:rPr>
        <w:t>]GB/T 29791.3-2013,体外诊断医疗器械 制造商提供的信息（标示）第3部分：专业用体外诊断仪器[S].</w:t>
      </w:r>
    </w:p>
    <w:p w14:paraId="14917A75">
      <w:pPr>
        <w:widowControl/>
        <w:kinsoku w:val="0"/>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21</w:t>
      </w:r>
      <w:r>
        <w:rPr>
          <w:rFonts w:eastAsia="仿宋_GB2312"/>
          <w:color w:val="000000" w:themeColor="text1"/>
          <w:sz w:val="32"/>
          <w:szCs w:val="32"/>
          <w14:textFill>
            <w14:solidFill>
              <w14:schemeClr w14:val="tx1"/>
            </w14:solidFill>
          </w14:textFill>
        </w:rPr>
        <w:t>]GB/T 42062-2022,医疗器械 风险管理对医疗器械的应用[S].</w:t>
      </w:r>
    </w:p>
    <w:p w14:paraId="2C13A788">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22</w:t>
      </w:r>
      <w:r>
        <w:rPr>
          <w:rFonts w:eastAsia="仿宋_GB2312"/>
          <w:color w:val="000000" w:themeColor="text1"/>
          <w:sz w:val="32"/>
          <w:szCs w:val="32"/>
          <w14:textFill>
            <w14:solidFill>
              <w14:schemeClr w14:val="tx1"/>
            </w14:solidFill>
          </w14:textFill>
        </w:rPr>
        <w:t>]</w:t>
      </w:r>
      <w:r>
        <w:rPr>
          <w:color w:val="000000" w:themeColor="text1"/>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YY/T 0648-2025,测量、控制和实验室用电气设备的安全要求 第2-101部分：体外诊断（IVD）医用设备的专用要求[S].</w:t>
      </w:r>
    </w:p>
    <w:p w14:paraId="090EDBC2">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23</w:t>
      </w:r>
      <w:r>
        <w:rPr>
          <w:rFonts w:eastAsia="仿宋_GB2312"/>
          <w:color w:val="000000" w:themeColor="text1"/>
          <w:sz w:val="32"/>
          <w:szCs w:val="32"/>
          <w14:textFill>
            <w14:solidFill>
              <w14:schemeClr w14:val="tx1"/>
            </w14:solidFill>
          </w14:textFill>
        </w:rPr>
        <w:t>]YY/T 0466.1-2023,医疗器械 用于医疗器械标签、标记和提供信息的符号 第1部分：通用要求[S].</w:t>
      </w:r>
    </w:p>
    <w:p w14:paraId="1A1162AB">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24</w:t>
      </w:r>
      <w:r>
        <w:rPr>
          <w:rFonts w:eastAsia="仿宋_GB2312"/>
          <w:color w:val="000000" w:themeColor="text1"/>
          <w:sz w:val="32"/>
          <w:szCs w:val="32"/>
          <w14:textFill>
            <w14:solidFill>
              <w14:schemeClr w14:val="tx1"/>
            </w14:solidFill>
          </w14:textFill>
        </w:rPr>
        <w:t>]YY/T 1437-2023,医疗器械 GB/T 42062应用指南[S].</w:t>
      </w:r>
    </w:p>
    <w:p w14:paraId="074C6F8A">
      <w:pPr>
        <w:widowControl/>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25</w:t>
      </w:r>
      <w:r>
        <w:rPr>
          <w:rFonts w:eastAsia="仿宋_GB2312"/>
          <w:color w:val="000000" w:themeColor="text1"/>
          <w:sz w:val="32"/>
          <w:szCs w:val="32"/>
          <w14:textFill>
            <w14:solidFill>
              <w14:schemeClr w14:val="tx1"/>
            </w14:solidFill>
          </w14:textFill>
        </w:rPr>
        <w:t>]YY/T 1745-2021,</w:t>
      </w:r>
      <w:r>
        <w:rPr>
          <w:rFonts w:hint="eastAsia" w:eastAsia="仿宋_GB2312"/>
          <w:color w:val="000000" w:themeColor="text1"/>
          <w:sz w:val="32"/>
          <w:szCs w:val="32"/>
          <w14:textFill>
            <w14:solidFill>
              <w14:schemeClr w14:val="tx1"/>
            </w14:solidFill>
          </w14:textFill>
        </w:rPr>
        <w:t>自动</w:t>
      </w:r>
      <w:r>
        <w:rPr>
          <w:rFonts w:eastAsia="仿宋_GB2312"/>
          <w:color w:val="000000" w:themeColor="text1"/>
          <w:sz w:val="32"/>
          <w:szCs w:val="32"/>
          <w14:textFill>
            <w14:solidFill>
              <w14:schemeClr w14:val="tx1"/>
            </w14:solidFill>
          </w14:textFill>
        </w:rPr>
        <w:t>粪便分析仪[S].</w:t>
      </w:r>
    </w:p>
    <w:p w14:paraId="138A1672">
      <w:pPr>
        <w:spacing w:line="520" w:lineRule="exact"/>
        <w:ind w:right="-67" w:rightChars="-32"/>
        <w:outlineLvl w:val="0"/>
        <w:rPr>
          <w:rFonts w:eastAsia="黑体"/>
          <w:color w:val="000000" w:themeColor="text1"/>
          <w:sz w:val="32"/>
          <w:szCs w:val="32"/>
          <w14:textFill>
            <w14:solidFill>
              <w14:schemeClr w14:val="tx1"/>
            </w14:solidFill>
          </w14:textFill>
        </w:rPr>
      </w:pPr>
      <w:r>
        <w:rPr>
          <w:rFonts w:eastAsia="黑体"/>
          <w:bCs/>
          <w:color w:val="000000" w:themeColor="text1"/>
          <w:sz w:val="28"/>
          <w:szCs w:val="28"/>
          <w14:textFill>
            <w14:solidFill>
              <w14:schemeClr w14:val="tx1"/>
            </w14:solidFill>
          </w14:textFill>
        </w:rPr>
        <w:br w:type="page"/>
      </w:r>
      <w:r>
        <w:rPr>
          <w:rFonts w:eastAsia="黑体"/>
          <w:color w:val="000000" w:themeColor="text1"/>
          <w:sz w:val="32"/>
          <w:szCs w:val="32"/>
          <w14:textFill>
            <w14:solidFill>
              <w14:schemeClr w14:val="tx1"/>
            </w14:solidFill>
          </w14:textFill>
        </w:rPr>
        <w:t>附表</w:t>
      </w:r>
    </w:p>
    <w:p w14:paraId="1722CA6E">
      <w:pPr>
        <w:widowControl/>
        <w:spacing w:line="520" w:lineRule="exact"/>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风险管理文档</w:t>
      </w:r>
    </w:p>
    <w:tbl>
      <w:tblPr>
        <w:tblStyle w:val="12"/>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273"/>
        <w:gridCol w:w="3261"/>
        <w:gridCol w:w="2268"/>
      </w:tblGrid>
      <w:tr w14:paraId="690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jc w:val="center"/>
        </w:trPr>
        <w:tc>
          <w:tcPr>
            <w:tcW w:w="3686" w:type="dxa"/>
            <w:gridSpan w:val="2"/>
          </w:tcPr>
          <w:p w14:paraId="1DBE15DF">
            <w:pPr>
              <w:tabs>
                <w:tab w:val="left" w:pos="8040"/>
              </w:tabs>
              <w:spacing w:line="400" w:lineRule="exact"/>
              <w:jc w:val="center"/>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可能的危险</w:t>
            </w:r>
          </w:p>
        </w:tc>
        <w:tc>
          <w:tcPr>
            <w:tcW w:w="3261" w:type="dxa"/>
            <w:vAlign w:val="center"/>
          </w:tcPr>
          <w:p w14:paraId="2059D1C6">
            <w:pPr>
              <w:tabs>
                <w:tab w:val="left" w:pos="8040"/>
              </w:tabs>
              <w:spacing w:line="400" w:lineRule="exact"/>
              <w:jc w:val="center"/>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可能的原因</w:t>
            </w:r>
          </w:p>
        </w:tc>
        <w:tc>
          <w:tcPr>
            <w:tcW w:w="2268" w:type="dxa"/>
          </w:tcPr>
          <w:p w14:paraId="30D15087">
            <w:pPr>
              <w:tabs>
                <w:tab w:val="left" w:pos="8040"/>
              </w:tabs>
              <w:spacing w:line="400" w:lineRule="exact"/>
              <w:jc w:val="center"/>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造成的后果</w:t>
            </w:r>
          </w:p>
        </w:tc>
      </w:tr>
      <w:tr w14:paraId="6E0D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restart"/>
            <w:vAlign w:val="center"/>
          </w:tcPr>
          <w:p w14:paraId="6A4B1284">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能量</w:t>
            </w:r>
          </w:p>
          <w:p w14:paraId="5D1234C8">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危险</w:t>
            </w:r>
          </w:p>
        </w:tc>
        <w:tc>
          <w:tcPr>
            <w:tcW w:w="2273" w:type="dxa"/>
            <w:vAlign w:val="center"/>
          </w:tcPr>
          <w:p w14:paraId="1E7FCCE7">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电能</w:t>
            </w:r>
          </w:p>
        </w:tc>
        <w:tc>
          <w:tcPr>
            <w:tcW w:w="3261" w:type="dxa"/>
            <w:vAlign w:val="center"/>
          </w:tcPr>
          <w:p w14:paraId="27E47124">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电击</w:t>
            </w:r>
          </w:p>
        </w:tc>
        <w:tc>
          <w:tcPr>
            <w:tcW w:w="2268" w:type="dxa"/>
            <w:vAlign w:val="center"/>
          </w:tcPr>
          <w:p w14:paraId="01D546E7">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使用者电击伤</w:t>
            </w:r>
          </w:p>
        </w:tc>
      </w:tr>
      <w:tr w14:paraId="1DCF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continue"/>
            <w:vAlign w:val="center"/>
          </w:tcPr>
          <w:p w14:paraId="1E40F0B7">
            <w:pPr>
              <w:tabs>
                <w:tab w:val="left" w:pos="8040"/>
              </w:tabs>
              <w:spacing w:line="400" w:lineRule="exact"/>
              <w:ind w:firstLine="560"/>
              <w:jc w:val="center"/>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3C5F68AF">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机械能</w:t>
            </w:r>
            <w:bookmarkStart w:id="3" w:name="_GoBack"/>
            <w:bookmarkEnd w:id="3"/>
          </w:p>
        </w:tc>
        <w:tc>
          <w:tcPr>
            <w:tcW w:w="3261" w:type="dxa"/>
            <w:vAlign w:val="center"/>
          </w:tcPr>
          <w:p w14:paraId="333FD100">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部件运动过程中触碰</w:t>
            </w:r>
          </w:p>
        </w:tc>
        <w:tc>
          <w:tcPr>
            <w:tcW w:w="2268" w:type="dxa"/>
            <w:vAlign w:val="center"/>
          </w:tcPr>
          <w:p w14:paraId="3241B528">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使用者碰撞伤</w:t>
            </w:r>
          </w:p>
        </w:tc>
      </w:tr>
      <w:tr w14:paraId="6DC4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3FC5C87C">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环境</w:t>
            </w:r>
          </w:p>
          <w:p w14:paraId="21A925F3">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危险</w:t>
            </w:r>
          </w:p>
        </w:tc>
        <w:tc>
          <w:tcPr>
            <w:tcW w:w="2273" w:type="dxa"/>
            <w:vAlign w:val="center"/>
          </w:tcPr>
          <w:p w14:paraId="71219A24">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电磁辐射</w:t>
            </w:r>
          </w:p>
        </w:tc>
        <w:tc>
          <w:tcPr>
            <w:tcW w:w="3261" w:type="dxa"/>
            <w:vAlign w:val="center"/>
          </w:tcPr>
          <w:p w14:paraId="3123402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仪器产生的电磁强度超标或保护元件破损</w:t>
            </w:r>
          </w:p>
        </w:tc>
        <w:tc>
          <w:tcPr>
            <w:tcW w:w="2268" w:type="dxa"/>
            <w:vAlign w:val="center"/>
          </w:tcPr>
          <w:p w14:paraId="305FFEF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对操作者健康或周边设备的正常使用造成影响</w:t>
            </w:r>
          </w:p>
        </w:tc>
      </w:tr>
      <w:tr w14:paraId="554F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19D63523">
            <w:pPr>
              <w:tabs>
                <w:tab w:val="left" w:pos="8040"/>
              </w:tabs>
              <w:spacing w:line="400" w:lineRule="exact"/>
              <w:ind w:firstLine="560"/>
              <w:jc w:val="center"/>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49C133F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噪声污染</w:t>
            </w:r>
          </w:p>
        </w:tc>
        <w:tc>
          <w:tcPr>
            <w:tcW w:w="3261" w:type="dxa"/>
            <w:vAlign w:val="center"/>
          </w:tcPr>
          <w:p w14:paraId="13F26F2F">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由于各种原因导致的噪声超出国家标准</w:t>
            </w:r>
          </w:p>
        </w:tc>
        <w:tc>
          <w:tcPr>
            <w:tcW w:w="2268" w:type="dxa"/>
            <w:vAlign w:val="center"/>
          </w:tcPr>
          <w:p w14:paraId="56A00E4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对操作者听力造成损伤</w:t>
            </w:r>
          </w:p>
        </w:tc>
      </w:tr>
      <w:tr w14:paraId="0267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6B903A64">
            <w:pPr>
              <w:tabs>
                <w:tab w:val="left" w:pos="8040"/>
              </w:tabs>
              <w:spacing w:line="400" w:lineRule="exact"/>
              <w:ind w:firstLine="560"/>
              <w:jc w:val="center"/>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171CF26F">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由于废物和/或医疗器械处置造成的污染</w:t>
            </w:r>
          </w:p>
        </w:tc>
        <w:tc>
          <w:tcPr>
            <w:tcW w:w="3261" w:type="dxa"/>
            <w:vAlign w:val="center"/>
          </w:tcPr>
          <w:p w14:paraId="4C8D5993">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废弃物处理不当</w:t>
            </w:r>
          </w:p>
        </w:tc>
        <w:tc>
          <w:tcPr>
            <w:tcW w:w="2268" w:type="dxa"/>
            <w:vAlign w:val="center"/>
          </w:tcPr>
          <w:p w14:paraId="65B240A8">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污染环境，产生生物学危险</w:t>
            </w:r>
          </w:p>
        </w:tc>
      </w:tr>
      <w:tr w14:paraId="0F3A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413" w:type="dxa"/>
            <w:vAlign w:val="center"/>
          </w:tcPr>
          <w:p w14:paraId="4F4A685B">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生物学和化学危险</w:t>
            </w:r>
          </w:p>
        </w:tc>
        <w:tc>
          <w:tcPr>
            <w:tcW w:w="2273" w:type="dxa"/>
            <w:vAlign w:val="center"/>
          </w:tcPr>
          <w:p w14:paraId="749246FF">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生物污染</w:t>
            </w:r>
          </w:p>
        </w:tc>
        <w:tc>
          <w:tcPr>
            <w:tcW w:w="3261" w:type="dxa"/>
            <w:vAlign w:val="center"/>
          </w:tcPr>
          <w:p w14:paraId="2ABA909C">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标本遗洒、样品针刺伤</w:t>
            </w:r>
          </w:p>
        </w:tc>
        <w:tc>
          <w:tcPr>
            <w:tcW w:w="2268" w:type="dxa"/>
            <w:vAlign w:val="center"/>
          </w:tcPr>
          <w:p w14:paraId="524A80C5">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造成使用者感染</w:t>
            </w:r>
          </w:p>
        </w:tc>
      </w:tr>
      <w:tr w14:paraId="1F2A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61993EF1">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与医疗器械使用有关的危险</w:t>
            </w:r>
          </w:p>
        </w:tc>
        <w:tc>
          <w:tcPr>
            <w:tcW w:w="2273" w:type="dxa"/>
            <w:vAlign w:val="center"/>
          </w:tcPr>
          <w:p w14:paraId="4F108DCC">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不适当的标记</w:t>
            </w:r>
          </w:p>
        </w:tc>
        <w:tc>
          <w:tcPr>
            <w:tcW w:w="3261" w:type="dxa"/>
            <w:vAlign w:val="center"/>
          </w:tcPr>
          <w:p w14:paraId="491CBAAD">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标记不明显</w:t>
            </w:r>
          </w:p>
        </w:tc>
        <w:tc>
          <w:tcPr>
            <w:tcW w:w="2268" w:type="dxa"/>
            <w:vAlign w:val="center"/>
          </w:tcPr>
          <w:p w14:paraId="6E326A7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按键被使用者误读、误按</w:t>
            </w:r>
          </w:p>
        </w:tc>
      </w:tr>
      <w:tr w14:paraId="2313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39562739">
            <w:pPr>
              <w:tabs>
                <w:tab w:val="left" w:pos="8040"/>
              </w:tabs>
              <w:spacing w:line="400" w:lineRule="exact"/>
              <w:ind w:firstLine="560"/>
              <w:jc w:val="center"/>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392B96F7">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不适当的操作说明</w:t>
            </w:r>
          </w:p>
        </w:tc>
        <w:tc>
          <w:tcPr>
            <w:tcW w:w="3261" w:type="dxa"/>
            <w:vAlign w:val="center"/>
          </w:tcPr>
          <w:p w14:paraId="584B52BA">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操作说明书过于复杂</w:t>
            </w:r>
          </w:p>
        </w:tc>
        <w:tc>
          <w:tcPr>
            <w:tcW w:w="2268" w:type="dxa"/>
            <w:vAlign w:val="center"/>
          </w:tcPr>
          <w:p w14:paraId="5CB190F8">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使用者无法按照说明书进行操作</w:t>
            </w:r>
          </w:p>
        </w:tc>
      </w:tr>
      <w:tr w14:paraId="53A2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3B591D87">
            <w:pPr>
              <w:tabs>
                <w:tab w:val="left" w:pos="8040"/>
              </w:tabs>
              <w:spacing w:line="400" w:lineRule="exact"/>
              <w:ind w:firstLine="560"/>
              <w:jc w:val="center"/>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64CE895A">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由不熟练/未经训练的人员使用</w:t>
            </w:r>
          </w:p>
        </w:tc>
        <w:tc>
          <w:tcPr>
            <w:tcW w:w="3261" w:type="dxa"/>
            <w:vAlign w:val="center"/>
          </w:tcPr>
          <w:p w14:paraId="62781C35">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未对使用者进行培训或者使用者未阅读说明书</w:t>
            </w:r>
          </w:p>
        </w:tc>
        <w:tc>
          <w:tcPr>
            <w:tcW w:w="2268" w:type="dxa"/>
            <w:vAlign w:val="center"/>
          </w:tcPr>
          <w:p w14:paraId="34DF0747">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仪器无法被正确使用</w:t>
            </w:r>
          </w:p>
          <w:p w14:paraId="6B270974">
            <w:pPr>
              <w:pStyle w:val="19"/>
              <w:rPr>
                <w:rFonts w:hint="eastAsia" w:ascii="仿宋_GB2312" w:hAnsi="仿宋_GB2312" w:eastAsia="仿宋_GB2312" w:cs="仿宋_GB2312"/>
              </w:rPr>
            </w:pPr>
            <w:r>
              <w:rPr>
                <w:rFonts w:hint="eastAsia" w:ascii="仿宋_GB2312" w:hAnsi="仿宋_GB2312" w:eastAsia="仿宋_GB2312" w:cs="仿宋_GB2312"/>
                <w:color w:val="000000" w:themeColor="text1"/>
                <w:kern w:val="2"/>
                <w:sz w:val="28"/>
                <w:szCs w:val="28"/>
                <w14:textFill>
                  <w14:solidFill>
                    <w14:schemeClr w14:val="tx1"/>
                  </w14:solidFill>
                </w14:textFill>
              </w:rPr>
              <w:t>检测结果不准确</w:t>
            </w:r>
          </w:p>
        </w:tc>
      </w:tr>
      <w:tr w14:paraId="3E55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20BE7AF2">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不适当、不合适或过于复杂的使用者接口</w:t>
            </w:r>
          </w:p>
        </w:tc>
        <w:tc>
          <w:tcPr>
            <w:tcW w:w="2273" w:type="dxa"/>
            <w:vAlign w:val="center"/>
          </w:tcPr>
          <w:p w14:paraId="467F48DE">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视觉、听觉或触觉的不充分</w:t>
            </w:r>
          </w:p>
        </w:tc>
        <w:tc>
          <w:tcPr>
            <w:tcW w:w="3261" w:type="dxa"/>
            <w:vAlign w:val="center"/>
          </w:tcPr>
          <w:p w14:paraId="1C1B33E8">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显示、声音提示不清</w:t>
            </w:r>
          </w:p>
        </w:tc>
        <w:tc>
          <w:tcPr>
            <w:tcW w:w="2268" w:type="dxa"/>
            <w:vAlign w:val="center"/>
          </w:tcPr>
          <w:p w14:paraId="5AA31B27">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按键被使用者误读、误按</w:t>
            </w:r>
          </w:p>
        </w:tc>
      </w:tr>
      <w:tr w14:paraId="0D84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74E091C1">
            <w:pPr>
              <w:tabs>
                <w:tab w:val="left" w:pos="8040"/>
              </w:tabs>
              <w:spacing w:line="40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功能性失效、维修和老化引起的危险</w:t>
            </w:r>
          </w:p>
        </w:tc>
        <w:tc>
          <w:tcPr>
            <w:tcW w:w="2273" w:type="dxa"/>
            <w:vAlign w:val="center"/>
          </w:tcPr>
          <w:p w14:paraId="6644823C">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维修规范缺少或不适当，包括维修后检查规范不适当</w:t>
            </w:r>
          </w:p>
        </w:tc>
        <w:tc>
          <w:tcPr>
            <w:tcW w:w="3261" w:type="dxa"/>
            <w:vAlign w:val="center"/>
          </w:tcPr>
          <w:p w14:paraId="6D45320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未按照规范进行服务和维修；由于老化、磨损和重复使用而致功能退化</w:t>
            </w:r>
          </w:p>
        </w:tc>
        <w:tc>
          <w:tcPr>
            <w:tcW w:w="2268" w:type="dxa"/>
            <w:vAlign w:val="center"/>
          </w:tcPr>
          <w:p w14:paraId="129C3405">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仪器未达到修复使用要求</w:t>
            </w:r>
          </w:p>
        </w:tc>
      </w:tr>
      <w:tr w14:paraId="48CC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2C74031F">
            <w:pPr>
              <w:tabs>
                <w:tab w:val="left" w:pos="8040"/>
              </w:tabs>
              <w:spacing w:line="400" w:lineRule="exact"/>
              <w:ind w:firstLine="560"/>
              <w:jc w:val="left"/>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79A88CF5">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维护的不适当</w:t>
            </w:r>
          </w:p>
        </w:tc>
        <w:tc>
          <w:tcPr>
            <w:tcW w:w="3261" w:type="dxa"/>
            <w:vAlign w:val="center"/>
          </w:tcPr>
          <w:p w14:paraId="523484E5">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未按要求进行维护，图示符号说明不规范、操作使用方法不清楚、技术说明不清楚、未规定一次性使用消耗性材料采购要求、清洁方法不明确及清洁消毒不当、不适当的操作说明等</w:t>
            </w:r>
          </w:p>
        </w:tc>
        <w:tc>
          <w:tcPr>
            <w:tcW w:w="2268" w:type="dxa"/>
            <w:vAlign w:val="center"/>
          </w:tcPr>
          <w:p w14:paraId="43DB22A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仪器无法被正确维护</w:t>
            </w:r>
          </w:p>
        </w:tc>
      </w:tr>
      <w:tr w14:paraId="687E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EF4ACE8">
            <w:pPr>
              <w:tabs>
                <w:tab w:val="left" w:pos="8040"/>
              </w:tabs>
              <w:spacing w:line="400" w:lineRule="exact"/>
              <w:ind w:firstLine="560"/>
              <w:jc w:val="left"/>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6B9A207D">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不适当的包装</w:t>
            </w:r>
          </w:p>
        </w:tc>
        <w:tc>
          <w:tcPr>
            <w:tcW w:w="3261" w:type="dxa"/>
            <w:vAlign w:val="center"/>
          </w:tcPr>
          <w:p w14:paraId="12DD3DF2">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未保存原包装</w:t>
            </w:r>
          </w:p>
        </w:tc>
        <w:tc>
          <w:tcPr>
            <w:tcW w:w="2268" w:type="dxa"/>
            <w:vAlign w:val="center"/>
          </w:tcPr>
          <w:p w14:paraId="4C9E1AFF">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仪器送修运输中受损</w:t>
            </w:r>
          </w:p>
        </w:tc>
      </w:tr>
      <w:tr w14:paraId="07B3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6B40743">
            <w:pPr>
              <w:tabs>
                <w:tab w:val="left" w:pos="8040"/>
              </w:tabs>
              <w:spacing w:line="400" w:lineRule="exact"/>
              <w:ind w:firstLine="560"/>
              <w:jc w:val="left"/>
              <w:rPr>
                <w:rFonts w:hint="eastAsia" w:ascii="仿宋_GB2312" w:hAnsi="仿宋_GB2312" w:eastAsia="仿宋_GB2312" w:cs="仿宋_GB2312"/>
                <w:color w:val="000000" w:themeColor="text1"/>
                <w:sz w:val="28"/>
                <w:szCs w:val="28"/>
                <w14:textFill>
                  <w14:solidFill>
                    <w14:schemeClr w14:val="tx1"/>
                  </w14:solidFill>
                </w14:textFill>
              </w:rPr>
            </w:pPr>
          </w:p>
        </w:tc>
        <w:tc>
          <w:tcPr>
            <w:tcW w:w="2273" w:type="dxa"/>
            <w:vAlign w:val="center"/>
          </w:tcPr>
          <w:p w14:paraId="53876EF4">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软件失效</w:t>
            </w:r>
          </w:p>
        </w:tc>
        <w:tc>
          <w:tcPr>
            <w:tcW w:w="3261" w:type="dxa"/>
            <w:vAlign w:val="center"/>
          </w:tcPr>
          <w:p w14:paraId="0DB869C6">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软件设计缺陷</w:t>
            </w:r>
          </w:p>
        </w:tc>
        <w:tc>
          <w:tcPr>
            <w:tcW w:w="2268" w:type="dxa"/>
            <w:vAlign w:val="center"/>
          </w:tcPr>
          <w:p w14:paraId="76BE9051">
            <w:pPr>
              <w:tabs>
                <w:tab w:val="left" w:pos="8040"/>
              </w:tabs>
              <w:spacing w:line="400" w:lineRule="exact"/>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仪器无法正常使用</w:t>
            </w:r>
          </w:p>
        </w:tc>
      </w:tr>
    </w:tbl>
    <w:p w14:paraId="21F65B0B">
      <w:pPr>
        <w:spacing w:line="14" w:lineRule="exact"/>
        <w:rPr>
          <w:rFonts w:hint="eastAsia" w:ascii="仿宋_GB2312" w:hAnsi="仿宋_GB2312" w:eastAsia="仿宋_GB2312" w:cs="仿宋_GB2312"/>
          <w:color w:val="000000" w:themeColor="text1"/>
          <w14:textFill>
            <w14:solidFill>
              <w14:schemeClr w14:val="tx1"/>
            </w14:solidFill>
          </w14:textFill>
        </w:rPr>
      </w:pPr>
    </w:p>
    <w:sectPr>
      <w:footerReference r:id="rId3" w:type="default"/>
      <w:footerReference r:id="rId4" w:type="even"/>
      <w:pgSz w:w="11906" w:h="16838"/>
      <w:pgMar w:top="1701" w:right="1588" w:bottom="1701" w:left="1588" w:header="851" w:footer="992" w:gutter="0"/>
      <w:lnNumType w:countBy="1" w:restart="continuou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65DDCC-958A-470A-BA5A-791954877B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5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2" w:fontKey="{530DD920-C379-4A8B-A5FF-77F36890A03D}"/>
  </w:font>
  <w:font w:name="仿宋_GB2312">
    <w:panose1 w:val="02010609030101010101"/>
    <w:charset w:val="86"/>
    <w:family w:val="modern"/>
    <w:pitch w:val="default"/>
    <w:sig w:usb0="00000001" w:usb1="080E0000" w:usb2="00000000" w:usb3="00000000" w:csb0="00040000" w:csb1="00000000"/>
    <w:embedRegular r:id="rId3" w:fontKey="{C4947100-7557-4B65-9CC4-65F4028A0CC2}"/>
  </w:font>
  <w:font w:name="楷体_GB2312">
    <w:altName w:val="楷体"/>
    <w:panose1 w:val="02010609030101010101"/>
    <w:charset w:val="86"/>
    <w:family w:val="modern"/>
    <w:pitch w:val="default"/>
    <w:sig w:usb0="00000001" w:usb1="080E0000" w:usb2="00000000" w:usb3="00000000" w:csb0="00040000" w:csb1="00000000"/>
    <w:embedRegular r:id="rId4" w:fontKey="{D5A5788F-69A5-4839-8961-4A632A756DCD}"/>
  </w:font>
  <w:font w:name="仿宋">
    <w:panose1 w:val="02010609060101010101"/>
    <w:charset w:val="86"/>
    <w:family w:val="modern"/>
    <w:pitch w:val="default"/>
    <w:sig w:usb0="800002BF" w:usb1="38CF7CFA" w:usb2="00000016" w:usb3="00000000" w:csb0="00040001" w:csb1="00000000"/>
    <w:embedRegular r:id="rId5" w:fontKey="{D3CE9EFE-43B2-4025-87A6-38BEB26E2D6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6A186">
    <w:pPr>
      <w:pStyle w:val="8"/>
    </w:pPr>
    <w:r>
      <w:t xml:space="preserve">— </w:t>
    </w:r>
    <w:sdt>
      <w:sdtPr>
        <w:id w:val="-1172942557"/>
      </w:sdtPr>
      <w:sdtContent>
        <w:r>
          <w:fldChar w:fldCharType="begin"/>
        </w:r>
        <w:r>
          <w:instrText xml:space="preserve">PAGE   \* MERGEFORMAT</w:instrText>
        </w:r>
        <w:r>
          <w:fldChar w:fldCharType="separate"/>
        </w:r>
        <w:r>
          <w:rPr>
            <w:lang w:val="zh-CN"/>
          </w:rPr>
          <w:t>191</w:t>
        </w:r>
        <w:r>
          <w:fldChar w:fldCharType="end"/>
        </w:r>
      </w:sdtContent>
    </w:sdt>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631D">
    <w:pPr>
      <w:pStyle w:val="8"/>
      <w:ind w:right="1203"/>
      <w:jc w:val="both"/>
    </w:pPr>
    <w:r>
      <w:t xml:space="preserve">— </w:t>
    </w:r>
    <w:sdt>
      <w:sdtPr>
        <w:id w:val="-866364768"/>
      </w:sdtPr>
      <w:sdtContent>
        <w:r>
          <w:fldChar w:fldCharType="begin"/>
        </w:r>
        <w:r>
          <w:instrText xml:space="preserve">PAGE   \* MERGEFORMAT</w:instrText>
        </w:r>
        <w:r>
          <w:fldChar w:fldCharType="separate"/>
        </w:r>
        <w:r>
          <w:rPr>
            <w:lang w:val="zh-CN"/>
          </w:rPr>
          <w:t>190</w:t>
        </w:r>
        <w:r>
          <w:fldChar w:fldCharType="end"/>
        </w:r>
      </w:sdtContent>
    </w:sdt>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0C4737"/>
    <w:rsid w:val="00004EAD"/>
    <w:rsid w:val="00007321"/>
    <w:rsid w:val="00023A76"/>
    <w:rsid w:val="00027F6A"/>
    <w:rsid w:val="000317DE"/>
    <w:rsid w:val="00032D65"/>
    <w:rsid w:val="00036072"/>
    <w:rsid w:val="00040312"/>
    <w:rsid w:val="000454A3"/>
    <w:rsid w:val="00050D40"/>
    <w:rsid w:val="000557D9"/>
    <w:rsid w:val="00055E2C"/>
    <w:rsid w:val="00066AF2"/>
    <w:rsid w:val="00067A9F"/>
    <w:rsid w:val="0007204B"/>
    <w:rsid w:val="00074D1A"/>
    <w:rsid w:val="0009091C"/>
    <w:rsid w:val="000954A7"/>
    <w:rsid w:val="00097215"/>
    <w:rsid w:val="000A0A4D"/>
    <w:rsid w:val="000A2B31"/>
    <w:rsid w:val="000A2F9F"/>
    <w:rsid w:val="000B2DCC"/>
    <w:rsid w:val="000B428A"/>
    <w:rsid w:val="000C0EB4"/>
    <w:rsid w:val="000C4737"/>
    <w:rsid w:val="000D21B5"/>
    <w:rsid w:val="000D5D95"/>
    <w:rsid w:val="000E08E5"/>
    <w:rsid w:val="000E5206"/>
    <w:rsid w:val="000E699D"/>
    <w:rsid w:val="000F1BA0"/>
    <w:rsid w:val="0010348A"/>
    <w:rsid w:val="00116E44"/>
    <w:rsid w:val="0011745F"/>
    <w:rsid w:val="001324B7"/>
    <w:rsid w:val="001370FB"/>
    <w:rsid w:val="00140435"/>
    <w:rsid w:val="00145B9E"/>
    <w:rsid w:val="00150E9B"/>
    <w:rsid w:val="00170700"/>
    <w:rsid w:val="00174ED6"/>
    <w:rsid w:val="00180EBE"/>
    <w:rsid w:val="001817A2"/>
    <w:rsid w:val="00184656"/>
    <w:rsid w:val="0018495C"/>
    <w:rsid w:val="0018773C"/>
    <w:rsid w:val="001923B4"/>
    <w:rsid w:val="001A609B"/>
    <w:rsid w:val="001A7A6F"/>
    <w:rsid w:val="001B396F"/>
    <w:rsid w:val="001B4566"/>
    <w:rsid w:val="001B4B98"/>
    <w:rsid w:val="001B57FA"/>
    <w:rsid w:val="001B7F46"/>
    <w:rsid w:val="001C332B"/>
    <w:rsid w:val="001C52D6"/>
    <w:rsid w:val="001C5DF7"/>
    <w:rsid w:val="001D2460"/>
    <w:rsid w:val="001D2B0F"/>
    <w:rsid w:val="001D569E"/>
    <w:rsid w:val="001D5FB2"/>
    <w:rsid w:val="001D6CAD"/>
    <w:rsid w:val="001E4F22"/>
    <w:rsid w:val="001E503C"/>
    <w:rsid w:val="001E6A21"/>
    <w:rsid w:val="001E72B8"/>
    <w:rsid w:val="001F5041"/>
    <w:rsid w:val="001F61B6"/>
    <w:rsid w:val="0022073B"/>
    <w:rsid w:val="0022100E"/>
    <w:rsid w:val="00223C51"/>
    <w:rsid w:val="00225CF1"/>
    <w:rsid w:val="00240B52"/>
    <w:rsid w:val="0024119E"/>
    <w:rsid w:val="002427D6"/>
    <w:rsid w:val="00242F63"/>
    <w:rsid w:val="00244648"/>
    <w:rsid w:val="002461C5"/>
    <w:rsid w:val="00247FC7"/>
    <w:rsid w:val="0025271A"/>
    <w:rsid w:val="0025554D"/>
    <w:rsid w:val="00260E9A"/>
    <w:rsid w:val="00264496"/>
    <w:rsid w:val="00267789"/>
    <w:rsid w:val="0027005D"/>
    <w:rsid w:val="002708D0"/>
    <w:rsid w:val="002712C5"/>
    <w:rsid w:val="00282F62"/>
    <w:rsid w:val="0028303D"/>
    <w:rsid w:val="002A1908"/>
    <w:rsid w:val="002A1BD1"/>
    <w:rsid w:val="002A4DAA"/>
    <w:rsid w:val="002B142A"/>
    <w:rsid w:val="002B25FA"/>
    <w:rsid w:val="002B6BE7"/>
    <w:rsid w:val="002C1BC4"/>
    <w:rsid w:val="002C4A4D"/>
    <w:rsid w:val="002C5665"/>
    <w:rsid w:val="002D27D4"/>
    <w:rsid w:val="002D5D8F"/>
    <w:rsid w:val="002E1797"/>
    <w:rsid w:val="002E3779"/>
    <w:rsid w:val="002E5138"/>
    <w:rsid w:val="002E5295"/>
    <w:rsid w:val="002E65F1"/>
    <w:rsid w:val="002F02AD"/>
    <w:rsid w:val="002F15FA"/>
    <w:rsid w:val="002F196D"/>
    <w:rsid w:val="002F5D04"/>
    <w:rsid w:val="002F6E1B"/>
    <w:rsid w:val="0030581B"/>
    <w:rsid w:val="00313F17"/>
    <w:rsid w:val="0031634D"/>
    <w:rsid w:val="00320836"/>
    <w:rsid w:val="00324DB1"/>
    <w:rsid w:val="00326503"/>
    <w:rsid w:val="00327F3F"/>
    <w:rsid w:val="00333403"/>
    <w:rsid w:val="00335ADB"/>
    <w:rsid w:val="00341F55"/>
    <w:rsid w:val="003433C3"/>
    <w:rsid w:val="003459A7"/>
    <w:rsid w:val="00350D23"/>
    <w:rsid w:val="00350FC7"/>
    <w:rsid w:val="00353F19"/>
    <w:rsid w:val="00360D19"/>
    <w:rsid w:val="0037188D"/>
    <w:rsid w:val="00372E7E"/>
    <w:rsid w:val="003744A1"/>
    <w:rsid w:val="003750FC"/>
    <w:rsid w:val="003803A9"/>
    <w:rsid w:val="00382D0A"/>
    <w:rsid w:val="0038796F"/>
    <w:rsid w:val="003917CB"/>
    <w:rsid w:val="00391D5F"/>
    <w:rsid w:val="00394A6E"/>
    <w:rsid w:val="003A2D3A"/>
    <w:rsid w:val="003A379E"/>
    <w:rsid w:val="003A6D3C"/>
    <w:rsid w:val="003A734B"/>
    <w:rsid w:val="003B0BE9"/>
    <w:rsid w:val="003B4656"/>
    <w:rsid w:val="003C44F9"/>
    <w:rsid w:val="003C5CF2"/>
    <w:rsid w:val="003D69C0"/>
    <w:rsid w:val="003F31D7"/>
    <w:rsid w:val="003F613F"/>
    <w:rsid w:val="00400261"/>
    <w:rsid w:val="0040240B"/>
    <w:rsid w:val="004059F3"/>
    <w:rsid w:val="00410E06"/>
    <w:rsid w:val="00412016"/>
    <w:rsid w:val="00412385"/>
    <w:rsid w:val="00413749"/>
    <w:rsid w:val="004143CE"/>
    <w:rsid w:val="00417ACA"/>
    <w:rsid w:val="00421F49"/>
    <w:rsid w:val="00423221"/>
    <w:rsid w:val="00423A78"/>
    <w:rsid w:val="0042435E"/>
    <w:rsid w:val="00426782"/>
    <w:rsid w:val="004332A8"/>
    <w:rsid w:val="004355ED"/>
    <w:rsid w:val="00436BCD"/>
    <w:rsid w:val="00452000"/>
    <w:rsid w:val="00457134"/>
    <w:rsid w:val="004621AF"/>
    <w:rsid w:val="00464044"/>
    <w:rsid w:val="00464535"/>
    <w:rsid w:val="00474BE3"/>
    <w:rsid w:val="004828C0"/>
    <w:rsid w:val="00493E7B"/>
    <w:rsid w:val="00494814"/>
    <w:rsid w:val="004A2166"/>
    <w:rsid w:val="004A6D2F"/>
    <w:rsid w:val="004B3A39"/>
    <w:rsid w:val="004B7E93"/>
    <w:rsid w:val="004C0B7B"/>
    <w:rsid w:val="004C441B"/>
    <w:rsid w:val="004D25B9"/>
    <w:rsid w:val="004D549E"/>
    <w:rsid w:val="004E10AC"/>
    <w:rsid w:val="004E169B"/>
    <w:rsid w:val="004E3D7B"/>
    <w:rsid w:val="004E41D6"/>
    <w:rsid w:val="004E441A"/>
    <w:rsid w:val="004F3D9A"/>
    <w:rsid w:val="004F6A78"/>
    <w:rsid w:val="00502A8F"/>
    <w:rsid w:val="00510F01"/>
    <w:rsid w:val="00514F68"/>
    <w:rsid w:val="00516110"/>
    <w:rsid w:val="00521998"/>
    <w:rsid w:val="005306A5"/>
    <w:rsid w:val="00530F48"/>
    <w:rsid w:val="0053290D"/>
    <w:rsid w:val="00541F29"/>
    <w:rsid w:val="005429C4"/>
    <w:rsid w:val="0054509D"/>
    <w:rsid w:val="0055237F"/>
    <w:rsid w:val="0055706B"/>
    <w:rsid w:val="00561DB8"/>
    <w:rsid w:val="00561FA9"/>
    <w:rsid w:val="00566FF9"/>
    <w:rsid w:val="00574BBA"/>
    <w:rsid w:val="00574DB2"/>
    <w:rsid w:val="0057565D"/>
    <w:rsid w:val="005816AE"/>
    <w:rsid w:val="0058637A"/>
    <w:rsid w:val="00591836"/>
    <w:rsid w:val="00591BE6"/>
    <w:rsid w:val="00592B72"/>
    <w:rsid w:val="00592D7B"/>
    <w:rsid w:val="00595488"/>
    <w:rsid w:val="00596FFC"/>
    <w:rsid w:val="005971D7"/>
    <w:rsid w:val="005A6524"/>
    <w:rsid w:val="005B0928"/>
    <w:rsid w:val="005B13E7"/>
    <w:rsid w:val="005B1BFE"/>
    <w:rsid w:val="005B77BC"/>
    <w:rsid w:val="005C34A4"/>
    <w:rsid w:val="005C6F4C"/>
    <w:rsid w:val="005D13BC"/>
    <w:rsid w:val="005D2499"/>
    <w:rsid w:val="005D3DBE"/>
    <w:rsid w:val="005D7043"/>
    <w:rsid w:val="005E2746"/>
    <w:rsid w:val="005E4919"/>
    <w:rsid w:val="005E59D1"/>
    <w:rsid w:val="005E6153"/>
    <w:rsid w:val="005F24FD"/>
    <w:rsid w:val="005F7C82"/>
    <w:rsid w:val="00602648"/>
    <w:rsid w:val="00614C42"/>
    <w:rsid w:val="00615B2B"/>
    <w:rsid w:val="00626C7E"/>
    <w:rsid w:val="00645A2C"/>
    <w:rsid w:val="0065174B"/>
    <w:rsid w:val="00655AAB"/>
    <w:rsid w:val="00665745"/>
    <w:rsid w:val="00665810"/>
    <w:rsid w:val="00665C4B"/>
    <w:rsid w:val="00667635"/>
    <w:rsid w:val="00671EC2"/>
    <w:rsid w:val="00682AF9"/>
    <w:rsid w:val="00685179"/>
    <w:rsid w:val="00685E8B"/>
    <w:rsid w:val="006869D0"/>
    <w:rsid w:val="00686F7E"/>
    <w:rsid w:val="00690079"/>
    <w:rsid w:val="0069286B"/>
    <w:rsid w:val="00697781"/>
    <w:rsid w:val="006A0A03"/>
    <w:rsid w:val="006A4D84"/>
    <w:rsid w:val="006A6706"/>
    <w:rsid w:val="006A67AB"/>
    <w:rsid w:val="006B227E"/>
    <w:rsid w:val="006B55DF"/>
    <w:rsid w:val="006C58A6"/>
    <w:rsid w:val="006D11A3"/>
    <w:rsid w:val="006D4C64"/>
    <w:rsid w:val="006D53EE"/>
    <w:rsid w:val="006D7E6A"/>
    <w:rsid w:val="006E0677"/>
    <w:rsid w:val="006E332A"/>
    <w:rsid w:val="006E3CED"/>
    <w:rsid w:val="006F0939"/>
    <w:rsid w:val="0071046A"/>
    <w:rsid w:val="00713F7D"/>
    <w:rsid w:val="00716698"/>
    <w:rsid w:val="00716985"/>
    <w:rsid w:val="00722C52"/>
    <w:rsid w:val="00722ED8"/>
    <w:rsid w:val="00725A2B"/>
    <w:rsid w:val="00727BBF"/>
    <w:rsid w:val="00731DFB"/>
    <w:rsid w:val="00742F34"/>
    <w:rsid w:val="007465CC"/>
    <w:rsid w:val="00747DF0"/>
    <w:rsid w:val="00750896"/>
    <w:rsid w:val="00750FA5"/>
    <w:rsid w:val="00751D8A"/>
    <w:rsid w:val="007522C3"/>
    <w:rsid w:val="007522E1"/>
    <w:rsid w:val="00755A7A"/>
    <w:rsid w:val="00756938"/>
    <w:rsid w:val="00764A52"/>
    <w:rsid w:val="00765AA9"/>
    <w:rsid w:val="00766EAF"/>
    <w:rsid w:val="0076795B"/>
    <w:rsid w:val="00771154"/>
    <w:rsid w:val="007739E4"/>
    <w:rsid w:val="00777B07"/>
    <w:rsid w:val="00777E9A"/>
    <w:rsid w:val="007834B5"/>
    <w:rsid w:val="00785041"/>
    <w:rsid w:val="007A2265"/>
    <w:rsid w:val="007A2941"/>
    <w:rsid w:val="007A4097"/>
    <w:rsid w:val="007A703A"/>
    <w:rsid w:val="007A75A0"/>
    <w:rsid w:val="007B193D"/>
    <w:rsid w:val="007B5474"/>
    <w:rsid w:val="007B55A0"/>
    <w:rsid w:val="007B7774"/>
    <w:rsid w:val="007C52D6"/>
    <w:rsid w:val="007C7907"/>
    <w:rsid w:val="007D4273"/>
    <w:rsid w:val="007D4BCD"/>
    <w:rsid w:val="007E1492"/>
    <w:rsid w:val="007E6A2E"/>
    <w:rsid w:val="007F6CAB"/>
    <w:rsid w:val="00801909"/>
    <w:rsid w:val="0080285C"/>
    <w:rsid w:val="00803D5E"/>
    <w:rsid w:val="00805E51"/>
    <w:rsid w:val="0080738D"/>
    <w:rsid w:val="0083073C"/>
    <w:rsid w:val="008307E8"/>
    <w:rsid w:val="008357A1"/>
    <w:rsid w:val="00841E4D"/>
    <w:rsid w:val="00842CC5"/>
    <w:rsid w:val="0084361C"/>
    <w:rsid w:val="00844CFF"/>
    <w:rsid w:val="00847769"/>
    <w:rsid w:val="00852358"/>
    <w:rsid w:val="00855B8F"/>
    <w:rsid w:val="00866FDF"/>
    <w:rsid w:val="008758B8"/>
    <w:rsid w:val="00883DD4"/>
    <w:rsid w:val="008871E5"/>
    <w:rsid w:val="008879F4"/>
    <w:rsid w:val="008933A5"/>
    <w:rsid w:val="00894EA1"/>
    <w:rsid w:val="008A09DC"/>
    <w:rsid w:val="008A3116"/>
    <w:rsid w:val="008B0404"/>
    <w:rsid w:val="008B2FBB"/>
    <w:rsid w:val="008C117D"/>
    <w:rsid w:val="008C40D6"/>
    <w:rsid w:val="008C4327"/>
    <w:rsid w:val="008C6277"/>
    <w:rsid w:val="008D09FC"/>
    <w:rsid w:val="008D28AF"/>
    <w:rsid w:val="008D5E9A"/>
    <w:rsid w:val="008D69F3"/>
    <w:rsid w:val="008E1715"/>
    <w:rsid w:val="008E46CB"/>
    <w:rsid w:val="008F3845"/>
    <w:rsid w:val="0090351F"/>
    <w:rsid w:val="00903C7B"/>
    <w:rsid w:val="00905877"/>
    <w:rsid w:val="00906974"/>
    <w:rsid w:val="00912D7B"/>
    <w:rsid w:val="00913CED"/>
    <w:rsid w:val="00917086"/>
    <w:rsid w:val="00922038"/>
    <w:rsid w:val="009246F8"/>
    <w:rsid w:val="00925DCF"/>
    <w:rsid w:val="00930101"/>
    <w:rsid w:val="009307A6"/>
    <w:rsid w:val="00933981"/>
    <w:rsid w:val="00943E1E"/>
    <w:rsid w:val="009454C6"/>
    <w:rsid w:val="00950FF1"/>
    <w:rsid w:val="00953565"/>
    <w:rsid w:val="00962D38"/>
    <w:rsid w:val="0097224E"/>
    <w:rsid w:val="00977151"/>
    <w:rsid w:val="009777D9"/>
    <w:rsid w:val="00980029"/>
    <w:rsid w:val="00982605"/>
    <w:rsid w:val="00992500"/>
    <w:rsid w:val="009A0422"/>
    <w:rsid w:val="009B0482"/>
    <w:rsid w:val="009B39CB"/>
    <w:rsid w:val="009C4FC4"/>
    <w:rsid w:val="009C67D4"/>
    <w:rsid w:val="009D7EB9"/>
    <w:rsid w:val="009E4AB4"/>
    <w:rsid w:val="009E5132"/>
    <w:rsid w:val="009E6CFD"/>
    <w:rsid w:val="009F408E"/>
    <w:rsid w:val="009F635A"/>
    <w:rsid w:val="00A022D4"/>
    <w:rsid w:val="00A02D58"/>
    <w:rsid w:val="00A043A5"/>
    <w:rsid w:val="00A0757A"/>
    <w:rsid w:val="00A147A7"/>
    <w:rsid w:val="00A14D0E"/>
    <w:rsid w:val="00A23058"/>
    <w:rsid w:val="00A3315B"/>
    <w:rsid w:val="00A344E1"/>
    <w:rsid w:val="00A37463"/>
    <w:rsid w:val="00A45502"/>
    <w:rsid w:val="00A50F86"/>
    <w:rsid w:val="00A52A81"/>
    <w:rsid w:val="00A64DD2"/>
    <w:rsid w:val="00A6665E"/>
    <w:rsid w:val="00A70968"/>
    <w:rsid w:val="00A73EEF"/>
    <w:rsid w:val="00A74139"/>
    <w:rsid w:val="00A7474E"/>
    <w:rsid w:val="00A75BFE"/>
    <w:rsid w:val="00A77076"/>
    <w:rsid w:val="00A811EA"/>
    <w:rsid w:val="00A86AEF"/>
    <w:rsid w:val="00A8738B"/>
    <w:rsid w:val="00A901C2"/>
    <w:rsid w:val="00A90EA6"/>
    <w:rsid w:val="00AB01ED"/>
    <w:rsid w:val="00AB5F9B"/>
    <w:rsid w:val="00AB617B"/>
    <w:rsid w:val="00AB6476"/>
    <w:rsid w:val="00AC4082"/>
    <w:rsid w:val="00AC5F45"/>
    <w:rsid w:val="00AD0DCE"/>
    <w:rsid w:val="00AD16AE"/>
    <w:rsid w:val="00AD4743"/>
    <w:rsid w:val="00AD496F"/>
    <w:rsid w:val="00AD5E82"/>
    <w:rsid w:val="00AE00A2"/>
    <w:rsid w:val="00AE0842"/>
    <w:rsid w:val="00AE6182"/>
    <w:rsid w:val="00AE6E1F"/>
    <w:rsid w:val="00AF262B"/>
    <w:rsid w:val="00AF2F88"/>
    <w:rsid w:val="00AF51BD"/>
    <w:rsid w:val="00AF67C6"/>
    <w:rsid w:val="00AF6BAA"/>
    <w:rsid w:val="00AF7D5B"/>
    <w:rsid w:val="00B01F7C"/>
    <w:rsid w:val="00B0652D"/>
    <w:rsid w:val="00B0764C"/>
    <w:rsid w:val="00B111BA"/>
    <w:rsid w:val="00B118DF"/>
    <w:rsid w:val="00B1442F"/>
    <w:rsid w:val="00B279ED"/>
    <w:rsid w:val="00B34511"/>
    <w:rsid w:val="00B3652D"/>
    <w:rsid w:val="00B40539"/>
    <w:rsid w:val="00B42612"/>
    <w:rsid w:val="00B43359"/>
    <w:rsid w:val="00B43A9D"/>
    <w:rsid w:val="00B46438"/>
    <w:rsid w:val="00B534BF"/>
    <w:rsid w:val="00B620A9"/>
    <w:rsid w:val="00B655C7"/>
    <w:rsid w:val="00B711C2"/>
    <w:rsid w:val="00B72C5F"/>
    <w:rsid w:val="00B74C63"/>
    <w:rsid w:val="00B82B35"/>
    <w:rsid w:val="00B94248"/>
    <w:rsid w:val="00B94960"/>
    <w:rsid w:val="00BA27B0"/>
    <w:rsid w:val="00BA47AE"/>
    <w:rsid w:val="00BB4900"/>
    <w:rsid w:val="00BC0862"/>
    <w:rsid w:val="00BC093D"/>
    <w:rsid w:val="00BD12A8"/>
    <w:rsid w:val="00BD43A4"/>
    <w:rsid w:val="00BE0349"/>
    <w:rsid w:val="00BF05EA"/>
    <w:rsid w:val="00BF20F4"/>
    <w:rsid w:val="00BF32E8"/>
    <w:rsid w:val="00BF54FF"/>
    <w:rsid w:val="00BF5CFC"/>
    <w:rsid w:val="00BF6165"/>
    <w:rsid w:val="00BF6C27"/>
    <w:rsid w:val="00BF7B08"/>
    <w:rsid w:val="00C01389"/>
    <w:rsid w:val="00C033D2"/>
    <w:rsid w:val="00C07E74"/>
    <w:rsid w:val="00C07FA9"/>
    <w:rsid w:val="00C10DA8"/>
    <w:rsid w:val="00C228AB"/>
    <w:rsid w:val="00C23974"/>
    <w:rsid w:val="00C326C6"/>
    <w:rsid w:val="00C33806"/>
    <w:rsid w:val="00C353F1"/>
    <w:rsid w:val="00C4180F"/>
    <w:rsid w:val="00C454BA"/>
    <w:rsid w:val="00C50D06"/>
    <w:rsid w:val="00C50E24"/>
    <w:rsid w:val="00C51B5F"/>
    <w:rsid w:val="00C704DA"/>
    <w:rsid w:val="00C73872"/>
    <w:rsid w:val="00C771C1"/>
    <w:rsid w:val="00C7789C"/>
    <w:rsid w:val="00C77D28"/>
    <w:rsid w:val="00C80274"/>
    <w:rsid w:val="00C81FD7"/>
    <w:rsid w:val="00C82C82"/>
    <w:rsid w:val="00C831C3"/>
    <w:rsid w:val="00C864BE"/>
    <w:rsid w:val="00C866F0"/>
    <w:rsid w:val="00C96314"/>
    <w:rsid w:val="00CB063D"/>
    <w:rsid w:val="00CB3ED2"/>
    <w:rsid w:val="00CC133E"/>
    <w:rsid w:val="00CC2586"/>
    <w:rsid w:val="00CC6FAA"/>
    <w:rsid w:val="00CD3AF1"/>
    <w:rsid w:val="00CD53A3"/>
    <w:rsid w:val="00CF2EE2"/>
    <w:rsid w:val="00CF4CF5"/>
    <w:rsid w:val="00CF4FFF"/>
    <w:rsid w:val="00CF548E"/>
    <w:rsid w:val="00CF5818"/>
    <w:rsid w:val="00D02213"/>
    <w:rsid w:val="00D034B0"/>
    <w:rsid w:val="00D03869"/>
    <w:rsid w:val="00D212AA"/>
    <w:rsid w:val="00D26503"/>
    <w:rsid w:val="00D3098D"/>
    <w:rsid w:val="00D44E1E"/>
    <w:rsid w:val="00D504AC"/>
    <w:rsid w:val="00D6389C"/>
    <w:rsid w:val="00D66417"/>
    <w:rsid w:val="00D70CB5"/>
    <w:rsid w:val="00D71C7D"/>
    <w:rsid w:val="00D81703"/>
    <w:rsid w:val="00D84F55"/>
    <w:rsid w:val="00D90DD7"/>
    <w:rsid w:val="00D91A08"/>
    <w:rsid w:val="00DA038E"/>
    <w:rsid w:val="00DA09AD"/>
    <w:rsid w:val="00DA3985"/>
    <w:rsid w:val="00DA411D"/>
    <w:rsid w:val="00DB2BEC"/>
    <w:rsid w:val="00DB2E77"/>
    <w:rsid w:val="00DC046D"/>
    <w:rsid w:val="00DC0D9C"/>
    <w:rsid w:val="00DC235B"/>
    <w:rsid w:val="00DC697D"/>
    <w:rsid w:val="00DC75B1"/>
    <w:rsid w:val="00DD310A"/>
    <w:rsid w:val="00DE39B3"/>
    <w:rsid w:val="00DF379E"/>
    <w:rsid w:val="00DF54B2"/>
    <w:rsid w:val="00E024FE"/>
    <w:rsid w:val="00E132FF"/>
    <w:rsid w:val="00E20A4D"/>
    <w:rsid w:val="00E24C41"/>
    <w:rsid w:val="00E30174"/>
    <w:rsid w:val="00E37616"/>
    <w:rsid w:val="00E5075E"/>
    <w:rsid w:val="00E50C2C"/>
    <w:rsid w:val="00E55E05"/>
    <w:rsid w:val="00E564D3"/>
    <w:rsid w:val="00E63302"/>
    <w:rsid w:val="00E65AAA"/>
    <w:rsid w:val="00E67044"/>
    <w:rsid w:val="00E72DEB"/>
    <w:rsid w:val="00E8274B"/>
    <w:rsid w:val="00E83812"/>
    <w:rsid w:val="00E87677"/>
    <w:rsid w:val="00E92131"/>
    <w:rsid w:val="00E94042"/>
    <w:rsid w:val="00EA1CC3"/>
    <w:rsid w:val="00EB154E"/>
    <w:rsid w:val="00EB4F49"/>
    <w:rsid w:val="00EB5799"/>
    <w:rsid w:val="00EC1B6D"/>
    <w:rsid w:val="00EC474F"/>
    <w:rsid w:val="00EC6A03"/>
    <w:rsid w:val="00ED3F56"/>
    <w:rsid w:val="00ED427B"/>
    <w:rsid w:val="00EE5321"/>
    <w:rsid w:val="00EE6E41"/>
    <w:rsid w:val="00EF3836"/>
    <w:rsid w:val="00F05297"/>
    <w:rsid w:val="00F06A27"/>
    <w:rsid w:val="00F07A6A"/>
    <w:rsid w:val="00F12932"/>
    <w:rsid w:val="00F202F7"/>
    <w:rsid w:val="00F208DB"/>
    <w:rsid w:val="00F23A97"/>
    <w:rsid w:val="00F278CA"/>
    <w:rsid w:val="00F3091C"/>
    <w:rsid w:val="00F36189"/>
    <w:rsid w:val="00F41DFC"/>
    <w:rsid w:val="00F47C84"/>
    <w:rsid w:val="00F504C4"/>
    <w:rsid w:val="00F608D9"/>
    <w:rsid w:val="00F608EC"/>
    <w:rsid w:val="00F60C87"/>
    <w:rsid w:val="00F67115"/>
    <w:rsid w:val="00F772AA"/>
    <w:rsid w:val="00F80C1B"/>
    <w:rsid w:val="00F83E91"/>
    <w:rsid w:val="00F84C66"/>
    <w:rsid w:val="00F94909"/>
    <w:rsid w:val="00F95674"/>
    <w:rsid w:val="00FA1273"/>
    <w:rsid w:val="00FA1C87"/>
    <w:rsid w:val="00FA6083"/>
    <w:rsid w:val="00FB2D81"/>
    <w:rsid w:val="00FC1057"/>
    <w:rsid w:val="00FC5F28"/>
    <w:rsid w:val="00FD16BA"/>
    <w:rsid w:val="00FD3C0E"/>
    <w:rsid w:val="00FD56EC"/>
    <w:rsid w:val="00FE1289"/>
    <w:rsid w:val="00FE13A3"/>
    <w:rsid w:val="00FE1D99"/>
    <w:rsid w:val="00FE697D"/>
    <w:rsid w:val="00FE6C6B"/>
    <w:rsid w:val="01FF3263"/>
    <w:rsid w:val="028D5DB7"/>
    <w:rsid w:val="03C417F5"/>
    <w:rsid w:val="08F35E3C"/>
    <w:rsid w:val="0B011895"/>
    <w:rsid w:val="0B0F299D"/>
    <w:rsid w:val="0D8467F8"/>
    <w:rsid w:val="0FBC0EA0"/>
    <w:rsid w:val="110B41ED"/>
    <w:rsid w:val="114E06C3"/>
    <w:rsid w:val="12F01691"/>
    <w:rsid w:val="13813739"/>
    <w:rsid w:val="15722DE1"/>
    <w:rsid w:val="15F708A7"/>
    <w:rsid w:val="166D5A2D"/>
    <w:rsid w:val="16DF9584"/>
    <w:rsid w:val="17DBA397"/>
    <w:rsid w:val="17FFAF59"/>
    <w:rsid w:val="188F17B0"/>
    <w:rsid w:val="19595CA5"/>
    <w:rsid w:val="1CAFCB58"/>
    <w:rsid w:val="1DCF6977"/>
    <w:rsid w:val="1E52580A"/>
    <w:rsid w:val="1ED70052"/>
    <w:rsid w:val="1EFF5A24"/>
    <w:rsid w:val="1FB15CCE"/>
    <w:rsid w:val="1FDF810F"/>
    <w:rsid w:val="1FF5BB0C"/>
    <w:rsid w:val="208F7E51"/>
    <w:rsid w:val="21FC72A6"/>
    <w:rsid w:val="22677BDE"/>
    <w:rsid w:val="23850316"/>
    <w:rsid w:val="274A360B"/>
    <w:rsid w:val="27FD244D"/>
    <w:rsid w:val="291A653B"/>
    <w:rsid w:val="29EF6820"/>
    <w:rsid w:val="29FF158E"/>
    <w:rsid w:val="2ADE61BC"/>
    <w:rsid w:val="2B020B2E"/>
    <w:rsid w:val="2C475FE3"/>
    <w:rsid w:val="2F0B3BF4"/>
    <w:rsid w:val="2F666780"/>
    <w:rsid w:val="2F7FBCDC"/>
    <w:rsid w:val="2FD40A48"/>
    <w:rsid w:val="2FD6EE65"/>
    <w:rsid w:val="2FD94673"/>
    <w:rsid w:val="30E42146"/>
    <w:rsid w:val="335EA73F"/>
    <w:rsid w:val="337902AC"/>
    <w:rsid w:val="33EE5D5B"/>
    <w:rsid w:val="34CA0CFD"/>
    <w:rsid w:val="35397235"/>
    <w:rsid w:val="358BAD56"/>
    <w:rsid w:val="35FEEFC4"/>
    <w:rsid w:val="36154A5C"/>
    <w:rsid w:val="36257395"/>
    <w:rsid w:val="364A96AC"/>
    <w:rsid w:val="367A503A"/>
    <w:rsid w:val="36FF524C"/>
    <w:rsid w:val="37AB1B1C"/>
    <w:rsid w:val="37B7B85E"/>
    <w:rsid w:val="37BB707D"/>
    <w:rsid w:val="37BBEE6D"/>
    <w:rsid w:val="37E87366"/>
    <w:rsid w:val="37EE6635"/>
    <w:rsid w:val="37F048C8"/>
    <w:rsid w:val="37FC73E0"/>
    <w:rsid w:val="38F55204"/>
    <w:rsid w:val="39FEC16E"/>
    <w:rsid w:val="3A9B7D5C"/>
    <w:rsid w:val="3ABF0849"/>
    <w:rsid w:val="3ADF67A4"/>
    <w:rsid w:val="3AFF020E"/>
    <w:rsid w:val="3B4F4141"/>
    <w:rsid w:val="3BBB7D50"/>
    <w:rsid w:val="3BE51B48"/>
    <w:rsid w:val="3BEEE4D4"/>
    <w:rsid w:val="3BF353EE"/>
    <w:rsid w:val="3BF74C8E"/>
    <w:rsid w:val="3BF7C74B"/>
    <w:rsid w:val="3C720B94"/>
    <w:rsid w:val="3CA07C16"/>
    <w:rsid w:val="3DE5AF90"/>
    <w:rsid w:val="3DEF3C08"/>
    <w:rsid w:val="3DF8538F"/>
    <w:rsid w:val="3E774644"/>
    <w:rsid w:val="3E8917EA"/>
    <w:rsid w:val="3EBD52CD"/>
    <w:rsid w:val="3EF5312B"/>
    <w:rsid w:val="3EFF87AC"/>
    <w:rsid w:val="3EFF9CF3"/>
    <w:rsid w:val="3F1FFC70"/>
    <w:rsid w:val="3F6A53F9"/>
    <w:rsid w:val="3F7B8029"/>
    <w:rsid w:val="3F7F02F9"/>
    <w:rsid w:val="3F7F25CA"/>
    <w:rsid w:val="3F935AA1"/>
    <w:rsid w:val="3F97C7EF"/>
    <w:rsid w:val="3FAC2F91"/>
    <w:rsid w:val="3FAE03FB"/>
    <w:rsid w:val="3FDD8B5F"/>
    <w:rsid w:val="3FDFB8EE"/>
    <w:rsid w:val="3FDFE796"/>
    <w:rsid w:val="3FEF1727"/>
    <w:rsid w:val="3FF14C82"/>
    <w:rsid w:val="3FF5E9DB"/>
    <w:rsid w:val="3FF783A2"/>
    <w:rsid w:val="3FFA296B"/>
    <w:rsid w:val="3FFF1FBF"/>
    <w:rsid w:val="41C51100"/>
    <w:rsid w:val="42655F26"/>
    <w:rsid w:val="43CF26EE"/>
    <w:rsid w:val="45844431"/>
    <w:rsid w:val="45BE3148"/>
    <w:rsid w:val="473E02A6"/>
    <w:rsid w:val="47DD4F82"/>
    <w:rsid w:val="47EF8DEF"/>
    <w:rsid w:val="47FFD9E1"/>
    <w:rsid w:val="48871D0C"/>
    <w:rsid w:val="4ADA1B20"/>
    <w:rsid w:val="4B177424"/>
    <w:rsid w:val="4B7A2A9B"/>
    <w:rsid w:val="4CBFF655"/>
    <w:rsid w:val="4CF792EA"/>
    <w:rsid w:val="4D2B04B3"/>
    <w:rsid w:val="4D2E4D33"/>
    <w:rsid w:val="4D341814"/>
    <w:rsid w:val="4EB79E6A"/>
    <w:rsid w:val="4F5F5E36"/>
    <w:rsid w:val="4F7C4188"/>
    <w:rsid w:val="4FD6E0F1"/>
    <w:rsid w:val="4FFE3142"/>
    <w:rsid w:val="50854189"/>
    <w:rsid w:val="516FE6CA"/>
    <w:rsid w:val="51EA50D1"/>
    <w:rsid w:val="52816F9E"/>
    <w:rsid w:val="532FEC94"/>
    <w:rsid w:val="53C3C782"/>
    <w:rsid w:val="54FE7770"/>
    <w:rsid w:val="555DDF97"/>
    <w:rsid w:val="558903D1"/>
    <w:rsid w:val="56536C68"/>
    <w:rsid w:val="56EB717C"/>
    <w:rsid w:val="570879E4"/>
    <w:rsid w:val="578EACAC"/>
    <w:rsid w:val="57A6E917"/>
    <w:rsid w:val="57EB2056"/>
    <w:rsid w:val="57FA04F4"/>
    <w:rsid w:val="57FD96BD"/>
    <w:rsid w:val="59BFBBB0"/>
    <w:rsid w:val="5B9E9E3B"/>
    <w:rsid w:val="5BD51229"/>
    <w:rsid w:val="5BD7FE54"/>
    <w:rsid w:val="5BFB4015"/>
    <w:rsid w:val="5CB87EC4"/>
    <w:rsid w:val="5D5850AB"/>
    <w:rsid w:val="5D6E4A33"/>
    <w:rsid w:val="5D7C46AA"/>
    <w:rsid w:val="5DD6DB7E"/>
    <w:rsid w:val="5DFFC3BB"/>
    <w:rsid w:val="5DFFF6E1"/>
    <w:rsid w:val="5EBFD916"/>
    <w:rsid w:val="5F777467"/>
    <w:rsid w:val="5F7791C5"/>
    <w:rsid w:val="5F954E7A"/>
    <w:rsid w:val="5F9BF511"/>
    <w:rsid w:val="5FEF34BC"/>
    <w:rsid w:val="5FEF47F1"/>
    <w:rsid w:val="5FF7673B"/>
    <w:rsid w:val="5FFE29FF"/>
    <w:rsid w:val="63F765F6"/>
    <w:rsid w:val="63F7A45A"/>
    <w:rsid w:val="63FDD635"/>
    <w:rsid w:val="65FC1649"/>
    <w:rsid w:val="66DFBFB5"/>
    <w:rsid w:val="66FA11AC"/>
    <w:rsid w:val="673E4899"/>
    <w:rsid w:val="673EBC43"/>
    <w:rsid w:val="6777FD2A"/>
    <w:rsid w:val="67926E2C"/>
    <w:rsid w:val="67FD17DF"/>
    <w:rsid w:val="6888113E"/>
    <w:rsid w:val="689E09BC"/>
    <w:rsid w:val="697D17B5"/>
    <w:rsid w:val="69DF6F8E"/>
    <w:rsid w:val="6BBDC8AD"/>
    <w:rsid w:val="6BD91127"/>
    <w:rsid w:val="6BDFC2D9"/>
    <w:rsid w:val="6BFFD0C5"/>
    <w:rsid w:val="6CE7EE55"/>
    <w:rsid w:val="6DA68AE3"/>
    <w:rsid w:val="6E8A2477"/>
    <w:rsid w:val="6ECDC832"/>
    <w:rsid w:val="6F062BB9"/>
    <w:rsid w:val="6F439BF9"/>
    <w:rsid w:val="6F7DF847"/>
    <w:rsid w:val="6FEF3880"/>
    <w:rsid w:val="6FF9563A"/>
    <w:rsid w:val="6FFBD74D"/>
    <w:rsid w:val="71DF7E78"/>
    <w:rsid w:val="72BF22DA"/>
    <w:rsid w:val="732EA174"/>
    <w:rsid w:val="73BEF022"/>
    <w:rsid w:val="73EC1EA5"/>
    <w:rsid w:val="73FCD214"/>
    <w:rsid w:val="74602F47"/>
    <w:rsid w:val="74E50B73"/>
    <w:rsid w:val="7577657B"/>
    <w:rsid w:val="757FF5FC"/>
    <w:rsid w:val="76174113"/>
    <w:rsid w:val="766EE813"/>
    <w:rsid w:val="76F4F752"/>
    <w:rsid w:val="76FB9578"/>
    <w:rsid w:val="771B40B1"/>
    <w:rsid w:val="77299DAE"/>
    <w:rsid w:val="77752549"/>
    <w:rsid w:val="777EDA04"/>
    <w:rsid w:val="77A65AD6"/>
    <w:rsid w:val="77CBEDDD"/>
    <w:rsid w:val="77EF0B14"/>
    <w:rsid w:val="77F72005"/>
    <w:rsid w:val="77FBC2B9"/>
    <w:rsid w:val="77FFA413"/>
    <w:rsid w:val="78127733"/>
    <w:rsid w:val="78590270"/>
    <w:rsid w:val="787F0893"/>
    <w:rsid w:val="79786DA9"/>
    <w:rsid w:val="797B538C"/>
    <w:rsid w:val="79BFB31A"/>
    <w:rsid w:val="79EE94E8"/>
    <w:rsid w:val="79F72413"/>
    <w:rsid w:val="79FD41CE"/>
    <w:rsid w:val="79FFAF52"/>
    <w:rsid w:val="79FFFA71"/>
    <w:rsid w:val="7A2F4205"/>
    <w:rsid w:val="7A9E58A2"/>
    <w:rsid w:val="7ACB0956"/>
    <w:rsid w:val="7B292E99"/>
    <w:rsid w:val="7B54ADB5"/>
    <w:rsid w:val="7BBF27FC"/>
    <w:rsid w:val="7BC7F16A"/>
    <w:rsid w:val="7BF70082"/>
    <w:rsid w:val="7BF73EE1"/>
    <w:rsid w:val="7BFE19B2"/>
    <w:rsid w:val="7CEF0463"/>
    <w:rsid w:val="7D57525D"/>
    <w:rsid w:val="7D5E6A84"/>
    <w:rsid w:val="7D77A5C2"/>
    <w:rsid w:val="7D904A51"/>
    <w:rsid w:val="7DAA27E9"/>
    <w:rsid w:val="7DAF082E"/>
    <w:rsid w:val="7DBDC5DD"/>
    <w:rsid w:val="7DDEDC3D"/>
    <w:rsid w:val="7DDF996B"/>
    <w:rsid w:val="7DF00F37"/>
    <w:rsid w:val="7DFDD61D"/>
    <w:rsid w:val="7E5FC689"/>
    <w:rsid w:val="7E7F069C"/>
    <w:rsid w:val="7EB4ACCB"/>
    <w:rsid w:val="7ECFB2D6"/>
    <w:rsid w:val="7EF93499"/>
    <w:rsid w:val="7EFBEB5E"/>
    <w:rsid w:val="7F3B7255"/>
    <w:rsid w:val="7F6FC8EA"/>
    <w:rsid w:val="7F761695"/>
    <w:rsid w:val="7F7F056D"/>
    <w:rsid w:val="7F7F0DB9"/>
    <w:rsid w:val="7F8DE503"/>
    <w:rsid w:val="7F9748CE"/>
    <w:rsid w:val="7FA52FD6"/>
    <w:rsid w:val="7FADE0B4"/>
    <w:rsid w:val="7FB11E58"/>
    <w:rsid w:val="7FBBEA70"/>
    <w:rsid w:val="7FBF1A65"/>
    <w:rsid w:val="7FBF3748"/>
    <w:rsid w:val="7FBFC4D8"/>
    <w:rsid w:val="7FDF7338"/>
    <w:rsid w:val="7FDFA0D5"/>
    <w:rsid w:val="7FDFEF94"/>
    <w:rsid w:val="7FF3FC7C"/>
    <w:rsid w:val="7FF6A62A"/>
    <w:rsid w:val="7FF75A31"/>
    <w:rsid w:val="7FF7B2E5"/>
    <w:rsid w:val="7FF8B9E5"/>
    <w:rsid w:val="7FFB13EE"/>
    <w:rsid w:val="7FFC5351"/>
    <w:rsid w:val="7FFD0327"/>
    <w:rsid w:val="7FFD3531"/>
    <w:rsid w:val="7FFE8734"/>
    <w:rsid w:val="7FFEFC7B"/>
    <w:rsid w:val="7FFF024C"/>
    <w:rsid w:val="7FFFBBC8"/>
    <w:rsid w:val="7FFFC0B7"/>
    <w:rsid w:val="7FFFC3AC"/>
    <w:rsid w:val="86FB1943"/>
    <w:rsid w:val="95FBC3A9"/>
    <w:rsid w:val="99BD71CE"/>
    <w:rsid w:val="9FAC5940"/>
    <w:rsid w:val="9FB795F7"/>
    <w:rsid w:val="9FD61BD6"/>
    <w:rsid w:val="9FDF4DD0"/>
    <w:rsid w:val="A769E3C1"/>
    <w:rsid w:val="A7E38C62"/>
    <w:rsid w:val="A7FB776D"/>
    <w:rsid w:val="A7FDAC38"/>
    <w:rsid w:val="ABABF222"/>
    <w:rsid w:val="ABB72248"/>
    <w:rsid w:val="ABFEA10E"/>
    <w:rsid w:val="AD7EEE30"/>
    <w:rsid w:val="ADEB3298"/>
    <w:rsid w:val="AF9F92F3"/>
    <w:rsid w:val="AFB812CE"/>
    <w:rsid w:val="AFDCE0D0"/>
    <w:rsid w:val="AFFA9CB6"/>
    <w:rsid w:val="B1AAABFE"/>
    <w:rsid w:val="B37FBB8E"/>
    <w:rsid w:val="B3FC29AB"/>
    <w:rsid w:val="B3FD2097"/>
    <w:rsid w:val="B3FE0E48"/>
    <w:rsid w:val="B5F68085"/>
    <w:rsid w:val="B7DCFEB7"/>
    <w:rsid w:val="B7EF4839"/>
    <w:rsid w:val="B7F56B88"/>
    <w:rsid w:val="B7FDF3A4"/>
    <w:rsid w:val="B95774C7"/>
    <w:rsid w:val="B9BF9C49"/>
    <w:rsid w:val="BA540113"/>
    <w:rsid w:val="BA7EF8A3"/>
    <w:rsid w:val="BAF48763"/>
    <w:rsid w:val="BBE78239"/>
    <w:rsid w:val="BBFB9DE3"/>
    <w:rsid w:val="BCF69475"/>
    <w:rsid w:val="BD3D8E61"/>
    <w:rsid w:val="BD5BD740"/>
    <w:rsid w:val="BDCFD3CE"/>
    <w:rsid w:val="BDDF0635"/>
    <w:rsid w:val="BDDF1223"/>
    <w:rsid w:val="BE5F681E"/>
    <w:rsid w:val="BE73B64E"/>
    <w:rsid w:val="BEBEF924"/>
    <w:rsid w:val="BED7A089"/>
    <w:rsid w:val="BEDDA45C"/>
    <w:rsid w:val="BF553311"/>
    <w:rsid w:val="BF6697F6"/>
    <w:rsid w:val="BF6F7B18"/>
    <w:rsid w:val="BF97BA53"/>
    <w:rsid w:val="BFC57D1B"/>
    <w:rsid w:val="BFDFCE6E"/>
    <w:rsid w:val="BFE5C4F4"/>
    <w:rsid w:val="BFEB8066"/>
    <w:rsid w:val="BFEF3067"/>
    <w:rsid w:val="BFEF5606"/>
    <w:rsid w:val="BFF3C58D"/>
    <w:rsid w:val="BFF54936"/>
    <w:rsid w:val="BFF6D17A"/>
    <w:rsid w:val="BFFB18EA"/>
    <w:rsid w:val="C56DBE1D"/>
    <w:rsid w:val="C6FF2B5C"/>
    <w:rsid w:val="C73D276D"/>
    <w:rsid w:val="CDED6F01"/>
    <w:rsid w:val="CDEF232D"/>
    <w:rsid w:val="CF670C17"/>
    <w:rsid w:val="CF6F8EE2"/>
    <w:rsid w:val="CF6F91B4"/>
    <w:rsid w:val="CFEE9801"/>
    <w:rsid w:val="CFF66894"/>
    <w:rsid w:val="CFFFDB2E"/>
    <w:rsid w:val="D3F33426"/>
    <w:rsid w:val="D3FBC081"/>
    <w:rsid w:val="D43767AA"/>
    <w:rsid w:val="D77DC63D"/>
    <w:rsid w:val="D7EFC69D"/>
    <w:rsid w:val="D8D1AEA1"/>
    <w:rsid w:val="D96F4C10"/>
    <w:rsid w:val="DAFF67E7"/>
    <w:rsid w:val="DBDDFCEE"/>
    <w:rsid w:val="DBF9752C"/>
    <w:rsid w:val="DBFEE9B2"/>
    <w:rsid w:val="DD73702A"/>
    <w:rsid w:val="DDEE993E"/>
    <w:rsid w:val="DDFC42C2"/>
    <w:rsid w:val="DECFDE9F"/>
    <w:rsid w:val="DEF72424"/>
    <w:rsid w:val="DEFFC177"/>
    <w:rsid w:val="DF73D73F"/>
    <w:rsid w:val="DF7EAC4F"/>
    <w:rsid w:val="DF9C70F4"/>
    <w:rsid w:val="DFD5D7E8"/>
    <w:rsid w:val="DFE7A4FF"/>
    <w:rsid w:val="DFEE3358"/>
    <w:rsid w:val="DFEFFB5A"/>
    <w:rsid w:val="DFF5AC6E"/>
    <w:rsid w:val="DFFA3D0E"/>
    <w:rsid w:val="DFFB206D"/>
    <w:rsid w:val="DFFE6EDE"/>
    <w:rsid w:val="E2D90D95"/>
    <w:rsid w:val="E3DB50AE"/>
    <w:rsid w:val="E4FF1758"/>
    <w:rsid w:val="E77BD1CF"/>
    <w:rsid w:val="E77F0DA7"/>
    <w:rsid w:val="E77F67E7"/>
    <w:rsid w:val="E7AD8275"/>
    <w:rsid w:val="E87E8EBB"/>
    <w:rsid w:val="E8AF04AC"/>
    <w:rsid w:val="E94F3465"/>
    <w:rsid w:val="E9FF0868"/>
    <w:rsid w:val="EA7FBD48"/>
    <w:rsid w:val="EB2A3D71"/>
    <w:rsid w:val="EB758F6B"/>
    <w:rsid w:val="EBEFC1F1"/>
    <w:rsid w:val="EBF971F6"/>
    <w:rsid w:val="EBFED7DC"/>
    <w:rsid w:val="EBFEEE47"/>
    <w:rsid w:val="ECDF3AC5"/>
    <w:rsid w:val="EDBDF1AD"/>
    <w:rsid w:val="EDBF9F75"/>
    <w:rsid w:val="EDF3E961"/>
    <w:rsid w:val="EDFE5068"/>
    <w:rsid w:val="EEFFAAA6"/>
    <w:rsid w:val="EF2FB8F4"/>
    <w:rsid w:val="EF6F03BE"/>
    <w:rsid w:val="EF736FD3"/>
    <w:rsid w:val="EF7713BC"/>
    <w:rsid w:val="EF7F417A"/>
    <w:rsid w:val="EF973AE5"/>
    <w:rsid w:val="EFBB9AC4"/>
    <w:rsid w:val="EFBFD9FA"/>
    <w:rsid w:val="EFDED487"/>
    <w:rsid w:val="EFDF5938"/>
    <w:rsid w:val="EFEE37B2"/>
    <w:rsid w:val="EFF3930B"/>
    <w:rsid w:val="EFFF8823"/>
    <w:rsid w:val="EFFF9230"/>
    <w:rsid w:val="F0BDD70E"/>
    <w:rsid w:val="F125DE8B"/>
    <w:rsid w:val="F1F75DE7"/>
    <w:rsid w:val="F1F7633B"/>
    <w:rsid w:val="F377B58F"/>
    <w:rsid w:val="F3FF26B7"/>
    <w:rsid w:val="F46F142C"/>
    <w:rsid w:val="F4AACC31"/>
    <w:rsid w:val="F4EFDCE7"/>
    <w:rsid w:val="F5792B4C"/>
    <w:rsid w:val="F5BB0229"/>
    <w:rsid w:val="F67E92EC"/>
    <w:rsid w:val="F6BF70A2"/>
    <w:rsid w:val="F6DF725F"/>
    <w:rsid w:val="F6EB27AD"/>
    <w:rsid w:val="F6EF7C68"/>
    <w:rsid w:val="F6FE8EEE"/>
    <w:rsid w:val="F71E1EE6"/>
    <w:rsid w:val="F7477B11"/>
    <w:rsid w:val="F74E4492"/>
    <w:rsid w:val="F77561BD"/>
    <w:rsid w:val="F77F8755"/>
    <w:rsid w:val="F78A6372"/>
    <w:rsid w:val="F79F7369"/>
    <w:rsid w:val="F7AFDB1F"/>
    <w:rsid w:val="F7BB5392"/>
    <w:rsid w:val="F7E71663"/>
    <w:rsid w:val="F7E76B97"/>
    <w:rsid w:val="F7FAC562"/>
    <w:rsid w:val="F7FF34D6"/>
    <w:rsid w:val="F7FF5358"/>
    <w:rsid w:val="F7FF8628"/>
    <w:rsid w:val="F7FFF0A5"/>
    <w:rsid w:val="F87F9F0B"/>
    <w:rsid w:val="F8CE78E3"/>
    <w:rsid w:val="F8D5AA1E"/>
    <w:rsid w:val="F8FE844D"/>
    <w:rsid w:val="F9DB253D"/>
    <w:rsid w:val="F9FEFD22"/>
    <w:rsid w:val="F9FF2AE7"/>
    <w:rsid w:val="FAE4446B"/>
    <w:rsid w:val="FAF5A80D"/>
    <w:rsid w:val="FAFF0FB3"/>
    <w:rsid w:val="FB616C94"/>
    <w:rsid w:val="FB6F6938"/>
    <w:rsid w:val="FBAA4FAC"/>
    <w:rsid w:val="FBBC5073"/>
    <w:rsid w:val="FBDB4B00"/>
    <w:rsid w:val="FBDEB54D"/>
    <w:rsid w:val="FBF59216"/>
    <w:rsid w:val="FBFBDE1A"/>
    <w:rsid w:val="FBFC5C9E"/>
    <w:rsid w:val="FBFE20BF"/>
    <w:rsid w:val="FCBDC3D4"/>
    <w:rsid w:val="FCCEB26F"/>
    <w:rsid w:val="FD256DFF"/>
    <w:rsid w:val="FD579CCF"/>
    <w:rsid w:val="FD5EFC4F"/>
    <w:rsid w:val="FDDF02A6"/>
    <w:rsid w:val="FDECB3D5"/>
    <w:rsid w:val="FDF752B7"/>
    <w:rsid w:val="FDFEC8E7"/>
    <w:rsid w:val="FE3E4B2E"/>
    <w:rsid w:val="FE7571C7"/>
    <w:rsid w:val="FE7DE30A"/>
    <w:rsid w:val="FE7FF568"/>
    <w:rsid w:val="FE857F65"/>
    <w:rsid w:val="FE8F4C0B"/>
    <w:rsid w:val="FE9F6BE9"/>
    <w:rsid w:val="FEAF20DA"/>
    <w:rsid w:val="FEC2BA8D"/>
    <w:rsid w:val="FED57DEF"/>
    <w:rsid w:val="FEDE59BE"/>
    <w:rsid w:val="FEEB2F13"/>
    <w:rsid w:val="FEEF0BF7"/>
    <w:rsid w:val="FEFB7C3E"/>
    <w:rsid w:val="FEFBBA43"/>
    <w:rsid w:val="FEFDE3EF"/>
    <w:rsid w:val="FEFE509D"/>
    <w:rsid w:val="FF5A8EE6"/>
    <w:rsid w:val="FF5FEE1A"/>
    <w:rsid w:val="FF671A96"/>
    <w:rsid w:val="FF7D4E69"/>
    <w:rsid w:val="FF7E6764"/>
    <w:rsid w:val="FF7F08F8"/>
    <w:rsid w:val="FF7F9459"/>
    <w:rsid w:val="FF81D7C1"/>
    <w:rsid w:val="FF9B8F8E"/>
    <w:rsid w:val="FFB77DCB"/>
    <w:rsid w:val="FFBA2DFF"/>
    <w:rsid w:val="FFBDD979"/>
    <w:rsid w:val="FFBF7D28"/>
    <w:rsid w:val="FFBF8653"/>
    <w:rsid w:val="FFC7EFF9"/>
    <w:rsid w:val="FFCBA83E"/>
    <w:rsid w:val="FFCDF714"/>
    <w:rsid w:val="FFDDA63F"/>
    <w:rsid w:val="FFDF234D"/>
    <w:rsid w:val="FFE7C6D1"/>
    <w:rsid w:val="FFECFFB8"/>
    <w:rsid w:val="FFEE43F2"/>
    <w:rsid w:val="FFEFC708"/>
    <w:rsid w:val="FFEFEEDF"/>
    <w:rsid w:val="FFF72AE0"/>
    <w:rsid w:val="FFF95B43"/>
    <w:rsid w:val="FFFB0B92"/>
    <w:rsid w:val="FFFB0BE0"/>
    <w:rsid w:val="FFFBFACD"/>
    <w:rsid w:val="FFFC9D8A"/>
    <w:rsid w:val="FFFD111D"/>
    <w:rsid w:val="FFFE8C5F"/>
    <w:rsid w:val="FFFEFEA4"/>
    <w:rsid w:val="FFFF50AC"/>
    <w:rsid w:val="FFFF5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0"/>
    <w:autoRedefine/>
    <w:unhideWhenUsed/>
    <w:qFormat/>
    <w:uiPriority w:val="0"/>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autoRedefine/>
    <w:unhideWhenUsed/>
    <w:qFormat/>
    <w:uiPriority w:val="9"/>
    <w:pPr>
      <w:spacing w:before="100" w:beforeAutospacing="1" w:after="100" w:afterAutospacing="1"/>
      <w:jc w:val="left"/>
      <w:outlineLvl w:val="2"/>
    </w:pPr>
    <w:rPr>
      <w:rFonts w:hint="eastAsia" w:ascii="宋体" w:hAnsi="宋体"/>
      <w:b/>
      <w:bCs/>
      <w:kern w:val="0"/>
      <w:sz w:val="27"/>
      <w:szCs w:val="27"/>
    </w:rPr>
  </w:style>
  <w:style w:type="paragraph" w:styleId="4">
    <w:name w:val="heading 4"/>
    <w:basedOn w:val="1"/>
    <w:next w:val="1"/>
    <w:autoRedefine/>
    <w:semiHidden/>
    <w:unhideWhenUsed/>
    <w:qFormat/>
    <w:uiPriority w:val="9"/>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autoRedefine/>
    <w:qFormat/>
    <w:uiPriority w:val="0"/>
    <w:rPr>
      <w:rFonts w:ascii="Cambria" w:hAnsi="Cambria" w:eastAsia="黑体"/>
      <w:sz w:val="20"/>
      <w:szCs w:val="20"/>
    </w:rPr>
  </w:style>
  <w:style w:type="paragraph" w:styleId="6">
    <w:name w:val="annotation text"/>
    <w:basedOn w:val="1"/>
    <w:link w:val="32"/>
    <w:autoRedefine/>
    <w:unhideWhenUsed/>
    <w:qFormat/>
    <w:uiPriority w:val="99"/>
    <w:pPr>
      <w:jc w:val="left"/>
    </w:pPr>
  </w:style>
  <w:style w:type="paragraph" w:styleId="7">
    <w:name w:val="Balloon Text"/>
    <w:basedOn w:val="1"/>
    <w:link w:val="21"/>
    <w:autoRedefine/>
    <w:unhideWhenUsed/>
    <w:qFormat/>
    <w:uiPriority w:val="99"/>
    <w:rPr>
      <w:kern w:val="0"/>
      <w:sz w:val="18"/>
      <w:szCs w:val="18"/>
    </w:rPr>
  </w:style>
  <w:style w:type="paragraph" w:styleId="8">
    <w:name w:val="footer"/>
    <w:basedOn w:val="1"/>
    <w:link w:val="22"/>
    <w:autoRedefine/>
    <w:qFormat/>
    <w:uiPriority w:val="99"/>
    <w:pPr>
      <w:tabs>
        <w:tab w:val="center" w:pos="4153"/>
        <w:tab w:val="right" w:pos="8306"/>
      </w:tabs>
      <w:wordWrap w:val="0"/>
      <w:snapToGrid w:val="0"/>
      <w:ind w:right="83"/>
      <w:jc w:val="right"/>
    </w:pPr>
    <w:rPr>
      <w:kern w:val="0"/>
      <w:sz w:val="28"/>
      <w:szCs w:val="28"/>
    </w:rPr>
  </w:style>
  <w:style w:type="paragraph" w:styleId="9">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rPr>
      <w:sz w:val="24"/>
    </w:rPr>
  </w:style>
  <w:style w:type="paragraph" w:styleId="11">
    <w:name w:val="annotation subject"/>
    <w:basedOn w:val="6"/>
    <w:next w:val="6"/>
    <w:link w:val="33"/>
    <w:autoRedefine/>
    <w:semiHidden/>
    <w:unhideWhenUsed/>
    <w:qFormat/>
    <w:uiPriority w:val="99"/>
    <w:rPr>
      <w:b/>
      <w:bCs/>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rPr>
  </w:style>
  <w:style w:type="character" w:styleId="16">
    <w:name w:val="page number"/>
    <w:basedOn w:val="14"/>
    <w:autoRedefine/>
    <w:qFormat/>
    <w:uiPriority w:val="0"/>
  </w:style>
  <w:style w:type="character" w:styleId="17">
    <w:name w:val="line number"/>
    <w:basedOn w:val="14"/>
    <w:semiHidden/>
    <w:unhideWhenUsed/>
    <w:uiPriority w:val="99"/>
  </w:style>
  <w:style w:type="character" w:styleId="18">
    <w:name w:val="annotation reference"/>
    <w:autoRedefine/>
    <w:unhideWhenUsed/>
    <w:qFormat/>
    <w:uiPriority w:val="99"/>
    <w:rPr>
      <w:sz w:val="21"/>
      <w:szCs w:val="21"/>
    </w:rPr>
  </w:style>
  <w:style w:type="paragraph" w:styleId="19">
    <w:name w:val="No Spacing"/>
    <w:autoRedefine/>
    <w:qFormat/>
    <w:uiPriority w:val="0"/>
    <w:pPr>
      <w:adjustRightInd w:val="0"/>
      <w:snapToGrid w:val="0"/>
    </w:pPr>
    <w:rPr>
      <w:rFonts w:ascii="Tahoma" w:hAnsi="Tahoma" w:eastAsia="微软雅黑" w:cs="Times New Roman"/>
      <w:sz w:val="22"/>
      <w:szCs w:val="22"/>
      <w:lang w:val="en-US" w:eastAsia="zh-CN" w:bidi="ar-SA"/>
    </w:rPr>
  </w:style>
  <w:style w:type="character" w:customStyle="1" w:styleId="20">
    <w:name w:val="标题 2 字符"/>
    <w:link w:val="2"/>
    <w:autoRedefine/>
    <w:semiHidden/>
    <w:qFormat/>
    <w:uiPriority w:val="0"/>
    <w:rPr>
      <w:rFonts w:ascii="Cambria" w:hAnsi="Cambria" w:eastAsia="宋体" w:cs="Times New Roman"/>
      <w:b/>
      <w:bCs/>
      <w:sz w:val="32"/>
      <w:szCs w:val="32"/>
    </w:rPr>
  </w:style>
  <w:style w:type="character" w:customStyle="1" w:styleId="21">
    <w:name w:val="批注框文本 字符"/>
    <w:link w:val="7"/>
    <w:autoRedefine/>
    <w:semiHidden/>
    <w:qFormat/>
    <w:uiPriority w:val="99"/>
    <w:rPr>
      <w:rFonts w:ascii="Times New Roman" w:hAnsi="Times New Roman" w:eastAsia="宋体" w:cs="Times New Roman"/>
      <w:sz w:val="18"/>
      <w:szCs w:val="18"/>
    </w:rPr>
  </w:style>
  <w:style w:type="character" w:customStyle="1" w:styleId="22">
    <w:name w:val="页脚 字符"/>
    <w:link w:val="8"/>
    <w:autoRedefine/>
    <w:qFormat/>
    <w:uiPriority w:val="99"/>
    <w:rPr>
      <w:sz w:val="28"/>
      <w:szCs w:val="28"/>
    </w:rPr>
  </w:style>
  <w:style w:type="character" w:customStyle="1" w:styleId="23">
    <w:name w:val="页眉 字符"/>
    <w:link w:val="9"/>
    <w:autoRedefine/>
    <w:qFormat/>
    <w:uiPriority w:val="99"/>
    <w:rPr>
      <w:rFonts w:ascii="Times New Roman" w:hAnsi="Times New Roman"/>
      <w:kern w:val="2"/>
      <w:sz w:val="18"/>
      <w:szCs w:val="18"/>
    </w:rPr>
  </w:style>
  <w:style w:type="character" w:customStyle="1" w:styleId="24">
    <w:name w:val="f101"/>
    <w:autoRedefine/>
    <w:qFormat/>
    <w:uiPriority w:val="0"/>
    <w:rPr>
      <w:spacing w:val="500"/>
      <w:sz w:val="24"/>
      <w:szCs w:val="24"/>
    </w:rPr>
  </w:style>
  <w:style w:type="paragraph" w:customStyle="1" w:styleId="25">
    <w:name w:val="王奕，内文"/>
    <w:basedOn w:val="10"/>
    <w:link w:val="26"/>
    <w:autoRedefine/>
    <w:qFormat/>
    <w:uiPriority w:val="0"/>
    <w:pPr>
      <w:widowControl/>
      <w:spacing w:line="360" w:lineRule="auto"/>
    </w:pPr>
    <w:rPr>
      <w:color w:val="000000"/>
      <w:kern w:val="0"/>
    </w:rPr>
  </w:style>
  <w:style w:type="character" w:customStyle="1" w:styleId="26">
    <w:name w:val="王奕，内文 Char"/>
    <w:link w:val="25"/>
    <w:autoRedefine/>
    <w:qFormat/>
    <w:uiPriority w:val="0"/>
    <w:rPr>
      <w:rFonts w:ascii="Times New Roman" w:hAnsi="Times New Roman" w:eastAsia="宋体" w:cs="MS Shell Dlg"/>
      <w:color w:val="000000"/>
      <w:kern w:val="0"/>
      <w:sz w:val="24"/>
      <w:szCs w:val="24"/>
    </w:rPr>
  </w:style>
  <w:style w:type="paragraph" w:customStyle="1" w:styleId="27">
    <w:name w:val="王奕改内文"/>
    <w:basedOn w:val="25"/>
    <w:link w:val="28"/>
    <w:autoRedefine/>
    <w:qFormat/>
    <w:uiPriority w:val="0"/>
    <w:pPr>
      <w:ind w:firstLine="200" w:firstLineChars="200"/>
    </w:pPr>
    <w:rPr>
      <w:rFonts w:ascii="宋体" w:hAnsi="宋体"/>
      <w:spacing w:val="-4"/>
    </w:rPr>
  </w:style>
  <w:style w:type="character" w:customStyle="1" w:styleId="28">
    <w:name w:val="王奕改内文 Char"/>
    <w:link w:val="27"/>
    <w:autoRedefine/>
    <w:qFormat/>
    <w:uiPriority w:val="0"/>
    <w:rPr>
      <w:rFonts w:ascii="宋体" w:hAnsi="宋体" w:eastAsia="宋体" w:cs="MS Shell Dlg"/>
      <w:color w:val="000000"/>
      <w:spacing w:val="-4"/>
      <w:kern w:val="0"/>
      <w:sz w:val="24"/>
      <w:szCs w:val="24"/>
    </w:rPr>
  </w:style>
  <w:style w:type="paragraph" w:customStyle="1" w:styleId="29">
    <w:name w:val="王奕，三级标题"/>
    <w:basedOn w:val="25"/>
    <w:link w:val="30"/>
    <w:autoRedefine/>
    <w:qFormat/>
    <w:uiPriority w:val="0"/>
    <w:pPr>
      <w:ind w:firstLine="300" w:firstLineChars="300"/>
    </w:pPr>
    <w:rPr>
      <w:b/>
      <w:sz w:val="28"/>
      <w:szCs w:val="28"/>
    </w:rPr>
  </w:style>
  <w:style w:type="character" w:customStyle="1" w:styleId="30">
    <w:name w:val="王奕，三级标题 Char"/>
    <w:link w:val="29"/>
    <w:autoRedefine/>
    <w:qFormat/>
    <w:uiPriority w:val="0"/>
    <w:rPr>
      <w:rFonts w:ascii="Times New Roman" w:hAnsi="Times New Roman" w:eastAsia="宋体" w:cs="MS Shell Dlg"/>
      <w:b/>
      <w:color w:val="000000"/>
      <w:kern w:val="0"/>
      <w:sz w:val="28"/>
      <w:szCs w:val="28"/>
    </w:rPr>
  </w:style>
  <w:style w:type="paragraph" w:customStyle="1" w:styleId="31">
    <w:name w:val="列出段落2"/>
    <w:basedOn w:val="1"/>
    <w:autoRedefine/>
    <w:qFormat/>
    <w:uiPriority w:val="99"/>
    <w:pPr>
      <w:ind w:firstLine="420" w:firstLineChars="200"/>
    </w:pPr>
    <w:rPr>
      <w:rFonts w:ascii="Calibri" w:hAnsi="Calibri"/>
      <w:szCs w:val="22"/>
    </w:rPr>
  </w:style>
  <w:style w:type="character" w:customStyle="1" w:styleId="32">
    <w:name w:val="批注文字 字符"/>
    <w:basedOn w:val="14"/>
    <w:link w:val="6"/>
    <w:autoRedefine/>
    <w:qFormat/>
    <w:uiPriority w:val="99"/>
    <w:rPr>
      <w:kern w:val="2"/>
      <w:sz w:val="21"/>
      <w:szCs w:val="24"/>
    </w:rPr>
  </w:style>
  <w:style w:type="character" w:customStyle="1" w:styleId="33">
    <w:name w:val="批注主题 字符"/>
    <w:basedOn w:val="32"/>
    <w:link w:val="11"/>
    <w:autoRedefine/>
    <w:semiHidden/>
    <w:qFormat/>
    <w:uiPriority w:val="99"/>
    <w:rPr>
      <w:b/>
      <w:bCs/>
      <w:kern w:val="2"/>
      <w:sz w:val="21"/>
      <w:szCs w:val="24"/>
    </w:rPr>
  </w:style>
  <w:style w:type="paragraph" w:customStyle="1" w:styleId="34">
    <w:name w:val="修订1"/>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Company>
  <Pages>17</Pages>
  <Words>7412</Words>
  <Characters>8033</Characters>
  <Lines>423</Lines>
  <Paragraphs>336</Paragraphs>
  <TotalTime>31</TotalTime>
  <ScaleCrop>false</ScaleCrop>
  <LinksUpToDate>false</LinksUpToDate>
  <CharactersWithSpaces>8086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2026-03-30T09:18:00Z</dcterms:created>
  <dc:creator>孙旭颖</dc:creator>
  <cp:lastModifiedBy>JiLi</cp:lastModifiedBy>
  <cp:lastPrinted>2016-02-17T09:53:00Z</cp:lastPrinted>
  <dcterms:modified xsi:type="dcterms:W3CDTF">2026-07-27T09:16:38Z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AD4ECB36861B4220BB8AC7383AC06DEF_13</vt:lpwstr>
  </property>
  <property fmtid="{D5CDD505-2E9C-101B-9397-08002B2CF9AE}" pid="4" name="KSOTemplateDocerSaveRecord">
    <vt:lpwstr>eyJoZGlkIjoiMjcwYjQ0MThjNWEzYTNlMzAyMDZjMTViNGQ5ZWY0YjEiLCJ1c2VySWQiOiI1OTg2OTQ0MDIifQ==</vt:lpwstr>
  </property>
</Properties>
</file>