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3973AE">
      <w:pPr>
        <w:spacing w:line="520"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生殖道分泌物分析仪器注册审查</w:t>
      </w:r>
      <w:r>
        <w:rPr>
          <w:rFonts w:ascii="方正小标宋简体" w:hAnsi="宋体" w:eastAsia="方正小标宋简体" w:cs="方正小标宋简体"/>
          <w:sz w:val="44"/>
          <w:szCs w:val="44"/>
        </w:rPr>
        <w:t>指导原则</w:t>
      </w:r>
    </w:p>
    <w:p w14:paraId="71ABE86B">
      <w:pPr>
        <w:spacing w:line="520"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（征求意见稿）</w:t>
      </w:r>
    </w:p>
    <w:p w14:paraId="2E0418B1">
      <w:pPr>
        <w:spacing w:line="600" w:lineRule="exact"/>
        <w:jc w:val="center"/>
        <w:rPr>
          <w:rFonts w:eastAsia="楷体_GB2312"/>
          <w:color w:val="000000"/>
          <w:sz w:val="32"/>
          <w:szCs w:val="28"/>
        </w:rPr>
      </w:pPr>
    </w:p>
    <w:p w14:paraId="17A6532E">
      <w:pPr>
        <w:spacing w:line="520" w:lineRule="exact"/>
        <w:ind w:firstLine="640" w:firstLineChars="200"/>
        <w:rPr>
          <w:rFonts w:eastAsia="仿宋_GB2312"/>
          <w:sz w:val="32"/>
          <w:szCs w:val="32"/>
        </w:rPr>
      </w:pPr>
      <w:r>
        <w:rPr>
          <w:rFonts w:hint="eastAsia" w:eastAsia="仿宋_GB2312"/>
          <w:sz w:val="32"/>
          <w:szCs w:val="32"/>
        </w:rPr>
        <w:t>本指导原则旨在指导注册申请人（以下简称“申请人”）对生殖道分泌物分析注册申报资料的准备及撰写，同时也为技术审评部门审评提供参考。</w:t>
      </w:r>
    </w:p>
    <w:p w14:paraId="46B17ED4">
      <w:pPr>
        <w:spacing w:line="520" w:lineRule="exact"/>
        <w:ind w:firstLine="640" w:firstLineChars="200"/>
        <w:rPr>
          <w:rFonts w:eastAsia="仿宋_GB2312"/>
          <w:sz w:val="32"/>
          <w:szCs w:val="32"/>
        </w:rPr>
      </w:pPr>
      <w:r>
        <w:rPr>
          <w:rFonts w:hint="eastAsia" w:eastAsia="仿宋_GB2312"/>
          <w:sz w:val="32"/>
          <w:szCs w:val="32"/>
        </w:rPr>
        <w:t>本指导原则是对生殖道分泌物分析仪器的一般要求，申请人应依据产品的具体特性确定其中内容是否适用，若不适用，需具体阐述理由及相应的科学依据，并依据产品的具体特性对注册申报资料的内容进行充实和细化。</w:t>
      </w:r>
    </w:p>
    <w:p w14:paraId="16145C06">
      <w:pPr>
        <w:spacing w:line="520" w:lineRule="exact"/>
        <w:ind w:firstLine="640" w:firstLineChars="200"/>
        <w:rPr>
          <w:rFonts w:eastAsia="仿宋_GB2312"/>
          <w:kern w:val="0"/>
          <w:sz w:val="32"/>
          <w:szCs w:val="32"/>
        </w:rPr>
      </w:pPr>
      <w:r>
        <w:rPr>
          <w:rFonts w:eastAsia="仿宋_GB2312"/>
          <w:kern w:val="0"/>
          <w:sz w:val="32"/>
          <w:szCs w:val="32"/>
        </w:rPr>
        <w:t>本指导原则是供申请人和</w:t>
      </w:r>
      <w:r>
        <w:rPr>
          <w:rFonts w:hint="eastAsia" w:eastAsia="仿宋_GB2312"/>
          <w:sz w:val="32"/>
          <w:szCs w:val="32"/>
        </w:rPr>
        <w:t>技术审评</w:t>
      </w:r>
      <w:r>
        <w:rPr>
          <w:rFonts w:eastAsia="仿宋_GB2312"/>
          <w:kern w:val="0"/>
          <w:sz w:val="32"/>
          <w:szCs w:val="32"/>
        </w:rPr>
        <w:t>人员使用的指导文件，不涉及注册审批等行政事项，亦不作为法规强制执行，如有能够满足法规要求的其他方法，也可以采用，但应提供详细的研究资料和验证资料。相关人员应在遵循相关法规的前提下使用本指导原则。</w:t>
      </w:r>
    </w:p>
    <w:p w14:paraId="1AF2AA17">
      <w:pPr>
        <w:spacing w:line="520" w:lineRule="exact"/>
        <w:ind w:firstLine="640" w:firstLineChars="200"/>
        <w:rPr>
          <w:rFonts w:hint="default" w:eastAsia="仿宋_GB2312"/>
          <w:kern w:val="0"/>
          <w:sz w:val="32"/>
          <w:szCs w:val="32"/>
          <w:lang w:val="en-US" w:eastAsia="zh-CN"/>
        </w:rPr>
      </w:pPr>
      <w:r>
        <w:rPr>
          <w:rFonts w:eastAsia="仿宋_GB2312"/>
          <w:kern w:val="0"/>
          <w:sz w:val="32"/>
          <w:szCs w:val="32"/>
        </w:rPr>
        <w:t>本指导原则是在现行法规、标准体系及当前认知水平下制定的，随着法规、标准体系的不断完善和科学技术的不断发展，本指导原则相关内容也将适时进行调整。</w:t>
      </w:r>
    </w:p>
    <w:p w14:paraId="06E3A193">
      <w:pPr>
        <w:pStyle w:val="2"/>
        <w:spacing w:line="520" w:lineRule="exact"/>
      </w:pPr>
      <w:r>
        <w:t>一、适用范围</w:t>
      </w:r>
    </w:p>
    <w:p w14:paraId="0EBAB3EA">
      <w:pPr>
        <w:spacing w:line="520" w:lineRule="exact"/>
        <w:ind w:firstLine="640" w:firstLineChars="200"/>
        <w:rPr>
          <w:rFonts w:eastAsia="仿宋_GB2312"/>
          <w:kern w:val="0"/>
          <w:sz w:val="32"/>
          <w:szCs w:val="32"/>
        </w:rPr>
      </w:pPr>
      <w:r>
        <w:rPr>
          <w:rFonts w:hint="eastAsia" w:eastAsia="仿宋_GB2312"/>
          <w:sz w:val="32"/>
          <w:szCs w:val="32"/>
        </w:rPr>
        <w:t>本指导原则适用于通常由自动加样模块、恒温</w:t>
      </w:r>
      <w:r>
        <w:rPr>
          <w:rFonts w:hint="eastAsia" w:eastAsia="仿宋_GB2312"/>
          <w:sz w:val="32"/>
          <w:szCs w:val="32"/>
          <w:lang w:val="en-US" w:eastAsia="zh-CN"/>
        </w:rPr>
        <w:t>孵</w:t>
      </w:r>
      <w:r>
        <w:rPr>
          <w:rFonts w:hint="eastAsia" w:eastAsia="仿宋_GB2312"/>
          <w:sz w:val="32"/>
          <w:szCs w:val="32"/>
        </w:rPr>
        <w:t>育模块、检测-控制模块、计算机系统等中的一种或几种组成。有形成分分析部分核心检测原理一般采用流式显微成像技术原理，干化学分析部分一般采用光电比色技术</w:t>
      </w:r>
      <w:r>
        <w:rPr>
          <w:rFonts w:hint="eastAsia" w:eastAsia="仿宋_GB2312"/>
          <w:kern w:val="0"/>
          <w:sz w:val="32"/>
          <w:szCs w:val="32"/>
        </w:rPr>
        <w:t>，检测被测样本对生化或酶学等显色的反应。用于人体生殖道分泌物样本中被分析物的定性或定量检测分析。</w:t>
      </w:r>
    </w:p>
    <w:p w14:paraId="5DDB4684">
      <w:pPr>
        <w:pStyle w:val="2"/>
        <w:spacing w:line="520" w:lineRule="exact"/>
      </w:pPr>
      <w:r>
        <w:rPr>
          <w:rFonts w:hint="eastAsia"/>
        </w:rPr>
        <w:t>二、</w:t>
      </w:r>
      <w:r>
        <w:t>注册审查要点</w:t>
      </w:r>
    </w:p>
    <w:p w14:paraId="49BA9794">
      <w:pPr>
        <w:spacing w:line="520" w:lineRule="exact"/>
        <w:ind w:firstLine="640" w:firstLineChars="200"/>
        <w:rPr>
          <w:rFonts w:eastAsia="仿宋_GB2312"/>
          <w:sz w:val="32"/>
          <w:szCs w:val="32"/>
        </w:rPr>
      </w:pPr>
      <w:r>
        <w:rPr>
          <w:rFonts w:hint="eastAsia" w:eastAsia="仿宋_GB2312"/>
          <w:sz w:val="32"/>
          <w:szCs w:val="32"/>
        </w:rPr>
        <w:t>（一）监管信息</w:t>
      </w:r>
    </w:p>
    <w:p w14:paraId="284EDABC">
      <w:pPr>
        <w:spacing w:line="520" w:lineRule="exact"/>
        <w:ind w:firstLine="640" w:firstLineChars="200"/>
        <w:rPr>
          <w:rFonts w:eastAsia="仿宋_GB2312"/>
          <w:sz w:val="32"/>
          <w:szCs w:val="32"/>
        </w:rPr>
      </w:pPr>
      <w:r>
        <w:rPr>
          <w:rFonts w:hint="eastAsia" w:eastAsia="仿宋_GB2312"/>
          <w:sz w:val="32"/>
          <w:szCs w:val="32"/>
        </w:rPr>
        <w:t>明确申请表中产品名称、管理类别、分类编码、型号规格、产品组成等信息。</w:t>
      </w:r>
    </w:p>
    <w:p w14:paraId="19602E59">
      <w:pPr>
        <w:spacing w:line="520" w:lineRule="exact"/>
        <w:ind w:firstLine="640" w:firstLineChars="200"/>
        <w:rPr>
          <w:rFonts w:eastAsia="仿宋_GB2312"/>
          <w:sz w:val="32"/>
          <w:szCs w:val="32"/>
        </w:rPr>
      </w:pPr>
      <w:r>
        <w:rPr>
          <w:rFonts w:hint="eastAsia" w:eastAsia="仿宋_GB2312"/>
          <w:sz w:val="32"/>
          <w:szCs w:val="32"/>
        </w:rPr>
        <w:t>1.产品名称</w:t>
      </w:r>
    </w:p>
    <w:p w14:paraId="0BA5D89F">
      <w:pPr>
        <w:spacing w:line="520" w:lineRule="exact"/>
        <w:ind w:firstLine="640" w:firstLineChars="200"/>
        <w:rPr>
          <w:rFonts w:eastAsia="仿宋_GB2312"/>
          <w:sz w:val="32"/>
          <w:szCs w:val="32"/>
        </w:rPr>
      </w:pPr>
      <w:r>
        <w:rPr>
          <w:rFonts w:eastAsia="仿宋_GB2312"/>
          <w:kern w:val="0"/>
          <w:sz w:val="32"/>
          <w:szCs w:val="32"/>
        </w:rPr>
        <w:t>依据</w:t>
      </w:r>
      <w:r>
        <w:rPr>
          <w:rFonts w:hint="eastAsia" w:eastAsia="仿宋_GB2312"/>
          <w:kern w:val="0"/>
          <w:sz w:val="32"/>
          <w:szCs w:val="32"/>
        </w:rPr>
        <w:t>《医疗器械通用名称命名指导原则》</w:t>
      </w:r>
      <w:r>
        <w:rPr>
          <w:rFonts w:eastAsia="仿宋_GB2312"/>
          <w:kern w:val="0"/>
          <w:sz w:val="32"/>
          <w:szCs w:val="32"/>
        </w:rPr>
        <w:t>《医疗器械分类目录》，建议将产品名称命名为</w:t>
      </w:r>
      <w:r>
        <w:rPr>
          <w:rFonts w:hint="eastAsia" w:eastAsia="仿宋_GB2312"/>
          <w:sz w:val="32"/>
          <w:szCs w:val="32"/>
        </w:rPr>
        <w:t>生殖道分泌物分析仪</w:t>
      </w:r>
      <w:r>
        <w:rPr>
          <w:rFonts w:eastAsia="仿宋_GB2312"/>
          <w:kern w:val="0"/>
          <w:sz w:val="32"/>
          <w:szCs w:val="32"/>
        </w:rPr>
        <w:t>。申请人可结合申报产品的特征，根据医疗器械命名原则，参考《医疗器械分类目录》中的品名举例确定命名，并详细描述确定依据。</w:t>
      </w:r>
    </w:p>
    <w:p w14:paraId="1E4B1CEC">
      <w:pPr>
        <w:spacing w:line="520" w:lineRule="exact"/>
        <w:ind w:firstLine="640" w:firstLineChars="200"/>
        <w:rPr>
          <w:rFonts w:eastAsia="仿宋_GB2312"/>
          <w:sz w:val="32"/>
          <w:szCs w:val="32"/>
        </w:rPr>
      </w:pPr>
      <w:r>
        <w:rPr>
          <w:rFonts w:hint="eastAsia" w:eastAsia="仿宋_GB2312"/>
          <w:sz w:val="32"/>
          <w:szCs w:val="32"/>
        </w:rPr>
        <w:t>2.管理类别和分类编码</w:t>
      </w:r>
    </w:p>
    <w:p w14:paraId="29297543">
      <w:pPr>
        <w:spacing w:line="520" w:lineRule="exact"/>
        <w:ind w:firstLine="640" w:firstLineChars="200"/>
        <w:rPr>
          <w:rFonts w:eastAsia="仿宋_GB2312"/>
          <w:sz w:val="32"/>
          <w:szCs w:val="32"/>
        </w:rPr>
      </w:pPr>
      <w:r>
        <w:rPr>
          <w:rFonts w:hint="eastAsia" w:eastAsia="仿宋_GB2312"/>
          <w:sz w:val="32"/>
          <w:szCs w:val="32"/>
        </w:rPr>
        <w:t>依据《医疗器械分类目录》，生殖道分泌物分析仪器管理类别为Ⅱ类，分类编码为22-09-06。</w:t>
      </w:r>
    </w:p>
    <w:p w14:paraId="77CD9373">
      <w:pPr>
        <w:spacing w:line="520" w:lineRule="exact"/>
        <w:ind w:firstLine="640" w:firstLineChars="200"/>
        <w:rPr>
          <w:rFonts w:eastAsia="仿宋_GB2312"/>
          <w:sz w:val="32"/>
          <w:szCs w:val="32"/>
        </w:rPr>
      </w:pPr>
      <w:r>
        <w:rPr>
          <w:rFonts w:hint="eastAsia" w:eastAsia="仿宋_GB2312"/>
          <w:sz w:val="32"/>
          <w:szCs w:val="32"/>
        </w:rPr>
        <w:t>3.注册单元划分</w:t>
      </w:r>
    </w:p>
    <w:p w14:paraId="105C0C54">
      <w:pPr>
        <w:adjustRightInd w:val="0"/>
        <w:snapToGrid w:val="0"/>
        <w:spacing w:line="520" w:lineRule="exact"/>
        <w:ind w:firstLine="640"/>
        <w:rPr>
          <w:rFonts w:eastAsia="仿宋_GB2312"/>
          <w:kern w:val="0"/>
          <w:sz w:val="32"/>
          <w:szCs w:val="32"/>
        </w:rPr>
      </w:pPr>
      <w:r>
        <w:rPr>
          <w:rFonts w:hint="eastAsia" w:eastAsia="仿宋_GB2312"/>
          <w:kern w:val="0"/>
          <w:sz w:val="32"/>
          <w:szCs w:val="32"/>
        </w:rPr>
        <w:t>依据《医疗器械注册单元划分指导原则》，结合生殖道分泌物分析仪器产品特性，以产品技术原理、结构组成、性能指标、适用范围为核心划分依据，对于结构组成、自动化程度</w:t>
      </w:r>
      <w:r>
        <w:rPr>
          <w:rFonts w:ascii="宋体" w:hAnsi="宋体" w:eastAsia="宋体" w:cs="宋体"/>
          <w:sz w:val="24"/>
          <w:szCs w:val="24"/>
        </w:rPr>
        <w:t>、</w:t>
      </w:r>
      <w:r>
        <w:rPr>
          <w:rFonts w:hint="eastAsia" w:eastAsia="仿宋_GB2312"/>
          <w:kern w:val="0"/>
          <w:sz w:val="32"/>
          <w:szCs w:val="32"/>
        </w:rPr>
        <w:t>联动逻辑、风险管控、核心检测原理等存在本质差异，不得归入同一注册单元。例如，核心检测原理不同、样本处理方式不同、自动化程度存在显著差异、软件架构及核心算法存在本质差异、主要性能指标或适用范围发生实质变化等情况，原则上应划分为不同注册单元。</w:t>
      </w:r>
    </w:p>
    <w:p w14:paraId="5667AB86">
      <w:pPr>
        <w:adjustRightInd w:val="0"/>
        <w:snapToGrid w:val="0"/>
        <w:spacing w:line="520" w:lineRule="exact"/>
        <w:ind w:firstLine="640"/>
        <w:rPr>
          <w:rFonts w:eastAsia="仿宋_GB2312"/>
          <w:kern w:val="0"/>
          <w:sz w:val="32"/>
          <w:szCs w:val="32"/>
        </w:rPr>
      </w:pPr>
      <w:r>
        <w:rPr>
          <w:rFonts w:hint="eastAsia" w:eastAsia="仿宋_GB2312"/>
          <w:kern w:val="0"/>
          <w:sz w:val="32"/>
          <w:szCs w:val="32"/>
        </w:rPr>
        <w:t>4.型号规格</w:t>
      </w:r>
    </w:p>
    <w:p w14:paraId="0931087B">
      <w:pPr>
        <w:adjustRightInd w:val="0"/>
        <w:snapToGrid w:val="0"/>
        <w:spacing w:line="520" w:lineRule="exact"/>
        <w:ind w:firstLine="640"/>
        <w:rPr>
          <w:rFonts w:eastAsia="仿宋_GB2312"/>
          <w:kern w:val="0"/>
          <w:sz w:val="32"/>
          <w:szCs w:val="32"/>
        </w:rPr>
      </w:pPr>
      <w:r>
        <w:rPr>
          <w:rFonts w:eastAsia="仿宋_GB2312"/>
          <w:kern w:val="0"/>
          <w:sz w:val="32"/>
          <w:szCs w:val="32"/>
        </w:rPr>
        <w:t>同一注册单元内申报产品存在多种型号规格的，申请人应明确各型号规格的划分依据，清晰描述各型号规格在结构组成（配置）、核心功能、技术参数、性能指标、运行模式等方面的差异。</w:t>
      </w:r>
    </w:p>
    <w:p w14:paraId="5CF43C7A">
      <w:pPr>
        <w:spacing w:line="520" w:lineRule="exact"/>
        <w:ind w:firstLine="640" w:firstLineChars="200"/>
        <w:rPr>
          <w:rFonts w:eastAsia="仿宋_GB2312"/>
          <w:sz w:val="32"/>
          <w:szCs w:val="32"/>
        </w:rPr>
      </w:pPr>
      <w:r>
        <w:rPr>
          <w:rFonts w:hint="eastAsia" w:eastAsia="仿宋_GB2312"/>
          <w:sz w:val="32"/>
          <w:szCs w:val="32"/>
        </w:rPr>
        <w:t>（二）综述资料</w:t>
      </w:r>
    </w:p>
    <w:p w14:paraId="3A08840B">
      <w:pPr>
        <w:spacing w:line="520" w:lineRule="exact"/>
        <w:ind w:firstLine="640" w:firstLineChars="200"/>
        <w:outlineLvl w:val="2"/>
        <w:rPr>
          <w:rFonts w:eastAsia="仿宋_GB2312"/>
          <w:color w:val="000000"/>
          <w:sz w:val="32"/>
          <w:szCs w:val="32"/>
        </w:rPr>
      </w:pPr>
      <w:r>
        <w:rPr>
          <w:rFonts w:hint="eastAsia" w:eastAsia="仿宋_GB2312"/>
          <w:color w:val="000000"/>
          <w:sz w:val="32"/>
          <w:szCs w:val="32"/>
        </w:rPr>
        <w:t>1.产品描述</w:t>
      </w:r>
    </w:p>
    <w:p w14:paraId="230E310D">
      <w:pPr>
        <w:pStyle w:val="23"/>
        <w:overflowPunct w:val="0"/>
        <w:autoSpaceDE w:val="0"/>
        <w:autoSpaceDN w:val="0"/>
        <w:spacing w:line="520" w:lineRule="exact"/>
        <w:ind w:right="210" w:firstLine="640"/>
        <w:outlineLvl w:val="3"/>
        <w:rPr>
          <w:rFonts w:eastAsia="仿宋_GB2312"/>
          <w:snapToGrid w:val="0"/>
          <w:kern w:val="0"/>
          <w:sz w:val="32"/>
          <w:szCs w:val="32"/>
        </w:rPr>
      </w:pPr>
      <w:r>
        <w:rPr>
          <w:rFonts w:hint="eastAsia" w:eastAsia="仿宋_GB2312"/>
          <w:snapToGrid w:val="0"/>
          <w:kern w:val="0"/>
          <w:sz w:val="32"/>
          <w:szCs w:val="32"/>
        </w:rPr>
        <w:t>1.1器械及操作原理描述</w:t>
      </w:r>
    </w:p>
    <w:p w14:paraId="34343C69">
      <w:pPr>
        <w:widowControl/>
        <w:spacing w:line="520" w:lineRule="exact"/>
        <w:ind w:right="-67" w:rightChars="-32" w:firstLine="640" w:firstLineChars="200"/>
        <w:rPr>
          <w:rFonts w:eastAsia="仿宋_GB2312"/>
          <w:sz w:val="32"/>
          <w:szCs w:val="32"/>
        </w:rPr>
      </w:pPr>
      <w:r>
        <w:rPr>
          <w:rFonts w:hint="eastAsia" w:eastAsia="仿宋_GB2312"/>
          <w:sz w:val="32"/>
          <w:szCs w:val="32"/>
        </w:rPr>
        <w:t>申请人应当根据拟申报产品的具体特征，详细</w:t>
      </w:r>
      <w:r>
        <w:rPr>
          <w:rFonts w:eastAsia="仿宋_GB2312"/>
          <w:sz w:val="32"/>
          <w:szCs w:val="32"/>
        </w:rPr>
        <w:t>描述</w:t>
      </w:r>
      <w:r>
        <w:rPr>
          <w:rFonts w:hint="eastAsia" w:eastAsia="仿宋_GB2312"/>
          <w:sz w:val="32"/>
          <w:szCs w:val="32"/>
        </w:rPr>
        <w:t>产品</w:t>
      </w:r>
      <w:r>
        <w:rPr>
          <w:rFonts w:eastAsia="仿宋_GB2312"/>
          <w:sz w:val="32"/>
          <w:szCs w:val="32"/>
        </w:rPr>
        <w:t>工作原理、结构组成</w:t>
      </w:r>
      <w:r>
        <w:rPr>
          <w:rFonts w:hint="eastAsia" w:eastAsia="仿宋_GB2312"/>
          <w:sz w:val="32"/>
          <w:szCs w:val="32"/>
        </w:rPr>
        <w:t>、</w:t>
      </w:r>
      <w:r>
        <w:rPr>
          <w:rFonts w:eastAsia="仿宋_GB2312"/>
          <w:sz w:val="32"/>
          <w:szCs w:val="32"/>
        </w:rPr>
        <w:t>各模块的具体组成</w:t>
      </w:r>
      <w:r>
        <w:rPr>
          <w:rFonts w:hint="eastAsia" w:eastAsia="仿宋_GB2312"/>
          <w:sz w:val="32"/>
          <w:szCs w:val="32"/>
        </w:rPr>
        <w:t>、</w:t>
      </w:r>
      <w:r>
        <w:rPr>
          <w:rFonts w:eastAsia="仿宋_GB2312"/>
          <w:sz w:val="32"/>
          <w:szCs w:val="32"/>
        </w:rPr>
        <w:t>产品的主要功能及各组成</w:t>
      </w:r>
      <w:r>
        <w:rPr>
          <w:rFonts w:hint="eastAsia" w:eastAsia="仿宋_GB2312"/>
          <w:sz w:val="32"/>
          <w:szCs w:val="32"/>
        </w:rPr>
        <w:t>模块</w:t>
      </w:r>
      <w:r>
        <w:rPr>
          <w:rFonts w:eastAsia="仿宋_GB2312"/>
          <w:sz w:val="32"/>
          <w:szCs w:val="32"/>
        </w:rPr>
        <w:t>的功能</w:t>
      </w:r>
      <w:r>
        <w:rPr>
          <w:rFonts w:hint="eastAsia" w:eastAsia="仿宋_GB2312"/>
          <w:sz w:val="32"/>
          <w:szCs w:val="32"/>
        </w:rPr>
        <w:t>、产品图示（如，硬件结构图、产品工程图、关键组件工程图、产品液路图等）、</w:t>
      </w:r>
      <w:r>
        <w:rPr>
          <w:rFonts w:eastAsia="仿宋_GB2312"/>
          <w:sz w:val="32"/>
          <w:szCs w:val="32"/>
        </w:rPr>
        <w:t>使用方法以及区别于其他同类产品的特征等内容</w:t>
      </w:r>
      <w:r>
        <w:rPr>
          <w:rFonts w:hint="eastAsia" w:eastAsia="仿宋_GB2312"/>
          <w:sz w:val="32"/>
          <w:szCs w:val="32"/>
        </w:rPr>
        <w:t>。</w:t>
      </w:r>
    </w:p>
    <w:p w14:paraId="4F6DB94B">
      <w:pPr>
        <w:pStyle w:val="23"/>
        <w:overflowPunct w:val="0"/>
        <w:autoSpaceDE w:val="0"/>
        <w:autoSpaceDN w:val="0"/>
        <w:spacing w:line="520" w:lineRule="exact"/>
        <w:ind w:right="210" w:firstLine="640"/>
        <w:rPr>
          <w:rFonts w:eastAsia="仿宋_GB2312"/>
          <w:snapToGrid w:val="0"/>
          <w:kern w:val="0"/>
          <w:sz w:val="32"/>
          <w:szCs w:val="32"/>
        </w:rPr>
      </w:pPr>
      <w:r>
        <w:rPr>
          <w:rFonts w:hint="eastAsia" w:eastAsia="仿宋_GB2312"/>
          <w:snapToGrid w:val="0"/>
          <w:kern w:val="0"/>
          <w:sz w:val="32"/>
          <w:szCs w:val="32"/>
        </w:rPr>
        <w:t>1.1.1</w:t>
      </w:r>
      <w:r>
        <w:rPr>
          <w:rFonts w:eastAsia="仿宋_GB2312"/>
          <w:snapToGrid w:val="0"/>
          <w:kern w:val="0"/>
          <w:sz w:val="32"/>
          <w:szCs w:val="32"/>
        </w:rPr>
        <w:t>工作原理</w:t>
      </w:r>
    </w:p>
    <w:p w14:paraId="6B245800">
      <w:pPr>
        <w:widowControl/>
        <w:spacing w:line="520" w:lineRule="exact"/>
        <w:ind w:right="-67" w:rightChars="-32" w:firstLine="640" w:firstLineChars="200"/>
        <w:rPr>
          <w:rFonts w:eastAsia="仿宋_GB2312"/>
          <w:sz w:val="32"/>
          <w:szCs w:val="32"/>
        </w:rPr>
      </w:pPr>
      <w:r>
        <w:rPr>
          <w:rFonts w:hint="eastAsia" w:eastAsia="仿宋_GB2312"/>
          <w:sz w:val="32"/>
          <w:szCs w:val="32"/>
        </w:rPr>
        <w:t>仪器有形成分测试采用流式显微成像技术。医护人员使用配套的采样拭子采集人体生殖道分泌物样本，采样后把拭子头折断放入配套的试管中，把试管放到试管架上后启动检测。分析仪器先向试管中注入细胞保存液，通过浸泡加振动的方法混匀制备样本液，完成自动吸样，自动染色后的样本液进入流动池，同时注射泵推动有形成分分析用层流液进入流动池，使染色的样本在层流液的包裹下进入流动池的薄层结构。实现样本以单层细胞的厚度流过流动池的成像区域，通过 40 倍物镜显微放大样本后，采用高速彩色相机对样本进行拍摄成像，拍摄后的分泌物样本被排入废液容器中。</w:t>
      </w:r>
    </w:p>
    <w:p w14:paraId="3C7F07C1">
      <w:pPr>
        <w:widowControl/>
        <w:spacing w:line="520" w:lineRule="exact"/>
        <w:ind w:right="-67" w:rightChars="-32" w:firstLine="640" w:firstLineChars="200"/>
        <w:rPr>
          <w:rFonts w:eastAsia="仿宋_GB2312"/>
          <w:sz w:val="32"/>
          <w:szCs w:val="32"/>
        </w:rPr>
      </w:pPr>
      <w:r>
        <w:rPr>
          <w:rFonts w:hint="eastAsia" w:eastAsia="仿宋_GB2312"/>
          <w:sz w:val="32"/>
          <w:szCs w:val="32"/>
        </w:rPr>
        <w:t>如图所示：</w:t>
      </w:r>
    </w:p>
    <w:p w14:paraId="2BD772C3">
      <w:pPr>
        <w:spacing w:before="174" w:line="3322" w:lineRule="exact"/>
        <w:ind w:firstLine="1641"/>
      </w:pPr>
      <w:r>
        <w:rPr>
          <w:position w:val="-66"/>
        </w:rPr>
        <w:drawing>
          <wp:inline distT="0" distB="0" distL="0" distR="0">
            <wp:extent cx="3208020" cy="2108835"/>
            <wp:effectExtent l="0" t="0" r="11430" b="5715"/>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5"/>
                    <a:stretch>
                      <a:fillRect/>
                    </a:stretch>
                  </pic:blipFill>
                  <pic:spPr>
                    <a:xfrm>
                      <a:off x="0" y="0"/>
                      <a:ext cx="3208020" cy="2109215"/>
                    </a:xfrm>
                    <a:prstGeom prst="rect">
                      <a:avLst/>
                    </a:prstGeom>
                  </pic:spPr>
                </pic:pic>
              </a:graphicData>
            </a:graphic>
          </wp:inline>
        </w:drawing>
      </w:r>
    </w:p>
    <w:p w14:paraId="505FACD6">
      <w:pPr>
        <w:pStyle w:val="7"/>
        <w:spacing w:before="246" w:line="235" w:lineRule="auto"/>
        <w:ind w:left="3991"/>
        <w:rPr>
          <w:rFonts w:ascii="Times New Roman" w:hAnsi="Times New Roman" w:eastAsia="Times New Roman" w:cs="Times New Roman"/>
          <w:lang w:eastAsia="zh-CN"/>
        </w:rPr>
      </w:pPr>
      <w:r>
        <w:rPr>
          <w:spacing w:val="-17"/>
          <w:lang w:eastAsia="zh-CN"/>
        </w:rPr>
        <w:t>图</w:t>
      </w:r>
      <w:r>
        <w:rPr>
          <w:spacing w:val="-32"/>
          <w:lang w:eastAsia="zh-CN"/>
        </w:rPr>
        <w:t xml:space="preserve"> </w:t>
      </w:r>
      <w:r>
        <w:rPr>
          <w:rFonts w:ascii="Times New Roman" w:hAnsi="Times New Roman" w:eastAsia="Times New Roman" w:cs="Times New Roman"/>
          <w:spacing w:val="-17"/>
          <w:lang w:eastAsia="zh-CN"/>
        </w:rPr>
        <w:t>1</w:t>
      </w:r>
    </w:p>
    <w:p w14:paraId="0BE3C839">
      <w:pPr>
        <w:widowControl/>
        <w:spacing w:line="520" w:lineRule="exact"/>
        <w:ind w:right="-67" w:rightChars="-32" w:firstLine="640" w:firstLineChars="200"/>
        <w:rPr>
          <w:rFonts w:eastAsia="仿宋_GB2312"/>
          <w:sz w:val="32"/>
          <w:szCs w:val="32"/>
        </w:rPr>
      </w:pPr>
      <w:r>
        <w:rPr>
          <w:rFonts w:hint="eastAsia" w:eastAsia="仿宋_GB2312"/>
          <w:sz w:val="32"/>
          <w:szCs w:val="32"/>
        </w:rPr>
        <w:t>对于分析仪器测试的平面层流技术、高速摄像技术和人工智能识别技术分别叙述如下：</w:t>
      </w:r>
    </w:p>
    <w:p w14:paraId="1F588EE0">
      <w:pPr>
        <w:widowControl/>
        <w:spacing w:line="520" w:lineRule="exact"/>
        <w:ind w:right="-67" w:rightChars="-32" w:firstLine="640" w:firstLineChars="200"/>
        <w:rPr>
          <w:rFonts w:eastAsia="仿宋_GB2312"/>
          <w:sz w:val="32"/>
          <w:szCs w:val="32"/>
        </w:rPr>
      </w:pPr>
      <w:r>
        <w:rPr>
          <w:rFonts w:hint="eastAsia" w:eastAsia="仿宋_GB2312"/>
          <w:sz w:val="32"/>
          <w:szCs w:val="32"/>
        </w:rPr>
        <w:t>(1)平面层流技术：明确有形成分分析用层流液的技术要求（等渗、无颗粒、缓冲功能），说明层流液包裹样本液实现有形成分单层独立流动的技术逻辑，以及确保样本处于显微镜镜头焦点范围内的技术保障；</w:t>
      </w:r>
    </w:p>
    <w:p w14:paraId="72E495D6">
      <w:pPr>
        <w:widowControl/>
        <w:spacing w:line="520" w:lineRule="exact"/>
        <w:ind w:right="-67" w:rightChars="-32"/>
        <w:rPr>
          <w:rFonts w:eastAsia="仿宋_GB2312"/>
          <w:sz w:val="32"/>
          <w:szCs w:val="32"/>
        </w:rPr>
      </w:pPr>
      <w:r>
        <w:rPr>
          <w:rFonts w:hint="eastAsia" w:eastAsia="仿宋_GB2312"/>
          <w:sz w:val="32"/>
          <w:szCs w:val="32"/>
        </w:rPr>
        <w:t>(2)高速摄像技术：说明样本在层流液包裹下以平坦层流形式流经物镜的技术逻辑，明确高速频闪光源、高速彩色相机的核心技术参数，以及实现有形成分瞬间清晰成像的技术保障；(3)人工智能图像识别技术：说明自动图像识别软件的核心算法逻辑，包括图像分割、特征值提取（平均灰度值、几何形状、像素颜色、纹理等）、分类器训练与识别（SVM 支持向量机、BP 神经网络等），明确产品可识别的有形成分分类（如红细胞、白细胞、线索细胞、上皮细胞、滴虫、杆菌、真菌、杂菌等）；</w:t>
      </w:r>
    </w:p>
    <w:p w14:paraId="566674DE">
      <w:pPr>
        <w:widowControl/>
        <w:spacing w:line="520" w:lineRule="exact"/>
        <w:ind w:right="-67" w:rightChars="-32"/>
        <w:rPr>
          <w:rFonts w:eastAsia="仿宋_GB2312"/>
          <w:sz w:val="32"/>
          <w:szCs w:val="32"/>
        </w:rPr>
      </w:pPr>
      <w:r>
        <w:rPr>
          <w:rFonts w:hint="eastAsia" w:eastAsia="仿宋_GB2312"/>
          <w:sz w:val="32"/>
          <w:szCs w:val="32"/>
        </w:rPr>
        <w:t>(4)浓度计算逻辑：说明通过识别的有形成分数量、样本液体积计算目标分析物浓度的方法，明确结果单位的表示规则（如个 /μL、个 / 高倍视野等）。</w:t>
      </w:r>
    </w:p>
    <w:p w14:paraId="1D2989ED">
      <w:pPr>
        <w:widowControl/>
        <w:spacing w:line="520" w:lineRule="exact"/>
        <w:ind w:right="-67" w:rightChars="-32" w:firstLine="640" w:firstLineChars="200"/>
        <w:rPr>
          <w:rFonts w:eastAsia="仿宋_GB2312"/>
          <w:sz w:val="32"/>
          <w:szCs w:val="32"/>
        </w:rPr>
      </w:pPr>
      <w:bookmarkStart w:id="0" w:name="bookmark4"/>
      <w:bookmarkEnd w:id="0"/>
      <w:r>
        <w:rPr>
          <w:rFonts w:hint="eastAsia" w:eastAsia="仿宋_GB2312"/>
          <w:sz w:val="32"/>
          <w:szCs w:val="32"/>
        </w:rPr>
        <w:t>1.1.2 试纸条测试原理</w:t>
      </w:r>
    </w:p>
    <w:p w14:paraId="6F8A299F">
      <w:pPr>
        <w:widowControl/>
        <w:spacing w:line="520" w:lineRule="exact"/>
        <w:ind w:right="-67" w:rightChars="-32" w:firstLine="640" w:firstLineChars="200"/>
        <w:rPr>
          <w:rFonts w:eastAsia="仿宋_GB2312"/>
          <w:sz w:val="32"/>
          <w:szCs w:val="32"/>
        </w:rPr>
      </w:pPr>
      <w:r>
        <w:rPr>
          <w:rFonts w:hint="eastAsia" w:eastAsia="仿宋_GB2312"/>
          <w:sz w:val="32"/>
          <w:szCs w:val="32"/>
        </w:rPr>
        <w:t>分析仪器的干化学测试部分采用光电比色原理，核心实现逻辑为：基于试纸条上试纸块与分泌物样本液中化学成分的生化 / 酶学反应产生的颜色变化，测定分泌物样本中化学成分的含量。</w:t>
      </w:r>
    </w:p>
    <w:p w14:paraId="25621DEA">
      <w:pPr>
        <w:widowControl/>
        <w:spacing w:line="520" w:lineRule="exact"/>
        <w:ind w:right="-67" w:rightChars="-32" w:firstLine="640" w:firstLineChars="200"/>
        <w:rPr>
          <w:rFonts w:eastAsia="仿宋_GB2312"/>
          <w:sz w:val="32"/>
          <w:szCs w:val="32"/>
        </w:rPr>
      </w:pPr>
      <w:r>
        <w:rPr>
          <w:rFonts w:hint="eastAsia" w:eastAsia="仿宋_GB2312"/>
          <w:sz w:val="32"/>
          <w:szCs w:val="32"/>
        </w:rPr>
        <w:t>分析仪器用五种单色光对试纸条上的每个模块进行逐项扫描，将扫描得到的光信号转换成电信号，将电信号进行 A/D 转换，由这些转换数据计算出模块的反射率。分析仪器根据反射率确定分泌物中相应成</w:t>
      </w:r>
      <w:r>
        <w:rPr>
          <w:rFonts w:hint="eastAsia" w:eastAsia="仿宋_GB2312"/>
          <w:sz w:val="32"/>
          <w:szCs w:val="32"/>
          <w:lang w:val="en-US" w:eastAsia="zh-CN"/>
        </w:rPr>
        <w:t>分</w:t>
      </w:r>
      <w:r>
        <w:rPr>
          <w:rFonts w:hint="eastAsia" w:eastAsia="仿宋_GB2312"/>
          <w:sz w:val="32"/>
          <w:szCs w:val="32"/>
        </w:rPr>
        <w:t>的含量。</w:t>
      </w:r>
    </w:p>
    <w:p w14:paraId="7460D29E">
      <w:pPr>
        <w:widowControl/>
        <w:numPr>
          <w:ilvl w:val="0"/>
          <w:numId w:val="1"/>
        </w:numPr>
        <w:spacing w:line="520" w:lineRule="exact"/>
        <w:ind w:right="-67" w:rightChars="-32" w:firstLine="640" w:firstLineChars="200"/>
        <w:rPr>
          <w:rFonts w:eastAsia="仿宋_GB2312"/>
          <w:sz w:val="32"/>
          <w:szCs w:val="32"/>
        </w:rPr>
      </w:pPr>
      <w:r>
        <w:rPr>
          <w:rFonts w:hint="eastAsia" w:eastAsia="仿宋_GB2312"/>
          <w:sz w:val="32"/>
          <w:szCs w:val="32"/>
        </w:rPr>
        <w:t>自动进样与滴样逻辑：说明仪器自动进样后，按各试纸模块反应所需样本量完成自动滴样的技术逻辑，以及试纸条传输至检测器正下方的定位控制逻辑；</w:t>
      </w:r>
    </w:p>
    <w:p w14:paraId="32B42BDA">
      <w:pPr>
        <w:widowControl/>
        <w:numPr>
          <w:ilvl w:val="0"/>
          <w:numId w:val="1"/>
        </w:numPr>
        <w:spacing w:line="520" w:lineRule="exact"/>
        <w:ind w:right="-67" w:rightChars="-32" w:firstLine="640" w:firstLineChars="200"/>
        <w:rPr>
          <w:rFonts w:eastAsia="仿宋_GB2312"/>
          <w:sz w:val="32"/>
          <w:szCs w:val="32"/>
        </w:rPr>
      </w:pPr>
      <w:r>
        <w:rPr>
          <w:rFonts w:hint="eastAsia" w:eastAsia="仿宋_GB2312"/>
          <w:sz w:val="32"/>
          <w:szCs w:val="32"/>
        </w:rPr>
        <w:t>光电检测逻辑：说明光源照射、反射光接收的技术逻辑，明确颜色深浅与分析物含量的正比关系，以及吸收光量、反射光量、反射率的对应关系；</w:t>
      </w:r>
    </w:p>
    <w:p w14:paraId="404EA7D3">
      <w:pPr>
        <w:widowControl/>
        <w:spacing w:line="520" w:lineRule="exact"/>
        <w:ind w:right="-67" w:rightChars="-32" w:firstLine="640" w:firstLineChars="200"/>
        <w:rPr>
          <w:rFonts w:eastAsia="仿宋_GB2312"/>
          <w:sz w:val="32"/>
          <w:szCs w:val="32"/>
        </w:rPr>
      </w:pPr>
      <w:r>
        <w:rPr>
          <w:rFonts w:hint="eastAsia" w:eastAsia="仿宋_GB2312"/>
          <w:sz w:val="32"/>
          <w:szCs w:val="32"/>
        </w:rPr>
        <w:t>双波长检测技术：明确双波长检测的技术依据、波长选择规则，完整说明检测数据计算公式及各符号的物理意义，公式如下：</w:t>
      </w:r>
    </w:p>
    <w:p w14:paraId="09E7BB8E">
      <w:pPr>
        <w:widowControl/>
        <w:spacing w:line="520" w:lineRule="exact"/>
        <w:ind w:right="-67" w:rightChars="-32" w:firstLine="640" w:firstLineChars="200"/>
        <w:rPr>
          <w:rFonts w:eastAsia="仿宋_GB2312"/>
          <w:sz w:val="32"/>
          <w:szCs w:val="32"/>
        </w:rPr>
      </w:pPr>
      <w:r>
        <w:rPr>
          <w:rFonts w:hint="eastAsia" w:eastAsia="仿宋_GB2312"/>
          <w:sz w:val="32"/>
          <w:szCs w:val="32"/>
        </w:rPr>
        <w:drawing>
          <wp:anchor distT="0" distB="0" distL="0" distR="0" simplePos="0" relativeHeight="251659264" behindDoc="1" locked="0" layoutInCell="1" allowOverlap="1">
            <wp:simplePos x="0" y="0"/>
            <wp:positionH relativeFrom="column">
              <wp:posOffset>701040</wp:posOffset>
            </wp:positionH>
            <wp:positionV relativeFrom="paragraph">
              <wp:posOffset>152400</wp:posOffset>
            </wp:positionV>
            <wp:extent cx="813435" cy="429260"/>
            <wp:effectExtent l="0" t="0" r="5715" b="8890"/>
            <wp:wrapTight wrapText="bothSides">
              <wp:wrapPolygon>
                <wp:start x="6070" y="0"/>
                <wp:lineTo x="0" y="5560"/>
                <wp:lineTo x="0" y="12973"/>
                <wp:lineTo x="6576" y="17606"/>
                <wp:lineTo x="9105" y="20386"/>
                <wp:lineTo x="21246" y="20386"/>
                <wp:lineTo x="21246" y="4633"/>
                <wp:lineTo x="20740" y="0"/>
                <wp:lineTo x="6070" y="0"/>
              </wp:wrapPolygon>
            </wp:wrapTight>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6"/>
                    <a:stretch>
                      <a:fillRect/>
                    </a:stretch>
                  </pic:blipFill>
                  <pic:spPr>
                    <a:xfrm>
                      <a:off x="0" y="0"/>
                      <a:ext cx="813435" cy="429260"/>
                    </a:xfrm>
                    <a:prstGeom prst="rect">
                      <a:avLst/>
                    </a:prstGeom>
                  </pic:spPr>
                </pic:pic>
              </a:graphicData>
            </a:graphic>
          </wp:anchor>
        </w:drawing>
      </w:r>
    </w:p>
    <w:p w14:paraId="4204928A">
      <w:pPr>
        <w:widowControl/>
        <w:spacing w:line="520" w:lineRule="exact"/>
        <w:ind w:right="-67" w:rightChars="-32" w:firstLine="640" w:firstLineChars="200"/>
        <w:rPr>
          <w:rFonts w:eastAsia="仿宋_GB2312"/>
          <w:sz w:val="32"/>
          <w:szCs w:val="32"/>
        </w:rPr>
      </w:pPr>
    </w:p>
    <w:p w14:paraId="79A9A8D5">
      <w:pPr>
        <w:widowControl/>
        <w:spacing w:line="520" w:lineRule="exact"/>
        <w:ind w:right="-67" w:rightChars="-32" w:firstLine="640" w:firstLineChars="200"/>
        <w:rPr>
          <w:rFonts w:eastAsia="仿宋_GB2312"/>
          <w:sz w:val="32"/>
          <w:szCs w:val="32"/>
        </w:rPr>
      </w:pPr>
      <w:r>
        <w:rPr>
          <w:rFonts w:hint="eastAsia" w:eastAsia="仿宋_GB2312"/>
          <w:sz w:val="32"/>
          <w:szCs w:val="32"/>
        </w:rPr>
        <w:t>式中：</w:t>
      </w:r>
    </w:p>
    <w:p w14:paraId="3BBBA5B6">
      <w:pPr>
        <w:widowControl/>
        <w:spacing w:line="520" w:lineRule="exact"/>
        <w:ind w:right="-67" w:rightChars="-32" w:firstLine="640" w:firstLineChars="200"/>
        <w:rPr>
          <w:rFonts w:eastAsia="仿宋_GB2312"/>
          <w:sz w:val="32"/>
          <w:szCs w:val="32"/>
        </w:rPr>
      </w:pPr>
      <w:r>
        <w:rPr>
          <w:rFonts w:hint="eastAsia" w:eastAsia="仿宋_GB2312"/>
          <w:sz w:val="32"/>
          <w:szCs w:val="32"/>
        </w:rPr>
        <w:t>R ——试纸块的测试数据。</w:t>
      </w:r>
    </w:p>
    <w:p w14:paraId="09E47EBB">
      <w:pPr>
        <w:widowControl/>
        <w:spacing w:line="520" w:lineRule="exact"/>
        <w:ind w:right="-67" w:rightChars="-32" w:firstLine="640" w:firstLineChars="200"/>
        <w:rPr>
          <w:rFonts w:eastAsia="仿宋_GB2312"/>
          <w:sz w:val="32"/>
          <w:szCs w:val="32"/>
        </w:rPr>
      </w:pPr>
      <w:r>
        <w:rPr>
          <w:rFonts w:hint="eastAsia" w:eastAsia="仿宋_GB2312"/>
          <w:sz w:val="32"/>
          <w:szCs w:val="32"/>
        </w:rPr>
        <w:t>Tr ——试纸块对参考光的反射强度。</w:t>
      </w:r>
    </w:p>
    <w:p w14:paraId="7495B846">
      <w:pPr>
        <w:widowControl/>
        <w:spacing w:line="520" w:lineRule="exact"/>
        <w:ind w:right="-67" w:rightChars="-32" w:firstLine="640" w:firstLineChars="200"/>
        <w:rPr>
          <w:rFonts w:eastAsia="仿宋_GB2312"/>
          <w:sz w:val="32"/>
          <w:szCs w:val="32"/>
        </w:rPr>
      </w:pPr>
      <w:r>
        <w:rPr>
          <w:rFonts w:hint="eastAsia" w:eastAsia="仿宋_GB2312"/>
          <w:sz w:val="32"/>
          <w:szCs w:val="32"/>
        </w:rPr>
        <w:t>Cr ——白基准对参考光的反射强度。</w:t>
      </w:r>
    </w:p>
    <w:p w14:paraId="7C529FF9">
      <w:pPr>
        <w:widowControl/>
        <w:spacing w:line="520" w:lineRule="exact"/>
        <w:ind w:right="-67" w:rightChars="-32" w:firstLine="640" w:firstLineChars="200"/>
        <w:rPr>
          <w:rFonts w:eastAsia="仿宋_GB2312"/>
          <w:sz w:val="32"/>
          <w:szCs w:val="32"/>
        </w:rPr>
      </w:pPr>
      <w:r>
        <w:rPr>
          <w:rFonts w:hint="eastAsia" w:eastAsia="仿宋_GB2312"/>
          <w:sz w:val="32"/>
          <w:szCs w:val="32"/>
        </w:rPr>
        <w:t>Cm ——白基准对测定光的反射强度。</w:t>
      </w:r>
    </w:p>
    <w:p w14:paraId="783B78C3">
      <w:pPr>
        <w:widowControl/>
        <w:spacing w:line="520" w:lineRule="exact"/>
        <w:ind w:right="-67" w:rightChars="-32" w:firstLine="640" w:firstLineChars="200"/>
        <w:rPr>
          <w:rFonts w:eastAsia="仿宋_GB2312"/>
          <w:sz w:val="32"/>
          <w:szCs w:val="32"/>
        </w:rPr>
      </w:pPr>
      <w:r>
        <w:rPr>
          <w:rFonts w:hint="eastAsia" w:eastAsia="仿宋_GB2312"/>
          <w:sz w:val="32"/>
          <w:szCs w:val="32"/>
        </w:rPr>
        <w:t>Tm ——试纸块对测定光的反射</w:t>
      </w:r>
      <w:r>
        <w:rPr>
          <w:rFonts w:hint="eastAsia" w:eastAsia="仿宋_GB2312"/>
          <w:sz w:val="32"/>
          <w:szCs w:val="32"/>
          <w:lang w:val="en-US" w:eastAsia="zh-CN"/>
        </w:rPr>
        <w:t>强度</w:t>
      </w:r>
      <w:r>
        <w:rPr>
          <w:rFonts w:hint="eastAsia" w:eastAsia="仿宋_GB2312"/>
          <w:sz w:val="32"/>
          <w:szCs w:val="32"/>
        </w:rPr>
        <w:t>。</w:t>
      </w:r>
    </w:p>
    <w:p w14:paraId="5951744B">
      <w:pPr>
        <w:spacing w:line="520" w:lineRule="exact"/>
        <w:rPr>
          <w:rFonts w:eastAsia="仿宋_GB2312"/>
          <w:sz w:val="32"/>
          <w:szCs w:val="32"/>
        </w:rPr>
      </w:pPr>
      <w:r>
        <w:rPr>
          <w:rFonts w:hint="eastAsia" w:eastAsia="仿宋_GB2312"/>
          <w:sz w:val="32"/>
          <w:szCs w:val="32"/>
        </w:rPr>
        <w:t>1.1.3结构组成</w:t>
      </w:r>
    </w:p>
    <w:p w14:paraId="62147A0E">
      <w:pPr>
        <w:spacing w:line="520" w:lineRule="exact"/>
        <w:rPr>
          <w:rFonts w:eastAsia="仿宋_GB2312"/>
          <w:sz w:val="32"/>
          <w:szCs w:val="32"/>
        </w:rPr>
      </w:pPr>
      <w:r>
        <w:rPr>
          <w:rFonts w:hint="eastAsia" w:eastAsia="仿宋_GB2312"/>
          <w:sz w:val="32"/>
          <w:szCs w:val="32"/>
        </w:rPr>
        <w:t>生殖道分泌物分析仪通常由主机、样本处理系统组成。其中： 主机由光学系统、机械运动系统、液路系统、电子控制系统、软件系统组成；样本处理系统由进样系统、旋转扫码系统、穿刺加注系统、混匀系统组成。不同生产企业产品结构存在差异，应结合产品实际准确描述。</w:t>
      </w:r>
    </w:p>
    <w:p w14:paraId="003F60AA">
      <w:pPr>
        <w:spacing w:line="520" w:lineRule="exact"/>
        <w:rPr>
          <w:rFonts w:eastAsia="仿宋_GB2312"/>
          <w:sz w:val="32"/>
          <w:szCs w:val="32"/>
        </w:rPr>
      </w:pPr>
      <w:r>
        <w:rPr>
          <w:rFonts w:hint="eastAsia" w:eastAsia="仿宋_GB2312"/>
          <w:sz w:val="32"/>
          <w:szCs w:val="32"/>
        </w:rPr>
        <w:t>1.3 主要功能及其组成部件的功能</w:t>
      </w:r>
    </w:p>
    <w:p w14:paraId="41D9444F">
      <w:pPr>
        <w:spacing w:line="520" w:lineRule="exact"/>
        <w:rPr>
          <w:rFonts w:eastAsia="仿宋_GB2312"/>
          <w:sz w:val="32"/>
          <w:szCs w:val="32"/>
        </w:rPr>
      </w:pPr>
      <w:r>
        <w:rPr>
          <w:rFonts w:hint="eastAsia" w:eastAsia="仿宋_GB2312"/>
          <w:sz w:val="32"/>
          <w:szCs w:val="32"/>
        </w:rPr>
        <w:t>1.3.1 分析仪器主要功能</w:t>
      </w:r>
    </w:p>
    <w:p w14:paraId="2C2F2CE7">
      <w:pPr>
        <w:spacing w:line="520" w:lineRule="exact"/>
        <w:ind w:firstLine="640" w:firstLineChars="200"/>
        <w:rPr>
          <w:rFonts w:eastAsia="仿宋_GB2312"/>
          <w:sz w:val="32"/>
          <w:szCs w:val="32"/>
        </w:rPr>
      </w:pPr>
      <w:r>
        <w:rPr>
          <w:rFonts w:hint="eastAsia" w:eastAsia="仿宋_GB2312"/>
          <w:sz w:val="32"/>
          <w:szCs w:val="32"/>
        </w:rPr>
        <w:t>明确产品通过一次采样，可完成的全流程检测功能，包括自动冲洗、自动吸样、自动染色、自动孵育、自动检测，以及一次检测同步完成生殖道分泌物的干化学分析、有形成分分析的核心能力；明确产品需使用配套的专用试剂（层流液、染色液、干化学试纸、细胞保存液等）完成检测，以及配套试剂的适配性要求。</w:t>
      </w:r>
    </w:p>
    <w:p w14:paraId="677826B4">
      <w:pPr>
        <w:spacing w:line="520" w:lineRule="exact"/>
        <w:rPr>
          <w:rFonts w:eastAsia="仿宋_GB2312"/>
          <w:sz w:val="32"/>
          <w:szCs w:val="32"/>
        </w:rPr>
      </w:pPr>
      <w:r>
        <w:rPr>
          <w:rFonts w:hint="eastAsia" w:eastAsia="仿宋_GB2312"/>
          <w:sz w:val="32"/>
          <w:szCs w:val="32"/>
        </w:rPr>
        <w:t>1.3.2 组成部件的功能</w:t>
      </w:r>
    </w:p>
    <w:p w14:paraId="690A23EC">
      <w:pPr>
        <w:spacing w:line="520" w:lineRule="exact"/>
        <w:ind w:firstLine="640" w:firstLineChars="200"/>
        <w:rPr>
          <w:rFonts w:eastAsia="仿宋_GB2312"/>
          <w:sz w:val="32"/>
          <w:szCs w:val="32"/>
        </w:rPr>
      </w:pPr>
      <w:r>
        <w:rPr>
          <w:rFonts w:hint="eastAsia" w:eastAsia="仿宋_GB2312"/>
          <w:sz w:val="32"/>
          <w:szCs w:val="32"/>
        </w:rPr>
        <w:t>（1）样本处理系统功能概述：负责样本试管架装载、传输至样本测试位，完成细胞保存液自动加注、样本自动混匀、旋转扫描试管条码及试管架码读取识别，并将测完后的样本试管架传输至回收区。</w:t>
      </w:r>
    </w:p>
    <w:p w14:paraId="6747F2B4">
      <w:pPr>
        <w:spacing w:line="520" w:lineRule="exact"/>
        <w:ind w:firstLine="640" w:firstLineChars="200"/>
        <w:rPr>
          <w:rFonts w:eastAsia="仿宋_GB2312"/>
          <w:sz w:val="32"/>
          <w:szCs w:val="32"/>
        </w:rPr>
      </w:pPr>
      <w:r>
        <w:rPr>
          <w:rFonts w:hint="eastAsia" w:eastAsia="仿宋_GB2312"/>
          <w:sz w:val="32"/>
          <w:szCs w:val="32"/>
        </w:rPr>
        <w:t>（2）光学系统功能概述：负责对样本进行补光、拍照及数据传输。</w:t>
      </w:r>
    </w:p>
    <w:p w14:paraId="2152CF78">
      <w:pPr>
        <w:spacing w:line="520" w:lineRule="exact"/>
        <w:ind w:firstLine="640" w:firstLineChars="200"/>
        <w:rPr>
          <w:rFonts w:eastAsia="仿宋_GB2312"/>
          <w:sz w:val="32"/>
          <w:szCs w:val="32"/>
        </w:rPr>
      </w:pPr>
      <w:r>
        <w:rPr>
          <w:rFonts w:hint="eastAsia" w:eastAsia="仿宋_GB2312"/>
          <w:sz w:val="32"/>
          <w:szCs w:val="32"/>
        </w:rPr>
        <w:t>（3）机械运动系统概述：负责试纸条运输定位，探针机构水平和垂直运动，以及各运动模块的精准定位；。</w:t>
      </w:r>
    </w:p>
    <w:p w14:paraId="778F1285">
      <w:pPr>
        <w:spacing w:line="520" w:lineRule="exact"/>
        <w:ind w:firstLine="640" w:firstLineChars="200"/>
        <w:rPr>
          <w:rFonts w:eastAsia="仿宋_GB2312"/>
          <w:sz w:val="32"/>
          <w:szCs w:val="32"/>
        </w:rPr>
      </w:pPr>
      <w:r>
        <w:rPr>
          <w:rFonts w:hint="eastAsia" w:eastAsia="仿宋_GB2312"/>
          <w:sz w:val="32"/>
          <w:szCs w:val="32"/>
        </w:rPr>
        <w:t>（4）液路系统统功能概述：负责完成样本的混匀、吸样、层流测试及整机管路的清洗、废液排放功能。</w:t>
      </w:r>
    </w:p>
    <w:p w14:paraId="61E19393">
      <w:pPr>
        <w:spacing w:line="520" w:lineRule="exact"/>
        <w:ind w:firstLine="640" w:firstLineChars="200"/>
        <w:rPr>
          <w:rFonts w:eastAsia="仿宋_GB2312"/>
          <w:sz w:val="32"/>
          <w:szCs w:val="32"/>
        </w:rPr>
      </w:pPr>
      <w:r>
        <w:rPr>
          <w:rFonts w:hint="eastAsia" w:eastAsia="仿宋_GB2312"/>
          <w:sz w:val="32"/>
          <w:szCs w:val="32"/>
        </w:rPr>
        <w:t>（5）电子控制系统功能概述：配合其他模块进行样本装载与传输、进行混匀、吸样及整机管路的清洗，协调各个模块完成整机测试及维护。</w:t>
      </w:r>
    </w:p>
    <w:p w14:paraId="25E4FD6C">
      <w:pPr>
        <w:spacing w:line="520" w:lineRule="exact"/>
        <w:ind w:firstLine="640" w:firstLineChars="200"/>
        <w:rPr>
          <w:rFonts w:eastAsia="仿宋_GB2312"/>
          <w:sz w:val="32"/>
          <w:szCs w:val="32"/>
        </w:rPr>
      </w:pPr>
      <w:r>
        <w:rPr>
          <w:rFonts w:hint="eastAsia" w:eastAsia="仿宋_GB2312"/>
          <w:sz w:val="32"/>
          <w:szCs w:val="32"/>
        </w:rPr>
        <w:t>（6）软件系统功能概述：包括对采集图片进行分析处理，检测结果的计算与输出、用户对产品的视觉体验、人机操作体验等功能。</w:t>
      </w:r>
    </w:p>
    <w:p w14:paraId="41D06DA5">
      <w:pPr>
        <w:spacing w:line="520" w:lineRule="exact"/>
        <w:ind w:firstLine="640" w:firstLineChars="200"/>
        <w:rPr>
          <w:rFonts w:eastAsia="仿宋_GB2312"/>
          <w:sz w:val="32"/>
          <w:szCs w:val="32"/>
        </w:rPr>
      </w:pPr>
      <w:r>
        <w:rPr>
          <w:rFonts w:hint="eastAsia" w:eastAsia="仿宋_GB2312"/>
          <w:sz w:val="32"/>
          <w:szCs w:val="32"/>
        </w:rPr>
        <w:t>1.3.3 软件的主要功能</w:t>
      </w:r>
    </w:p>
    <w:p w14:paraId="215DBE90">
      <w:pPr>
        <w:spacing w:line="520" w:lineRule="exact"/>
        <w:ind w:firstLine="640" w:firstLineChars="200"/>
        <w:rPr>
          <w:rFonts w:eastAsia="仿宋_GB2312"/>
          <w:sz w:val="32"/>
          <w:szCs w:val="32"/>
        </w:rPr>
      </w:pPr>
      <w:r>
        <w:rPr>
          <w:rFonts w:hint="eastAsia" w:eastAsia="仿宋_GB2312"/>
          <w:sz w:val="32"/>
          <w:szCs w:val="32"/>
        </w:rPr>
        <w:t>软件系统是为了实现生殖道分泌物分析仪器的系统控制操作、系统应用操作以及系统故障诊断与处理。通过软件系统来控制仪器的运行、监测仪器状态、规范仪器操作流程，实现仪器操作与结果处理的自动化，检测结果和质控结果等数据的自动接收与科学处理，提高生殖道分泌物分析仪器检验数据的可靠性，完善检验人员对检验数据科学管理的集成化、信息化和自动化， 从而提升检验人员的工作效率，降低生殖道分泌物分析仪器的系统操作复杂性。同时为用户提供一个界面简洁、主界面信息全面、操作便捷的操作界面，增加仪器与用户之间的亲和力。为此，本软件系统的开发参照同类先进产品中的界面设计并且涵盖所有同水平生殖道分泌物分析仪器应具备的主要功能。软件通常应具备样本信息管理、检测项目设置、检测流程控制、检测结果计算与显示、结果存储与查询、质量控制、校准管理、用户权限管理、数据传输、日志记录、故障检测与报警、系统维护等功能。申请人应结合申报产品的实际功能进行详细说明。</w:t>
      </w:r>
    </w:p>
    <w:p w14:paraId="447824A1">
      <w:pPr>
        <w:spacing w:line="520" w:lineRule="exact"/>
        <w:ind w:firstLine="640" w:firstLineChars="200"/>
        <w:rPr>
          <w:rFonts w:eastAsia="仿宋_GB2312"/>
          <w:sz w:val="32"/>
          <w:szCs w:val="32"/>
        </w:rPr>
      </w:pPr>
      <w:r>
        <w:rPr>
          <w:rFonts w:hint="eastAsia" w:eastAsia="仿宋_GB2312"/>
          <w:sz w:val="32"/>
          <w:szCs w:val="32"/>
        </w:rPr>
        <w:t>1.4 产品图示</w:t>
      </w:r>
    </w:p>
    <w:p w14:paraId="00F71AA3">
      <w:pPr>
        <w:spacing w:line="520" w:lineRule="exact"/>
        <w:ind w:firstLine="640" w:firstLineChars="200"/>
        <w:rPr>
          <w:rFonts w:eastAsia="仿宋_GB2312"/>
          <w:kern w:val="0"/>
          <w:sz w:val="32"/>
          <w:szCs w:val="32"/>
        </w:rPr>
      </w:pPr>
      <w:r>
        <w:rPr>
          <w:rFonts w:eastAsia="仿宋_GB2312"/>
          <w:kern w:val="0"/>
          <w:sz w:val="32"/>
          <w:szCs w:val="32"/>
        </w:rPr>
        <w:t>申请人应提交清晰、规范的产品图示</w:t>
      </w:r>
      <w:r>
        <w:rPr>
          <w:rFonts w:hint="eastAsia" w:eastAsia="仿宋_GB2312"/>
          <w:kern w:val="0"/>
          <w:sz w:val="32"/>
          <w:szCs w:val="32"/>
        </w:rPr>
        <w:t>，图示应标注清晰的模块名称、核心部件、连接关系，确保与产品描述的结构组成、工作原理完全一致。</w:t>
      </w:r>
    </w:p>
    <w:p w14:paraId="584166CE">
      <w:pPr>
        <w:spacing w:line="520" w:lineRule="exact"/>
        <w:ind w:firstLine="640" w:firstLineChars="200"/>
        <w:outlineLvl w:val="2"/>
        <w:rPr>
          <w:rFonts w:eastAsia="仿宋_GB2312"/>
          <w:color w:val="000000"/>
          <w:sz w:val="32"/>
          <w:szCs w:val="32"/>
        </w:rPr>
      </w:pPr>
      <w:r>
        <w:rPr>
          <w:rFonts w:hint="eastAsia" w:eastAsia="仿宋_GB2312"/>
          <w:color w:val="000000"/>
          <w:sz w:val="32"/>
          <w:szCs w:val="32"/>
        </w:rPr>
        <w:t>2.适用范围和禁忌证</w:t>
      </w:r>
    </w:p>
    <w:p w14:paraId="467AA627">
      <w:pPr>
        <w:spacing w:line="520" w:lineRule="exact"/>
        <w:ind w:firstLine="640" w:firstLineChars="200"/>
        <w:rPr>
          <w:rFonts w:eastAsia="仿宋_GB2312"/>
          <w:sz w:val="32"/>
          <w:szCs w:val="32"/>
        </w:rPr>
      </w:pPr>
      <w:r>
        <w:rPr>
          <w:rFonts w:hint="eastAsia" w:eastAsia="仿宋_GB2312"/>
          <w:sz w:val="32"/>
          <w:szCs w:val="32"/>
        </w:rPr>
        <w:t>2.1适用范围</w:t>
      </w:r>
    </w:p>
    <w:p w14:paraId="0B20AA57">
      <w:pPr>
        <w:spacing w:line="520" w:lineRule="exact"/>
        <w:ind w:firstLine="640" w:firstLineChars="200"/>
        <w:rPr>
          <w:rFonts w:hint="eastAsia" w:eastAsia="仿宋_GB2312"/>
          <w:kern w:val="0"/>
          <w:sz w:val="32"/>
          <w:szCs w:val="32"/>
        </w:rPr>
      </w:pPr>
      <w:r>
        <w:rPr>
          <w:rFonts w:hint="eastAsia" w:eastAsia="仿宋_GB2312"/>
          <w:kern w:val="0"/>
          <w:sz w:val="32"/>
          <w:szCs w:val="32"/>
        </w:rPr>
        <w:t>生殖道分泌物分析仪与配套的专用试剂共同使用，在临床上用于对来源于人体的生殖道分泌物样本中的被分析物进行定性或定量检测分析。产品适用范围中应明确所有临床检测项目，包括具体的有形成分名称和干化学项目名称。</w:t>
      </w:r>
    </w:p>
    <w:p w14:paraId="06D762C3">
      <w:pPr>
        <w:spacing w:line="520" w:lineRule="exact"/>
        <w:ind w:firstLine="640" w:firstLineChars="200"/>
        <w:rPr>
          <w:rFonts w:eastAsia="仿宋_GB2312"/>
          <w:sz w:val="32"/>
          <w:szCs w:val="32"/>
        </w:rPr>
      </w:pPr>
      <w:r>
        <w:rPr>
          <w:rFonts w:eastAsia="仿宋_GB2312"/>
          <w:sz w:val="32"/>
          <w:szCs w:val="32"/>
        </w:rPr>
        <w:t>注：具体的检测项目应体现在产品说明书中。</w:t>
      </w:r>
    </w:p>
    <w:p w14:paraId="6C992C2D">
      <w:pPr>
        <w:spacing w:line="520" w:lineRule="exact"/>
        <w:ind w:firstLine="640" w:firstLineChars="200"/>
        <w:rPr>
          <w:rFonts w:eastAsia="仿宋_GB2312"/>
          <w:sz w:val="32"/>
          <w:szCs w:val="32"/>
        </w:rPr>
      </w:pPr>
      <w:r>
        <w:rPr>
          <w:rFonts w:hint="eastAsia" w:eastAsia="仿宋_GB2312"/>
          <w:sz w:val="32"/>
          <w:szCs w:val="32"/>
        </w:rPr>
        <w:t>2.2预期使用环境</w:t>
      </w:r>
    </w:p>
    <w:p w14:paraId="542FAFB1">
      <w:pPr>
        <w:spacing w:line="520" w:lineRule="exact"/>
        <w:ind w:firstLine="640" w:firstLineChars="200"/>
        <w:rPr>
          <w:rFonts w:eastAsia="仿宋_GB2312"/>
          <w:sz w:val="32"/>
          <w:szCs w:val="32"/>
        </w:rPr>
      </w:pPr>
      <w:r>
        <w:rPr>
          <w:rFonts w:hint="eastAsia" w:eastAsia="仿宋_GB2312"/>
          <w:sz w:val="32"/>
          <w:szCs w:val="32"/>
        </w:rPr>
        <w:t>应明确申报产品的预期使用地点为医疗机构、检验科等场所，并详细说明可能影响产品安全性和有效性的正常工作条件，具体包括使用环境要求、工作电压、环境温度、相对湿度、大气压力等，对上述每项环境条件均需给出明确具体的指标范围，同时说明产品配套使用设备的相关要求，确保使用场所与环境条件清晰规范。</w:t>
      </w:r>
    </w:p>
    <w:p w14:paraId="78F3CCDB">
      <w:pPr>
        <w:spacing w:line="520" w:lineRule="exact"/>
        <w:ind w:firstLine="640" w:firstLineChars="200"/>
        <w:rPr>
          <w:rFonts w:eastAsia="仿宋_GB2312"/>
          <w:sz w:val="32"/>
          <w:szCs w:val="32"/>
        </w:rPr>
      </w:pPr>
      <w:r>
        <w:rPr>
          <w:rFonts w:hint="eastAsia" w:eastAsia="仿宋_GB2312"/>
          <w:sz w:val="32"/>
          <w:szCs w:val="32"/>
        </w:rPr>
        <w:t>2.3禁忌证</w:t>
      </w:r>
    </w:p>
    <w:p w14:paraId="6CBB277A">
      <w:pPr>
        <w:spacing w:line="520" w:lineRule="exact"/>
        <w:ind w:right="-67" w:rightChars="-32" w:firstLine="640" w:firstLineChars="200"/>
        <w:rPr>
          <w:rFonts w:eastAsia="仿宋_GB2312"/>
          <w:sz w:val="32"/>
          <w:szCs w:val="32"/>
        </w:rPr>
      </w:pPr>
      <w:r>
        <w:rPr>
          <w:rFonts w:hint="eastAsia" w:eastAsia="仿宋_GB2312"/>
          <w:sz w:val="32"/>
          <w:szCs w:val="32"/>
        </w:rPr>
        <w:t>申请人应基于产品的技术特性、预期用途，明确产品的禁忌证，包括绝对禁忌证、相对禁忌证，不得无依据表述 “无绝对禁忌证”。</w:t>
      </w:r>
    </w:p>
    <w:p w14:paraId="0963C941">
      <w:pPr>
        <w:spacing w:line="520" w:lineRule="exact"/>
        <w:ind w:firstLine="640" w:firstLineChars="200"/>
        <w:rPr>
          <w:rFonts w:eastAsia="仿宋_GB2312"/>
          <w:sz w:val="32"/>
          <w:szCs w:val="32"/>
        </w:rPr>
      </w:pPr>
      <w:r>
        <w:rPr>
          <w:rFonts w:hint="eastAsia" w:eastAsia="仿宋_GB2312"/>
          <w:sz w:val="32"/>
          <w:szCs w:val="32"/>
        </w:rPr>
        <w:t>3</w:t>
      </w:r>
      <w:r>
        <w:rPr>
          <w:rFonts w:eastAsia="仿宋_GB2312"/>
          <w:sz w:val="32"/>
          <w:szCs w:val="32"/>
        </w:rPr>
        <w:t>.不良事件情况（如适用）</w:t>
      </w:r>
    </w:p>
    <w:p w14:paraId="073EFC01">
      <w:pPr>
        <w:spacing w:line="520" w:lineRule="exact"/>
        <w:ind w:firstLine="640" w:firstLineChars="200"/>
        <w:rPr>
          <w:rFonts w:eastAsia="仿宋_GB2312"/>
          <w:sz w:val="32"/>
          <w:szCs w:val="32"/>
        </w:rPr>
      </w:pPr>
      <w:r>
        <w:rPr>
          <w:rFonts w:eastAsia="仿宋_GB2312"/>
          <w:sz w:val="32"/>
          <w:szCs w:val="32"/>
        </w:rPr>
        <w:t>应当提交申报产品的</w:t>
      </w:r>
      <w:r>
        <w:rPr>
          <w:rFonts w:eastAsia="仿宋_GB2312"/>
          <w:bCs/>
          <w:sz w:val="32"/>
          <w:szCs w:val="32"/>
          <w:lang w:val="en-CA"/>
        </w:rPr>
        <w:t>上市、</w:t>
      </w:r>
      <w:r>
        <w:rPr>
          <w:rFonts w:eastAsia="仿宋_GB2312"/>
          <w:bCs/>
          <w:sz w:val="32"/>
          <w:szCs w:val="32"/>
        </w:rPr>
        <w:t>销售、</w:t>
      </w:r>
      <w:r>
        <w:rPr>
          <w:rFonts w:eastAsia="仿宋_GB2312"/>
          <w:bCs/>
          <w:sz w:val="32"/>
          <w:szCs w:val="32"/>
          <w:lang w:val="en-CA"/>
        </w:rPr>
        <w:t>不良事件和召回</w:t>
      </w:r>
      <w:r>
        <w:rPr>
          <w:rFonts w:eastAsia="仿宋_GB2312"/>
          <w:bCs/>
          <w:sz w:val="32"/>
          <w:szCs w:val="32"/>
        </w:rPr>
        <w:t>等相关情况分析资料。</w:t>
      </w:r>
    </w:p>
    <w:p w14:paraId="580E9017">
      <w:pPr>
        <w:spacing w:line="520" w:lineRule="exact"/>
        <w:ind w:left="640"/>
        <w:outlineLvl w:val="2"/>
        <w:rPr>
          <w:rFonts w:eastAsia="仿宋_GB2312"/>
          <w:sz w:val="32"/>
          <w:szCs w:val="32"/>
        </w:rPr>
      </w:pPr>
      <w:bookmarkStart w:id="1" w:name="_Toc112680023"/>
      <w:r>
        <w:rPr>
          <w:rFonts w:hint="eastAsia" w:eastAsia="仿宋_GB2312"/>
          <w:sz w:val="32"/>
          <w:szCs w:val="32"/>
        </w:rPr>
        <w:t>4.其他需说明的内容</w:t>
      </w:r>
      <w:bookmarkEnd w:id="1"/>
    </w:p>
    <w:p w14:paraId="47CB15C5">
      <w:pPr>
        <w:spacing w:line="520" w:lineRule="exact"/>
        <w:ind w:firstLine="640"/>
        <w:rPr>
          <w:rFonts w:eastAsia="仿宋_GB2312"/>
          <w:bCs/>
          <w:sz w:val="32"/>
          <w:szCs w:val="32"/>
        </w:rPr>
      </w:pPr>
      <w:r>
        <w:rPr>
          <w:rFonts w:hint="eastAsia" w:eastAsia="仿宋_GB2312"/>
          <w:bCs/>
          <w:sz w:val="32"/>
          <w:szCs w:val="32"/>
        </w:rPr>
        <w:t>如适用，申请人应明确与申报产品联合使用实现预期用途的其他产品的详细信息。</w:t>
      </w:r>
    </w:p>
    <w:p w14:paraId="55925100">
      <w:pPr>
        <w:spacing w:line="520" w:lineRule="exact"/>
        <w:ind w:firstLine="640" w:firstLineChars="200"/>
        <w:rPr>
          <w:rFonts w:eastAsia="仿宋_GB2312"/>
          <w:sz w:val="32"/>
          <w:szCs w:val="32"/>
        </w:rPr>
      </w:pPr>
      <w:r>
        <w:rPr>
          <w:rFonts w:hint="eastAsia" w:eastAsia="仿宋_GB2312"/>
          <w:bCs/>
          <w:sz w:val="32"/>
          <w:szCs w:val="32"/>
        </w:rPr>
        <w:t>对于已获得批准的部件或配合使用的附件，申请人应提供注册证编号和国家药监局官方网站公布的注册证信息。</w:t>
      </w:r>
    </w:p>
    <w:p w14:paraId="552DFDF7">
      <w:pPr>
        <w:spacing w:line="520" w:lineRule="exact"/>
        <w:ind w:firstLine="640" w:firstLineChars="200"/>
        <w:rPr>
          <w:rFonts w:eastAsia="仿宋_GB2312"/>
          <w:sz w:val="32"/>
          <w:szCs w:val="32"/>
        </w:rPr>
      </w:pPr>
      <w:r>
        <w:rPr>
          <w:rFonts w:hint="eastAsia" w:eastAsia="仿宋_GB2312"/>
          <w:sz w:val="32"/>
          <w:szCs w:val="32"/>
        </w:rPr>
        <w:t>（三）非临床资料</w:t>
      </w:r>
    </w:p>
    <w:p w14:paraId="6417EA18">
      <w:pPr>
        <w:spacing w:line="520" w:lineRule="exact"/>
        <w:ind w:firstLine="640" w:firstLineChars="200"/>
        <w:rPr>
          <w:rFonts w:eastAsia="仿宋_GB2312"/>
          <w:sz w:val="32"/>
          <w:szCs w:val="32"/>
        </w:rPr>
      </w:pPr>
      <w:r>
        <w:rPr>
          <w:rFonts w:hint="eastAsia" w:eastAsia="仿宋_GB2312"/>
          <w:sz w:val="32"/>
          <w:szCs w:val="32"/>
        </w:rPr>
        <w:t>1.产品风险管理资料</w:t>
      </w:r>
    </w:p>
    <w:p w14:paraId="51FA0FC4">
      <w:pPr>
        <w:spacing w:line="520" w:lineRule="exact"/>
        <w:ind w:firstLine="640" w:firstLineChars="200"/>
        <w:rPr>
          <w:rFonts w:eastAsia="仿宋_GB2312"/>
          <w:kern w:val="0"/>
          <w:sz w:val="32"/>
          <w:szCs w:val="32"/>
        </w:rPr>
      </w:pPr>
      <w:r>
        <w:rPr>
          <w:rFonts w:eastAsia="仿宋_GB2312"/>
          <w:kern w:val="0"/>
          <w:sz w:val="32"/>
          <w:szCs w:val="32"/>
        </w:rPr>
        <w:t>申请人应参考GB/T 42062《医疗器械 风险管理对医疗器械的应用》规定的过程和方法，在产品生命周期内对申报产品可能造成的危险进行判定，对每一危险处境的风险进行判定和评价，形成风险管理报告，控制这些风险并监视控制的有效性，充分保证产品的安全性和有效性。</w:t>
      </w:r>
    </w:p>
    <w:p w14:paraId="6270F386">
      <w:pPr>
        <w:spacing w:line="520" w:lineRule="exact"/>
        <w:ind w:firstLine="640" w:firstLineChars="200"/>
        <w:rPr>
          <w:rFonts w:eastAsia="仿宋_GB2312"/>
          <w:kern w:val="0"/>
          <w:sz w:val="32"/>
          <w:szCs w:val="32"/>
        </w:rPr>
      </w:pPr>
      <w:r>
        <w:rPr>
          <w:rFonts w:eastAsia="仿宋_GB2312"/>
          <w:kern w:val="0"/>
          <w:sz w:val="32"/>
          <w:szCs w:val="32"/>
        </w:rPr>
        <w:t>1.1产品的主要危险</w:t>
      </w:r>
    </w:p>
    <w:p w14:paraId="66E4EDB0">
      <w:pPr>
        <w:spacing w:line="520" w:lineRule="exact"/>
        <w:ind w:firstLine="640" w:firstLineChars="200"/>
        <w:rPr>
          <w:rFonts w:eastAsia="仿宋_GB2312"/>
          <w:kern w:val="0"/>
          <w:sz w:val="32"/>
          <w:szCs w:val="32"/>
        </w:rPr>
      </w:pPr>
      <w:r>
        <w:rPr>
          <w:rFonts w:eastAsia="仿宋_GB2312"/>
          <w:kern w:val="0"/>
          <w:sz w:val="32"/>
          <w:szCs w:val="32"/>
        </w:rPr>
        <w:t>主要危险大致可包括四个方面，即：能量危险、生物学和化学危险、性能有关的危险。</w:t>
      </w:r>
    </w:p>
    <w:p w14:paraId="23A4A2C0">
      <w:pPr>
        <w:spacing w:line="520" w:lineRule="exact"/>
        <w:ind w:firstLine="640" w:firstLineChars="200"/>
        <w:rPr>
          <w:rFonts w:eastAsia="仿宋_GB2312"/>
          <w:kern w:val="0"/>
          <w:sz w:val="32"/>
          <w:szCs w:val="32"/>
        </w:rPr>
      </w:pPr>
      <w:r>
        <w:rPr>
          <w:rFonts w:eastAsia="仿宋_GB2312"/>
          <w:kern w:val="0"/>
          <w:sz w:val="32"/>
          <w:szCs w:val="32"/>
        </w:rPr>
        <w:t>1.1.1能量危险</w:t>
      </w:r>
    </w:p>
    <w:p w14:paraId="4FF018BC">
      <w:pPr>
        <w:spacing w:line="520" w:lineRule="exact"/>
        <w:ind w:firstLine="640" w:firstLineChars="200"/>
        <w:rPr>
          <w:rFonts w:eastAsia="仿宋_GB2312"/>
          <w:kern w:val="0"/>
          <w:sz w:val="32"/>
          <w:szCs w:val="32"/>
        </w:rPr>
      </w:pPr>
      <w:r>
        <w:rPr>
          <w:rFonts w:eastAsia="仿宋_GB2312"/>
          <w:kern w:val="0"/>
          <w:sz w:val="32"/>
          <w:szCs w:val="32"/>
        </w:rPr>
        <w:t>能量危险</w:t>
      </w:r>
      <w:r>
        <w:rPr>
          <w:rFonts w:hint="eastAsia" w:eastAsia="仿宋_GB2312"/>
          <w:kern w:val="0"/>
          <w:sz w:val="32"/>
          <w:szCs w:val="32"/>
        </w:rPr>
        <w:t>：包括</w:t>
      </w:r>
      <w:r>
        <w:rPr>
          <w:rFonts w:eastAsia="仿宋_GB2312"/>
          <w:kern w:val="0"/>
          <w:sz w:val="32"/>
          <w:szCs w:val="32"/>
        </w:rPr>
        <w:t>电磁能</w:t>
      </w:r>
      <w:r>
        <w:rPr>
          <w:rFonts w:hint="eastAsia" w:eastAsia="仿宋_GB2312"/>
          <w:kern w:val="0"/>
          <w:sz w:val="32"/>
          <w:szCs w:val="32"/>
        </w:rPr>
        <w:t>危险（漏电流、电磁干扰、静电放电、电磁场对周边设备的影响等），电能危险（触电、短路、过载等）、热能危险（高温部件烫伤、孵育模块温度异常等）；</w:t>
      </w:r>
    </w:p>
    <w:p w14:paraId="20B0CA5A">
      <w:pPr>
        <w:spacing w:line="520" w:lineRule="exact"/>
        <w:ind w:firstLine="640" w:firstLineChars="200"/>
        <w:rPr>
          <w:rFonts w:eastAsia="仿宋_GB2312"/>
          <w:kern w:val="0"/>
          <w:sz w:val="32"/>
          <w:szCs w:val="32"/>
        </w:rPr>
      </w:pPr>
      <w:r>
        <w:rPr>
          <w:rFonts w:hint="eastAsia" w:eastAsia="仿宋_GB2312"/>
          <w:kern w:val="0"/>
          <w:sz w:val="32"/>
          <w:szCs w:val="32"/>
        </w:rPr>
        <w:t>机械危险：包括</w:t>
      </w:r>
      <w:r>
        <w:rPr>
          <w:rFonts w:eastAsia="仿宋_GB2312"/>
          <w:kern w:val="0"/>
          <w:sz w:val="32"/>
          <w:szCs w:val="32"/>
        </w:rPr>
        <w:t xml:space="preserve">坠落导致机械部件松动，导致测量错误、误差过大或显示异常。 </w:t>
      </w:r>
    </w:p>
    <w:p w14:paraId="3AE79295">
      <w:pPr>
        <w:spacing w:line="520" w:lineRule="exact"/>
        <w:ind w:firstLine="640" w:firstLineChars="200"/>
        <w:rPr>
          <w:rFonts w:eastAsia="仿宋_GB2312"/>
          <w:kern w:val="0"/>
          <w:sz w:val="32"/>
          <w:szCs w:val="32"/>
        </w:rPr>
      </w:pPr>
      <w:r>
        <w:rPr>
          <w:rFonts w:eastAsia="仿宋_GB2312"/>
          <w:kern w:val="0"/>
          <w:sz w:val="32"/>
          <w:szCs w:val="32"/>
        </w:rPr>
        <w:t>1.1.2生物学和化学危险</w:t>
      </w:r>
    </w:p>
    <w:p w14:paraId="10B28153">
      <w:pPr>
        <w:spacing w:line="520" w:lineRule="exact"/>
        <w:ind w:firstLine="640" w:firstLineChars="200"/>
        <w:rPr>
          <w:rFonts w:eastAsia="仿宋_GB2312"/>
          <w:kern w:val="0"/>
          <w:sz w:val="32"/>
          <w:szCs w:val="32"/>
        </w:rPr>
      </w:pPr>
      <w:r>
        <w:rPr>
          <w:rFonts w:eastAsia="仿宋_GB2312"/>
          <w:kern w:val="0"/>
          <w:sz w:val="32"/>
          <w:szCs w:val="32"/>
        </w:rPr>
        <w:t>生物学：公共场所未经清洗、消毒的与人体接触的部件引起的交叉感染、申报产品的原材料有毒有害对人体造成的危险、检测完成后剩余样本、试剂和废弃物处理不当引起的交叉感染。</w:t>
      </w:r>
    </w:p>
    <w:p w14:paraId="1061856D">
      <w:pPr>
        <w:spacing w:line="520" w:lineRule="exact"/>
        <w:ind w:firstLine="640" w:firstLineChars="200"/>
        <w:rPr>
          <w:rFonts w:eastAsia="仿宋_GB2312"/>
          <w:kern w:val="0"/>
          <w:sz w:val="32"/>
          <w:szCs w:val="32"/>
        </w:rPr>
      </w:pPr>
      <w:r>
        <w:rPr>
          <w:rFonts w:eastAsia="仿宋_GB2312"/>
          <w:kern w:val="0"/>
          <w:sz w:val="32"/>
          <w:szCs w:val="32"/>
        </w:rPr>
        <w:t>化学：使用的清洁剂、消毒剂残留引发的危险。</w:t>
      </w:r>
    </w:p>
    <w:p w14:paraId="74DDF95F">
      <w:pPr>
        <w:spacing w:line="520" w:lineRule="exact"/>
        <w:ind w:firstLine="640" w:firstLineChars="200"/>
        <w:rPr>
          <w:rFonts w:eastAsia="仿宋_GB2312"/>
          <w:kern w:val="0"/>
          <w:sz w:val="32"/>
          <w:szCs w:val="32"/>
        </w:rPr>
      </w:pPr>
      <w:r>
        <w:rPr>
          <w:rFonts w:eastAsia="仿宋_GB2312"/>
          <w:kern w:val="0"/>
          <w:sz w:val="32"/>
          <w:szCs w:val="32"/>
        </w:rPr>
        <w:t>1.1.3性能有关的危险</w:t>
      </w:r>
    </w:p>
    <w:p w14:paraId="2D7C744B">
      <w:pPr>
        <w:spacing w:line="520" w:lineRule="exact"/>
        <w:ind w:firstLine="640" w:firstLineChars="200"/>
        <w:rPr>
          <w:rFonts w:eastAsia="仿宋_GB2312"/>
          <w:kern w:val="0"/>
          <w:sz w:val="32"/>
          <w:szCs w:val="32"/>
        </w:rPr>
      </w:pPr>
      <w:r>
        <w:rPr>
          <w:rFonts w:eastAsia="仿宋_GB2312"/>
          <w:kern w:val="0"/>
          <w:sz w:val="32"/>
          <w:szCs w:val="32"/>
        </w:rPr>
        <w:t>不正确的测量：产品的检测装置超过寿命或长时间未经校准，导致误差过大。</w:t>
      </w:r>
    </w:p>
    <w:p w14:paraId="7FD9E683">
      <w:pPr>
        <w:spacing w:line="520" w:lineRule="exact"/>
        <w:ind w:firstLine="640" w:firstLineChars="200"/>
        <w:rPr>
          <w:rFonts w:eastAsia="仿宋_GB2312"/>
          <w:kern w:val="0"/>
          <w:sz w:val="32"/>
          <w:szCs w:val="32"/>
        </w:rPr>
      </w:pPr>
      <w:r>
        <w:rPr>
          <w:rFonts w:eastAsia="仿宋_GB2312"/>
          <w:kern w:val="0"/>
          <w:sz w:val="32"/>
          <w:szCs w:val="32"/>
        </w:rPr>
        <w:t>未按使用说明书中的要求进行测量，</w:t>
      </w:r>
      <w:r>
        <w:rPr>
          <w:rFonts w:hint="eastAsia" w:eastAsia="仿宋_GB2312"/>
          <w:kern w:val="0"/>
          <w:sz w:val="32"/>
          <w:szCs w:val="32"/>
          <w:lang w:val="en-US" w:eastAsia="zh-CN"/>
        </w:rPr>
        <w:t>会造成</w:t>
      </w:r>
      <w:r>
        <w:rPr>
          <w:rFonts w:eastAsia="仿宋_GB2312"/>
          <w:kern w:val="0"/>
          <w:sz w:val="32"/>
          <w:szCs w:val="32"/>
        </w:rPr>
        <w:t>测量失败、测量误差过大。</w:t>
      </w:r>
    </w:p>
    <w:p w14:paraId="556E04DB">
      <w:pPr>
        <w:spacing w:line="520" w:lineRule="exact"/>
        <w:ind w:firstLine="640" w:firstLineChars="200"/>
        <w:rPr>
          <w:rFonts w:eastAsia="仿宋_GB2312"/>
          <w:kern w:val="0"/>
          <w:sz w:val="32"/>
          <w:szCs w:val="32"/>
        </w:rPr>
      </w:pPr>
      <w:r>
        <w:rPr>
          <w:rFonts w:eastAsia="仿宋_GB2312"/>
          <w:kern w:val="0"/>
          <w:sz w:val="32"/>
          <w:szCs w:val="32"/>
        </w:rPr>
        <w:t>使用不同厂家的或与</w:t>
      </w:r>
      <w:r>
        <w:rPr>
          <w:rFonts w:hint="eastAsia" w:eastAsia="仿宋_GB2312"/>
          <w:kern w:val="0"/>
          <w:sz w:val="32"/>
          <w:szCs w:val="32"/>
        </w:rPr>
        <w:t>分析仪器</w:t>
      </w:r>
      <w:r>
        <w:rPr>
          <w:rFonts w:eastAsia="仿宋_GB2312"/>
          <w:kern w:val="0"/>
          <w:sz w:val="32"/>
          <w:szCs w:val="32"/>
        </w:rPr>
        <w:t>不相匹配的试剂，造成的测量失败、测量误差过大。</w:t>
      </w:r>
    </w:p>
    <w:p w14:paraId="6C39A813">
      <w:pPr>
        <w:spacing w:line="520" w:lineRule="exact"/>
        <w:ind w:firstLine="640" w:firstLineChars="200"/>
        <w:rPr>
          <w:rFonts w:eastAsia="仿宋_GB2312"/>
          <w:kern w:val="0"/>
          <w:sz w:val="32"/>
          <w:szCs w:val="32"/>
        </w:rPr>
      </w:pPr>
      <w:r>
        <w:rPr>
          <w:rFonts w:eastAsia="仿宋_GB2312"/>
          <w:kern w:val="0"/>
          <w:sz w:val="32"/>
          <w:szCs w:val="32"/>
        </w:rPr>
        <w:t>在制造商规定的使用环境条件外使用产品，可能造成测量误差过大，产品寿命降低。</w:t>
      </w:r>
    </w:p>
    <w:p w14:paraId="312785D8">
      <w:pPr>
        <w:spacing w:line="520" w:lineRule="exact"/>
        <w:ind w:firstLine="640" w:firstLineChars="200"/>
        <w:rPr>
          <w:rFonts w:eastAsia="仿宋_GB2312"/>
          <w:kern w:val="0"/>
          <w:sz w:val="32"/>
          <w:szCs w:val="32"/>
        </w:rPr>
      </w:pPr>
      <w:r>
        <w:rPr>
          <w:rFonts w:hint="eastAsia" w:eastAsia="仿宋_GB2312"/>
          <w:kern w:val="0"/>
          <w:sz w:val="32"/>
          <w:szCs w:val="32"/>
        </w:rPr>
        <w:t>1.1.4操作相关危险</w:t>
      </w:r>
    </w:p>
    <w:p w14:paraId="07DAD7AB">
      <w:pPr>
        <w:spacing w:line="520" w:lineRule="exact"/>
        <w:ind w:firstLine="640" w:firstLineChars="200"/>
        <w:rPr>
          <w:rFonts w:eastAsia="仿宋_GB2312"/>
          <w:kern w:val="0"/>
          <w:sz w:val="32"/>
          <w:szCs w:val="32"/>
        </w:rPr>
      </w:pPr>
      <w:r>
        <w:rPr>
          <w:rFonts w:eastAsia="仿宋_GB2312"/>
          <w:kern w:val="0"/>
          <w:sz w:val="32"/>
          <w:szCs w:val="32"/>
        </w:rPr>
        <w:t>未按产品说明书的规定对申报产品进行保养、未按产品说明书的规定更换具有使用寿命的元器件，造成的产品工作不正常。</w:t>
      </w:r>
    </w:p>
    <w:p w14:paraId="02841806">
      <w:pPr>
        <w:spacing w:line="520" w:lineRule="exact"/>
        <w:ind w:firstLine="640" w:firstLineChars="200"/>
        <w:rPr>
          <w:rFonts w:eastAsia="仿宋_GB2312"/>
          <w:kern w:val="0"/>
          <w:sz w:val="32"/>
          <w:szCs w:val="32"/>
        </w:rPr>
      </w:pPr>
      <w:r>
        <w:rPr>
          <w:rFonts w:hint="eastAsia" w:eastAsia="仿宋_GB2312"/>
          <w:kern w:val="0"/>
          <w:sz w:val="32"/>
          <w:szCs w:val="32"/>
        </w:rPr>
        <w:t>1.1.5信息安全危险</w:t>
      </w:r>
    </w:p>
    <w:p w14:paraId="284FFC65">
      <w:pPr>
        <w:spacing w:line="520" w:lineRule="exact"/>
        <w:ind w:firstLine="640" w:firstLineChars="200"/>
        <w:rPr>
          <w:rFonts w:eastAsia="仿宋_GB2312"/>
          <w:kern w:val="0"/>
          <w:sz w:val="32"/>
          <w:szCs w:val="32"/>
        </w:rPr>
      </w:pPr>
      <w:r>
        <w:rPr>
          <w:rFonts w:eastAsia="仿宋_GB2312"/>
          <w:kern w:val="0"/>
          <w:sz w:val="32"/>
          <w:szCs w:val="32"/>
        </w:rPr>
        <w:t>说明书未对限制充分告知，未对不正确的操作、与其他设备共同使用时易产生的危险进行警告，未正确标示储存条件、消毒方法、维护信息，未对因长期使用产生功能丧失而可能引发的危险进行警告，未对合理可预见的误用进行警告等引发的危险。</w:t>
      </w:r>
    </w:p>
    <w:p w14:paraId="4ADA0EB7">
      <w:pPr>
        <w:spacing w:line="520" w:lineRule="exact"/>
        <w:ind w:firstLine="640" w:firstLineChars="200"/>
        <w:rPr>
          <w:rFonts w:eastAsia="仿宋_GB2312"/>
          <w:kern w:val="0"/>
          <w:sz w:val="32"/>
          <w:szCs w:val="32"/>
        </w:rPr>
      </w:pPr>
      <w:r>
        <w:rPr>
          <w:rFonts w:eastAsia="仿宋_GB2312"/>
          <w:kern w:val="0"/>
          <w:sz w:val="32"/>
          <w:szCs w:val="32"/>
        </w:rPr>
        <w:t>1.2可参考的附件</w:t>
      </w:r>
    </w:p>
    <w:p w14:paraId="5AD732B3">
      <w:pPr>
        <w:spacing w:line="520" w:lineRule="exact"/>
        <w:ind w:firstLine="640" w:firstLineChars="200"/>
        <w:rPr>
          <w:rFonts w:eastAsia="仿宋_GB2312"/>
          <w:kern w:val="0"/>
          <w:sz w:val="32"/>
          <w:szCs w:val="32"/>
        </w:rPr>
      </w:pPr>
      <w:r>
        <w:rPr>
          <w:rFonts w:eastAsia="仿宋_GB2312"/>
          <w:kern w:val="0"/>
          <w:sz w:val="32"/>
          <w:szCs w:val="32"/>
        </w:rPr>
        <w:t>1.2.1与产品有关的安全性特征判定可参考YY/T 1437。</w:t>
      </w:r>
    </w:p>
    <w:p w14:paraId="36E82D7D">
      <w:pPr>
        <w:spacing w:line="520" w:lineRule="exact"/>
        <w:ind w:firstLine="640" w:firstLineChars="200"/>
        <w:rPr>
          <w:rFonts w:eastAsia="仿宋_GB2312"/>
          <w:kern w:val="0"/>
          <w:sz w:val="32"/>
          <w:szCs w:val="32"/>
        </w:rPr>
      </w:pPr>
      <w:r>
        <w:rPr>
          <w:rFonts w:eastAsia="仿宋_GB2312"/>
          <w:kern w:val="0"/>
          <w:sz w:val="32"/>
          <w:szCs w:val="32"/>
        </w:rPr>
        <w:t>1.2.2危险、可预见的事件序列和危险处境判断可参考GB/T 42062的附件C。</w:t>
      </w:r>
    </w:p>
    <w:p w14:paraId="53E47A79">
      <w:pPr>
        <w:spacing w:line="520" w:lineRule="exact"/>
        <w:ind w:firstLine="640" w:firstLineChars="200"/>
        <w:rPr>
          <w:rFonts w:eastAsia="仿宋_GB2312"/>
          <w:kern w:val="0"/>
          <w:sz w:val="32"/>
          <w:szCs w:val="32"/>
        </w:rPr>
      </w:pPr>
      <w:r>
        <w:rPr>
          <w:rFonts w:eastAsia="仿宋_GB2312"/>
          <w:kern w:val="0"/>
          <w:sz w:val="32"/>
          <w:szCs w:val="32"/>
        </w:rPr>
        <w:t>1.2.3风险控制的方案与实施、综合剩余风险的可接受性评价及生产和生产后监视相关方法可参考YY/T 1437。</w:t>
      </w:r>
    </w:p>
    <w:p w14:paraId="1313DD72">
      <w:pPr>
        <w:spacing w:line="520" w:lineRule="exact"/>
        <w:ind w:firstLine="640" w:firstLineChars="200"/>
        <w:rPr>
          <w:rFonts w:eastAsia="仿宋_GB2312"/>
          <w:sz w:val="32"/>
          <w:szCs w:val="32"/>
        </w:rPr>
      </w:pPr>
      <w:r>
        <w:rPr>
          <w:rFonts w:hint="eastAsia" w:eastAsia="仿宋_GB2312"/>
          <w:sz w:val="32"/>
          <w:szCs w:val="32"/>
        </w:rPr>
        <w:t>2.医疗器械安全和性能基本原则清单</w:t>
      </w:r>
    </w:p>
    <w:p w14:paraId="2AE66383">
      <w:pPr>
        <w:spacing w:line="520" w:lineRule="exact"/>
        <w:ind w:firstLine="640" w:firstLineChars="200"/>
        <w:outlineLvl w:val="1"/>
        <w:rPr>
          <w:rFonts w:eastAsia="仿宋_GB2312"/>
          <w:sz w:val="32"/>
          <w:szCs w:val="32"/>
        </w:rPr>
      </w:pPr>
      <w:r>
        <w:rPr>
          <w:rFonts w:hint="eastAsia" w:eastAsia="仿宋_GB2312"/>
          <w:sz w:val="32"/>
          <w:szCs w:val="32"/>
        </w:rPr>
        <w:t>说明产品</w:t>
      </w:r>
      <w:r>
        <w:rPr>
          <w:rFonts w:eastAsia="仿宋_GB2312"/>
          <w:sz w:val="32"/>
          <w:szCs w:val="32"/>
        </w:rPr>
        <w:t>符合</w:t>
      </w:r>
      <w:r>
        <w:rPr>
          <w:rFonts w:hint="eastAsia" w:eastAsia="仿宋_GB2312"/>
          <w:sz w:val="32"/>
          <w:szCs w:val="32"/>
        </w:rPr>
        <w:t>《医疗器械安全和性能基本原则清单》各项适用要求所采用的方法，以及证明其符合性的文件。对于不适用的各项要求，应当说明理由。</w:t>
      </w:r>
    </w:p>
    <w:p w14:paraId="761A149E">
      <w:pPr>
        <w:spacing w:line="520" w:lineRule="exact"/>
        <w:ind w:firstLine="640" w:firstLineChars="200"/>
        <w:rPr>
          <w:rFonts w:eastAsia="仿宋_GB2312"/>
          <w:sz w:val="32"/>
          <w:szCs w:val="32"/>
        </w:rPr>
      </w:pPr>
      <w:r>
        <w:rPr>
          <w:rFonts w:eastAsia="仿宋_GB2312"/>
          <w:color w:val="000000"/>
          <w:sz w:val="32"/>
          <w:szCs w:val="32"/>
        </w:rPr>
        <w:t>对于包含在产品注册申报资料中的文件，应当说明其在申报资料中的具体位置；对于未包含在产品注册申报资料中的文件，应当注明该证据文件名称及其在质量管理体系文件中的编号备查。</w:t>
      </w:r>
    </w:p>
    <w:p w14:paraId="2383C6E4">
      <w:pPr>
        <w:spacing w:line="520" w:lineRule="exact"/>
        <w:ind w:firstLine="640" w:firstLineChars="200"/>
        <w:rPr>
          <w:rFonts w:eastAsia="仿宋_GB2312"/>
          <w:color w:val="000000"/>
          <w:sz w:val="32"/>
          <w:szCs w:val="32"/>
        </w:rPr>
      </w:pPr>
      <w:r>
        <w:rPr>
          <w:rFonts w:hint="eastAsia" w:eastAsia="仿宋_GB2312"/>
          <w:sz w:val="32"/>
          <w:szCs w:val="32"/>
        </w:rPr>
        <w:t>3.</w:t>
      </w:r>
      <w:r>
        <w:rPr>
          <w:rFonts w:hint="eastAsia" w:eastAsia="仿宋_GB2312"/>
          <w:color w:val="000000"/>
          <w:sz w:val="32"/>
          <w:szCs w:val="32"/>
        </w:rPr>
        <w:t>产品技术要求及检验报告</w:t>
      </w:r>
    </w:p>
    <w:p w14:paraId="300F8C97">
      <w:pPr>
        <w:spacing w:line="520" w:lineRule="exact"/>
        <w:ind w:firstLine="640" w:firstLineChars="200"/>
        <w:outlineLvl w:val="2"/>
        <w:rPr>
          <w:rFonts w:eastAsia="仿宋_GB2312"/>
          <w:sz w:val="32"/>
          <w:szCs w:val="32"/>
        </w:rPr>
      </w:pPr>
      <w:r>
        <w:rPr>
          <w:rFonts w:hint="eastAsia" w:eastAsia="仿宋_GB2312"/>
          <w:sz w:val="32"/>
          <w:szCs w:val="32"/>
        </w:rPr>
        <w:t>3.1</w:t>
      </w:r>
      <w:r>
        <w:rPr>
          <w:rFonts w:eastAsia="仿宋_GB2312"/>
          <w:sz w:val="32"/>
          <w:szCs w:val="32"/>
        </w:rPr>
        <w:t>申报产品适用标准情况</w:t>
      </w:r>
    </w:p>
    <w:p w14:paraId="12061C78">
      <w:pPr>
        <w:spacing w:line="520" w:lineRule="exact"/>
        <w:ind w:firstLine="640" w:firstLineChars="200"/>
        <w:outlineLvl w:val="2"/>
      </w:pPr>
      <w:r>
        <w:rPr>
          <w:rFonts w:eastAsia="仿宋_GB2312"/>
          <w:sz w:val="32"/>
          <w:szCs w:val="32"/>
        </w:rPr>
        <w:t>申报产品应当符合适用的强制性标准。对于强制性行业标准，若申报产品结构特征、预期用途、使用方式等与强制性标准的适用范围不一致，申请人应当提出不适用强制性标准的说明，并提供经验证的证明性资料。</w:t>
      </w:r>
    </w:p>
    <w:p w14:paraId="62B7DB31">
      <w:pPr>
        <w:adjustRightInd w:val="0"/>
        <w:snapToGrid w:val="0"/>
        <w:spacing w:line="520" w:lineRule="exact"/>
        <w:ind w:firstLine="640" w:firstLineChars="200"/>
        <w:rPr>
          <w:rFonts w:eastAsia="仿宋_GB2312"/>
          <w:spacing w:val="-1"/>
          <w:sz w:val="32"/>
          <w:szCs w:val="32"/>
        </w:rPr>
      </w:pPr>
      <w:r>
        <w:rPr>
          <w:rFonts w:hint="eastAsia" w:eastAsia="仿宋_GB2312"/>
          <w:sz w:val="32"/>
          <w:szCs w:val="32"/>
        </w:rPr>
        <w:t>3</w:t>
      </w:r>
      <w:r>
        <w:rPr>
          <w:rFonts w:eastAsia="仿宋_GB2312"/>
          <w:sz w:val="32"/>
          <w:szCs w:val="32"/>
        </w:rPr>
        <w:t>.</w:t>
      </w:r>
      <w:r>
        <w:rPr>
          <w:rFonts w:hint="eastAsia" w:eastAsia="仿宋_GB2312"/>
          <w:sz w:val="32"/>
          <w:szCs w:val="32"/>
        </w:rPr>
        <w:t>2</w:t>
      </w:r>
      <w:r>
        <w:rPr>
          <w:rFonts w:eastAsia="仿宋_GB2312"/>
          <w:spacing w:val="-1"/>
          <w:sz w:val="32"/>
          <w:szCs w:val="32"/>
        </w:rPr>
        <w:t>产品技术要求</w:t>
      </w:r>
    </w:p>
    <w:p w14:paraId="4C970A68">
      <w:pPr>
        <w:spacing w:line="520" w:lineRule="exact"/>
        <w:ind w:firstLine="640" w:firstLineChars="200"/>
        <w:outlineLvl w:val="2"/>
        <w:rPr>
          <w:rFonts w:eastAsia="仿宋_GB2312"/>
          <w:sz w:val="32"/>
          <w:szCs w:val="32"/>
        </w:rPr>
      </w:pPr>
      <w:r>
        <w:rPr>
          <w:rFonts w:hint="eastAsia" w:eastAsia="仿宋_GB2312"/>
          <w:sz w:val="32"/>
          <w:szCs w:val="32"/>
        </w:rPr>
        <w:t>产品技术要求应按照《医疗器械产品技术要求编写指导原则》</w:t>
      </w:r>
      <w:r>
        <w:rPr>
          <w:rFonts w:eastAsia="仿宋_GB2312"/>
          <w:sz w:val="32"/>
          <w:szCs w:val="32"/>
        </w:rPr>
        <w:t>等规范性文件进行编制</w:t>
      </w:r>
      <w:r>
        <w:rPr>
          <w:rFonts w:hint="eastAsia" w:eastAsia="仿宋_GB2312"/>
          <w:sz w:val="32"/>
          <w:szCs w:val="32"/>
        </w:rPr>
        <w:t>。</w:t>
      </w:r>
    </w:p>
    <w:p w14:paraId="6AE5A4A3">
      <w:pPr>
        <w:spacing w:line="520" w:lineRule="exact"/>
        <w:ind w:firstLine="640" w:firstLineChars="200"/>
        <w:outlineLvl w:val="2"/>
        <w:rPr>
          <w:rFonts w:eastAsia="仿宋_GB2312"/>
          <w:sz w:val="32"/>
          <w:szCs w:val="32"/>
        </w:rPr>
      </w:pPr>
      <w:r>
        <w:rPr>
          <w:rFonts w:hint="eastAsia" w:eastAsia="仿宋_GB2312"/>
          <w:sz w:val="32"/>
          <w:szCs w:val="32"/>
        </w:rPr>
        <w:t>不同的产品其结构根据设计要求会有所区别。本指导原则列出此类产品可能涉及的重要性能参数，注册申请人可根据自身产品的技术特点制定性能指标的具体要求。</w:t>
      </w:r>
    </w:p>
    <w:p w14:paraId="5A02A3EF">
      <w:pPr>
        <w:tabs>
          <w:tab w:val="left" w:pos="1440"/>
        </w:tabs>
        <w:spacing w:line="520" w:lineRule="exact"/>
        <w:ind w:firstLine="640"/>
        <w:rPr>
          <w:rFonts w:eastAsia="仿宋_GB2312"/>
          <w:sz w:val="32"/>
          <w:szCs w:val="32"/>
        </w:rPr>
      </w:pPr>
      <w:r>
        <w:rPr>
          <w:rFonts w:hint="eastAsia" w:eastAsia="仿宋_GB2312"/>
          <w:sz w:val="32"/>
          <w:szCs w:val="32"/>
        </w:rPr>
        <w:t>3.2.1产品型号规格及其划分说明</w:t>
      </w:r>
    </w:p>
    <w:p w14:paraId="75BD2747">
      <w:pPr>
        <w:spacing w:line="520" w:lineRule="exact"/>
        <w:ind w:firstLine="640" w:firstLineChars="200"/>
        <w:outlineLvl w:val="1"/>
        <w:rPr>
          <w:rFonts w:eastAsia="仿宋_GB2312"/>
          <w:sz w:val="32"/>
          <w:szCs w:val="32"/>
        </w:rPr>
      </w:pPr>
      <w:r>
        <w:rPr>
          <w:rFonts w:hint="eastAsia" w:eastAsia="仿宋_GB2312"/>
          <w:sz w:val="32"/>
          <w:szCs w:val="32"/>
        </w:rPr>
        <w:t>应明确各规格型号划分依据及说明。若有多个型号，应提供型号间主要差异对比表。</w:t>
      </w:r>
    </w:p>
    <w:p w14:paraId="7DDDBDBA">
      <w:pPr>
        <w:spacing w:line="520" w:lineRule="exact"/>
        <w:ind w:firstLine="640" w:firstLineChars="200"/>
        <w:outlineLvl w:val="2"/>
        <w:rPr>
          <w:rFonts w:eastAsia="仿宋_GB2312"/>
          <w:sz w:val="32"/>
          <w:szCs w:val="32"/>
        </w:rPr>
      </w:pPr>
      <w:r>
        <w:rPr>
          <w:rFonts w:hint="eastAsia" w:eastAsia="仿宋_GB2312"/>
          <w:sz w:val="32"/>
          <w:szCs w:val="32"/>
        </w:rPr>
        <w:t>应按照《医疗器械软件注册审查指导原则（2022年修订版）》的要求，明确软件名称、型号规格、发布版本、版本命名规则。软件版本命名应能区分重大软件更新和轻微软件更新。</w:t>
      </w:r>
    </w:p>
    <w:p w14:paraId="72F77F4D">
      <w:pPr>
        <w:tabs>
          <w:tab w:val="left" w:pos="1440"/>
        </w:tabs>
        <w:spacing w:line="520" w:lineRule="exact"/>
        <w:ind w:firstLine="640"/>
        <w:rPr>
          <w:rFonts w:eastAsia="仿宋_GB2312"/>
          <w:sz w:val="32"/>
          <w:szCs w:val="32"/>
        </w:rPr>
      </w:pPr>
      <w:r>
        <w:rPr>
          <w:rFonts w:hint="eastAsia" w:eastAsia="仿宋_GB2312"/>
          <w:sz w:val="32"/>
          <w:szCs w:val="32"/>
        </w:rPr>
        <w:t>3.</w:t>
      </w:r>
      <w:r>
        <w:rPr>
          <w:rFonts w:eastAsia="仿宋_GB2312"/>
          <w:sz w:val="32"/>
          <w:szCs w:val="32"/>
        </w:rPr>
        <w:t>2</w:t>
      </w:r>
      <w:r>
        <w:rPr>
          <w:rFonts w:hint="eastAsia" w:eastAsia="仿宋_GB2312"/>
          <w:sz w:val="32"/>
          <w:szCs w:val="32"/>
        </w:rPr>
        <w:t>.2</w:t>
      </w:r>
      <w:r>
        <w:rPr>
          <w:rFonts w:eastAsia="仿宋_GB2312"/>
          <w:sz w:val="32"/>
          <w:szCs w:val="32"/>
        </w:rPr>
        <w:t>性能指标</w:t>
      </w:r>
    </w:p>
    <w:p w14:paraId="1331D14C">
      <w:pPr>
        <w:adjustRightInd w:val="0"/>
        <w:snapToGrid w:val="0"/>
        <w:spacing w:line="520" w:lineRule="exact"/>
        <w:ind w:firstLine="640" w:firstLineChars="200"/>
        <w:rPr>
          <w:rFonts w:eastAsia="仿宋_GB2312"/>
          <w:sz w:val="32"/>
          <w:szCs w:val="32"/>
        </w:rPr>
      </w:pPr>
      <w:r>
        <w:rPr>
          <w:rFonts w:hint="eastAsia" w:eastAsia="仿宋_GB2312"/>
          <w:sz w:val="32"/>
          <w:szCs w:val="32"/>
        </w:rPr>
        <w:t>技术指标需不低于相关的强制性国家标准和行业标准。检验方法宜优先采用强制性国家标准、行业标准中的方法，若采用其他方法则需说明合理性原因并在研究资料中提供验证资料。对于强制性相关国家标准、行业标准中不适用的条款，需说明不适用的原因。</w:t>
      </w:r>
    </w:p>
    <w:p w14:paraId="5069C8C0">
      <w:pPr>
        <w:spacing w:line="520" w:lineRule="exact"/>
        <w:ind w:firstLine="640" w:firstLineChars="200"/>
        <w:rPr>
          <w:rFonts w:eastAsia="仿宋_GB2312"/>
          <w:sz w:val="32"/>
          <w:szCs w:val="32"/>
        </w:rPr>
      </w:pPr>
      <w:r>
        <w:rPr>
          <w:rFonts w:eastAsia="仿宋_GB2312"/>
          <w:sz w:val="32"/>
          <w:szCs w:val="32"/>
        </w:rPr>
        <w:t>注册申请人应结合产品自身功能、工作原理特点、技术水平予以考虑适用的标准。产品技术要求中性能指标项目的具体要求应与性能研究资料保持一致，并具有确定的研究资料依据。</w:t>
      </w:r>
    </w:p>
    <w:p w14:paraId="535D1BA7">
      <w:pPr>
        <w:adjustRightInd w:val="0"/>
        <w:snapToGrid w:val="0"/>
        <w:spacing w:line="520" w:lineRule="exact"/>
        <w:ind w:firstLine="640" w:firstLineChars="200"/>
        <w:rPr>
          <w:rFonts w:eastAsia="仿宋_GB2312"/>
          <w:sz w:val="32"/>
          <w:szCs w:val="32"/>
        </w:rPr>
      </w:pPr>
      <w:r>
        <w:rPr>
          <w:rFonts w:hint="eastAsia" w:eastAsia="仿宋_GB2312"/>
          <w:sz w:val="32"/>
          <w:szCs w:val="32"/>
        </w:rPr>
        <w:t>3.2.3软件功能</w:t>
      </w:r>
    </w:p>
    <w:p w14:paraId="6E90FEE2">
      <w:pPr>
        <w:spacing w:line="520" w:lineRule="exact"/>
        <w:ind w:firstLine="640" w:firstLineChars="200"/>
        <w:outlineLvl w:val="2"/>
        <w:rPr>
          <w:rFonts w:eastAsia="仿宋_GB2312"/>
          <w:sz w:val="32"/>
          <w:szCs w:val="32"/>
        </w:rPr>
      </w:pPr>
      <w:r>
        <w:rPr>
          <w:rFonts w:hint="eastAsia" w:eastAsia="仿宋_GB2312"/>
          <w:sz w:val="32"/>
          <w:szCs w:val="28"/>
        </w:rPr>
        <w:t>应符合《医疗器械软件注册审查指导原则（2022年修订版）》的要求，明确软件的功能（核心功能（含安全功能）纲要）、使用限制、接口（如适用）、访问控制（如适用）、运行环境（如适用）、性能效率（如适用）</w:t>
      </w:r>
      <w:r>
        <w:rPr>
          <w:rFonts w:hint="eastAsia" w:eastAsia="仿宋_GB2312"/>
          <w:sz w:val="32"/>
          <w:szCs w:val="32"/>
        </w:rPr>
        <w:t>等</w:t>
      </w:r>
      <w:r>
        <w:rPr>
          <w:rFonts w:hint="eastAsia" w:eastAsia="仿宋_GB2312"/>
          <w:sz w:val="32"/>
          <w:szCs w:val="28"/>
        </w:rPr>
        <w:t>。</w:t>
      </w:r>
    </w:p>
    <w:p w14:paraId="55B53439">
      <w:pPr>
        <w:adjustRightInd w:val="0"/>
        <w:snapToGrid w:val="0"/>
        <w:spacing w:line="520" w:lineRule="exact"/>
        <w:ind w:firstLine="640" w:firstLineChars="200"/>
        <w:rPr>
          <w:rFonts w:eastAsia="仿宋_GB2312"/>
          <w:sz w:val="32"/>
          <w:szCs w:val="32"/>
        </w:rPr>
      </w:pPr>
      <w:r>
        <w:rPr>
          <w:rFonts w:hint="eastAsia" w:eastAsia="仿宋_GB2312"/>
          <w:sz w:val="32"/>
          <w:szCs w:val="32"/>
        </w:rPr>
        <w:t>3.2.4</w:t>
      </w:r>
      <w:r>
        <w:rPr>
          <w:rFonts w:eastAsia="仿宋_GB2312"/>
          <w:sz w:val="32"/>
          <w:szCs w:val="32"/>
        </w:rPr>
        <w:t>安全</w:t>
      </w:r>
      <w:r>
        <w:rPr>
          <w:rFonts w:hint="eastAsia" w:eastAsia="仿宋_GB2312"/>
          <w:sz w:val="32"/>
          <w:szCs w:val="32"/>
        </w:rPr>
        <w:t>性能</w:t>
      </w:r>
    </w:p>
    <w:p w14:paraId="292D823F">
      <w:pPr>
        <w:adjustRightInd w:val="0"/>
        <w:snapToGrid w:val="0"/>
        <w:spacing w:line="520" w:lineRule="exact"/>
        <w:ind w:firstLine="640" w:firstLineChars="200"/>
        <w:jc w:val="left"/>
        <w:rPr>
          <w:rFonts w:eastAsia="仿宋_GB2312"/>
          <w:sz w:val="32"/>
          <w:szCs w:val="32"/>
        </w:rPr>
      </w:pPr>
      <w:r>
        <w:rPr>
          <w:rFonts w:hint="eastAsia" w:eastAsia="仿宋_GB2312"/>
          <w:sz w:val="32"/>
          <w:szCs w:val="32"/>
        </w:rPr>
        <w:t>符合GB 4793、YY/T 0648、</w:t>
      </w:r>
      <w:r>
        <w:rPr>
          <w:rFonts w:eastAsia="仿宋_GB2312"/>
          <w:sz w:val="32"/>
          <w:szCs w:val="32"/>
        </w:rPr>
        <w:t>GBT 42125</w:t>
      </w:r>
      <w:r>
        <w:rPr>
          <w:rFonts w:hint="eastAsia" w:eastAsia="仿宋_GB2312"/>
          <w:sz w:val="32"/>
          <w:szCs w:val="32"/>
        </w:rPr>
        <w:t>系列标准中适用条款要求。</w:t>
      </w:r>
    </w:p>
    <w:p w14:paraId="531FB994">
      <w:pPr>
        <w:adjustRightInd w:val="0"/>
        <w:snapToGrid w:val="0"/>
        <w:spacing w:line="520" w:lineRule="exact"/>
        <w:ind w:firstLine="640" w:firstLineChars="200"/>
        <w:rPr>
          <w:rFonts w:eastAsia="仿宋_GB2312"/>
          <w:sz w:val="32"/>
          <w:szCs w:val="32"/>
        </w:rPr>
      </w:pPr>
      <w:r>
        <w:rPr>
          <w:rFonts w:hint="eastAsia" w:eastAsia="仿宋_GB2312"/>
          <w:sz w:val="32"/>
          <w:szCs w:val="32"/>
        </w:rPr>
        <w:t>3.2.</w:t>
      </w:r>
      <w:r>
        <w:rPr>
          <w:rFonts w:hint="eastAsia" w:eastAsia="仿宋_GB2312"/>
          <w:sz w:val="32"/>
          <w:szCs w:val="32"/>
          <w:lang w:val="en-US" w:eastAsia="zh-CN"/>
        </w:rPr>
        <w:t>5</w:t>
      </w:r>
      <w:r>
        <w:rPr>
          <w:rFonts w:eastAsia="仿宋_GB2312"/>
          <w:sz w:val="32"/>
          <w:szCs w:val="32"/>
        </w:rPr>
        <w:t>电磁兼容要求</w:t>
      </w:r>
    </w:p>
    <w:p w14:paraId="1EB0B0BC">
      <w:pPr>
        <w:adjustRightInd w:val="0"/>
        <w:snapToGrid w:val="0"/>
        <w:spacing w:line="520" w:lineRule="exact"/>
        <w:ind w:firstLine="640" w:firstLineChars="200"/>
        <w:rPr>
          <w:rFonts w:eastAsia="仿宋_GB2312"/>
          <w:sz w:val="32"/>
          <w:szCs w:val="32"/>
        </w:rPr>
      </w:pPr>
      <w:r>
        <w:rPr>
          <w:rFonts w:eastAsia="仿宋_GB2312"/>
          <w:sz w:val="32"/>
          <w:szCs w:val="32"/>
        </w:rPr>
        <w:t>符合GB/T 18268.1、GB/T 18268.26中适用条款的要求。</w:t>
      </w:r>
    </w:p>
    <w:p w14:paraId="115C3B28">
      <w:pPr>
        <w:adjustRightInd w:val="0"/>
        <w:snapToGrid w:val="0"/>
        <w:spacing w:line="520" w:lineRule="exact"/>
        <w:ind w:firstLine="640" w:firstLineChars="200"/>
        <w:rPr>
          <w:rFonts w:eastAsia="仿宋_GB2312"/>
          <w:sz w:val="32"/>
          <w:szCs w:val="32"/>
        </w:rPr>
      </w:pPr>
      <w:r>
        <w:rPr>
          <w:rFonts w:hint="eastAsia" w:eastAsia="仿宋_GB2312"/>
          <w:sz w:val="32"/>
          <w:szCs w:val="32"/>
        </w:rPr>
        <w:t>3</w:t>
      </w:r>
      <w:r>
        <w:rPr>
          <w:rFonts w:eastAsia="仿宋_GB2312"/>
          <w:sz w:val="32"/>
          <w:szCs w:val="32"/>
        </w:rPr>
        <w:t>.</w:t>
      </w:r>
      <w:r>
        <w:rPr>
          <w:rFonts w:hint="eastAsia" w:eastAsia="仿宋_GB2312"/>
          <w:sz w:val="32"/>
          <w:szCs w:val="32"/>
        </w:rPr>
        <w:t>2</w:t>
      </w:r>
      <w:r>
        <w:rPr>
          <w:rFonts w:eastAsia="仿宋_GB2312"/>
          <w:sz w:val="32"/>
          <w:szCs w:val="32"/>
        </w:rPr>
        <w:t>.</w:t>
      </w:r>
      <w:r>
        <w:rPr>
          <w:rFonts w:hint="eastAsia" w:eastAsia="仿宋_GB2312"/>
          <w:sz w:val="32"/>
          <w:szCs w:val="32"/>
        </w:rPr>
        <w:t>6</w:t>
      </w:r>
      <w:r>
        <w:rPr>
          <w:rFonts w:eastAsia="仿宋_GB2312"/>
          <w:sz w:val="32"/>
          <w:szCs w:val="32"/>
        </w:rPr>
        <w:t>网络安全</w:t>
      </w:r>
    </w:p>
    <w:p w14:paraId="1B65170A">
      <w:pPr>
        <w:spacing w:line="520" w:lineRule="exact"/>
        <w:ind w:right="-67" w:rightChars="-32" w:firstLine="640" w:firstLineChars="200"/>
        <w:rPr>
          <w:rFonts w:eastAsia="仿宋_GB2312"/>
          <w:bCs/>
          <w:sz w:val="32"/>
          <w:szCs w:val="32"/>
        </w:rPr>
      </w:pPr>
      <w:r>
        <w:rPr>
          <w:rFonts w:eastAsia="仿宋_GB2312"/>
          <w:sz w:val="32"/>
          <w:szCs w:val="32"/>
        </w:rPr>
        <w:t>网络安全应参照《</w:t>
      </w:r>
      <w:r>
        <w:rPr>
          <w:rFonts w:hint="eastAsia" w:eastAsia="仿宋_GB2312"/>
          <w:sz w:val="32"/>
          <w:szCs w:val="32"/>
        </w:rPr>
        <w:t>医疗器械网络安全注册审查指导原则（2022年修订版）</w:t>
      </w:r>
      <w:r>
        <w:rPr>
          <w:rFonts w:eastAsia="仿宋_GB2312"/>
          <w:sz w:val="32"/>
          <w:szCs w:val="32"/>
        </w:rPr>
        <w:t>》</w:t>
      </w:r>
      <w:r>
        <w:rPr>
          <w:rFonts w:eastAsia="仿宋_GB2312"/>
          <w:bCs/>
          <w:sz w:val="32"/>
          <w:szCs w:val="32"/>
        </w:rPr>
        <w:t>的相关要求。</w:t>
      </w:r>
    </w:p>
    <w:p w14:paraId="7C91657A">
      <w:pPr>
        <w:spacing w:line="520" w:lineRule="exact"/>
        <w:ind w:right="-67" w:rightChars="-32" w:firstLine="640" w:firstLineChars="200"/>
        <w:rPr>
          <w:rFonts w:eastAsia="仿宋_GB2312"/>
          <w:spacing w:val="-1"/>
          <w:sz w:val="32"/>
          <w:szCs w:val="32"/>
        </w:rPr>
      </w:pPr>
      <w:r>
        <w:rPr>
          <w:rFonts w:hint="eastAsia" w:eastAsia="仿宋_GB2312"/>
          <w:sz w:val="32"/>
          <w:szCs w:val="32"/>
        </w:rPr>
        <w:t>注：环境试验要求不建议纳入产品技术要求性能指标中。</w:t>
      </w:r>
    </w:p>
    <w:p w14:paraId="1EB1FE31">
      <w:pPr>
        <w:spacing w:line="520" w:lineRule="exact"/>
        <w:ind w:right="-67" w:rightChars="-32" w:firstLine="640" w:firstLineChars="200"/>
        <w:rPr>
          <w:rFonts w:eastAsia="仿宋_GB2312"/>
          <w:sz w:val="32"/>
          <w:szCs w:val="32"/>
        </w:rPr>
      </w:pPr>
      <w:r>
        <w:rPr>
          <w:rFonts w:hint="eastAsia" w:eastAsia="仿宋_GB2312"/>
          <w:sz w:val="32"/>
          <w:szCs w:val="32"/>
        </w:rPr>
        <w:t>3</w:t>
      </w:r>
      <w:r>
        <w:rPr>
          <w:rFonts w:eastAsia="仿宋_GB2312"/>
          <w:sz w:val="32"/>
          <w:szCs w:val="32"/>
        </w:rPr>
        <w:t>.</w:t>
      </w:r>
      <w:r>
        <w:rPr>
          <w:rFonts w:hint="eastAsia" w:eastAsia="仿宋_GB2312"/>
          <w:sz w:val="32"/>
          <w:szCs w:val="32"/>
        </w:rPr>
        <w:t>3产品</w:t>
      </w:r>
      <w:r>
        <w:rPr>
          <w:rFonts w:eastAsia="仿宋_GB2312"/>
          <w:spacing w:val="-1"/>
          <w:sz w:val="32"/>
          <w:szCs w:val="32"/>
        </w:rPr>
        <w:t>检验报告</w:t>
      </w:r>
    </w:p>
    <w:p w14:paraId="3B2208C0">
      <w:pPr>
        <w:autoSpaceDE w:val="0"/>
        <w:autoSpaceDN w:val="0"/>
        <w:spacing w:line="520" w:lineRule="exact"/>
        <w:ind w:firstLine="640" w:firstLineChars="200"/>
        <w:rPr>
          <w:rFonts w:eastAsia="仿宋_GB2312"/>
          <w:kern w:val="0"/>
          <w:sz w:val="32"/>
          <w:szCs w:val="32"/>
        </w:rPr>
      </w:pPr>
      <w:r>
        <w:rPr>
          <w:rFonts w:hint="eastAsia" w:eastAsia="仿宋_GB2312"/>
          <w:kern w:val="0"/>
          <w:sz w:val="32"/>
          <w:szCs w:val="32"/>
        </w:rPr>
        <w:t>注册申报时可提交注册申请人按《医疗器械自检管理规定》出具的自检报告，或委托有资质的医疗器械检验机构出具的检验报告；典型型号产品原则上应选取同一注册单元内功能最齐全、结构组成最复杂、风险最高，且能代表本单元其他产品安全性和有效性的产品，若单元内各型号性能指标无法被典型型号全部涵盖，可对其他型号开展差异项检验。</w:t>
      </w:r>
    </w:p>
    <w:p w14:paraId="0C29432C">
      <w:pPr>
        <w:autoSpaceDE w:val="0"/>
        <w:autoSpaceDN w:val="0"/>
        <w:spacing w:line="520" w:lineRule="exact"/>
        <w:ind w:firstLine="640" w:firstLineChars="200"/>
        <w:rPr>
          <w:rFonts w:eastAsia="仿宋_GB2312"/>
          <w:kern w:val="0"/>
          <w:sz w:val="32"/>
          <w:szCs w:val="32"/>
        </w:rPr>
      </w:pPr>
      <w:r>
        <w:rPr>
          <w:rFonts w:hint="eastAsia" w:eastAsia="仿宋_GB2312"/>
          <w:kern w:val="0"/>
          <w:sz w:val="32"/>
          <w:szCs w:val="32"/>
        </w:rPr>
        <w:t>选取代表产品时应综合考虑预期用途、性能指标、安全指标、结构组成等：性能、安全、结构一致但预期用途不同，选预期用途最多的型号；预期用途一致、主要设计差异未显著影响安全有效性，选性能指标标称值最高的型号，电气安全无法互相覆盖时需逐台检测；含多个或多版本软件组件的产品，除非可完整覆盖，否则每个软件组件/版本均应作为独立检测单元。</w:t>
      </w:r>
    </w:p>
    <w:p w14:paraId="76266380">
      <w:pPr>
        <w:autoSpaceDE w:val="0"/>
        <w:autoSpaceDN w:val="0"/>
        <w:spacing w:line="520" w:lineRule="exact"/>
        <w:ind w:firstLine="640" w:firstLineChars="200"/>
        <w:rPr>
          <w:rFonts w:eastAsia="仿宋_GB2312"/>
          <w:kern w:val="0"/>
          <w:sz w:val="32"/>
          <w:szCs w:val="32"/>
        </w:rPr>
      </w:pPr>
      <w:r>
        <w:rPr>
          <w:rFonts w:hint="eastAsia" w:eastAsia="仿宋_GB2312"/>
          <w:kern w:val="0"/>
          <w:sz w:val="32"/>
          <w:szCs w:val="32"/>
        </w:rPr>
        <w:t>若无充足证据证明注册单元内不同型号规格的电磁兼容性能可互相覆盖，需对每一型号规格单独开展电磁兼容检测；申请人应提交资料证明代表产品选择的合理性，若主张不同型号电磁兼容性能可覆盖，需由出具检验报告的医疗器械检验机构提供相关覆盖说明。</w:t>
      </w:r>
    </w:p>
    <w:p w14:paraId="368BA2BF">
      <w:pPr>
        <w:spacing w:line="520" w:lineRule="exact"/>
        <w:ind w:firstLine="640" w:firstLineChars="200"/>
      </w:pPr>
      <w:r>
        <w:rPr>
          <w:rFonts w:hint="eastAsia" w:eastAsia="仿宋_GB2312"/>
          <w:sz w:val="32"/>
          <w:szCs w:val="32"/>
        </w:rPr>
        <w:t>4.研究资料</w:t>
      </w:r>
    </w:p>
    <w:p w14:paraId="347A2C6D">
      <w:pPr>
        <w:autoSpaceDE w:val="0"/>
        <w:autoSpaceDN w:val="0"/>
        <w:spacing w:line="520" w:lineRule="exact"/>
        <w:ind w:firstLine="640" w:firstLineChars="200"/>
        <w:rPr>
          <w:rFonts w:hint="eastAsia" w:eastAsia="仿宋_GB2312"/>
          <w:kern w:val="0"/>
          <w:sz w:val="32"/>
          <w:szCs w:val="32"/>
        </w:rPr>
      </w:pPr>
      <w:r>
        <w:rPr>
          <w:rFonts w:hint="eastAsia" w:eastAsia="仿宋_GB2312"/>
          <w:kern w:val="0"/>
          <w:sz w:val="32"/>
          <w:szCs w:val="32"/>
        </w:rPr>
        <w:t>申请人应结合产品特点开展可用性研究。对于存在人为操作因素可能影响产品安全性和有效性的产品，应按照《医疗器械可用性工程注册审查指导原则》的要求，提交可用性研究资料，包括但不限于用户特征分析、使用场景分析、关键操作任务识别、使用错误风险分析及可用性验证等内容。</w:t>
      </w:r>
    </w:p>
    <w:p w14:paraId="31DE7328">
      <w:pPr>
        <w:spacing w:line="520" w:lineRule="exact"/>
        <w:ind w:firstLine="640" w:firstLineChars="200"/>
        <w:rPr>
          <w:rFonts w:eastAsia="仿宋_GB2312"/>
          <w:sz w:val="32"/>
          <w:szCs w:val="32"/>
        </w:rPr>
      </w:pPr>
      <w:r>
        <w:rPr>
          <w:rFonts w:hint="eastAsia" w:eastAsia="仿宋_GB2312"/>
          <w:sz w:val="32"/>
          <w:szCs w:val="32"/>
        </w:rPr>
        <w:t>4.1化学和物理性能研究</w:t>
      </w:r>
    </w:p>
    <w:p w14:paraId="29612F13">
      <w:pPr>
        <w:spacing w:line="520" w:lineRule="exact"/>
        <w:ind w:firstLine="640" w:firstLineChars="200"/>
        <w:rPr>
          <w:rFonts w:eastAsia="仿宋_GB2312"/>
          <w:color w:val="000000"/>
          <w:sz w:val="32"/>
          <w:szCs w:val="32"/>
        </w:rPr>
      </w:pPr>
      <w:r>
        <w:rPr>
          <w:rFonts w:hint="eastAsia" w:eastAsia="仿宋_GB2312"/>
          <w:color w:val="000000"/>
          <w:sz w:val="32"/>
          <w:szCs w:val="32"/>
        </w:rPr>
        <w:t>提供产品化学/材料表征、物理和/或机械性能指标的确定依据、设计输入来源以及临床意义，所采用的标准或方法、采用的原因及理论基础。</w:t>
      </w:r>
    </w:p>
    <w:p w14:paraId="49364207">
      <w:pPr>
        <w:spacing w:line="520" w:lineRule="exact"/>
        <w:ind w:firstLine="640" w:firstLineChars="200"/>
        <w:rPr>
          <w:rFonts w:eastAsia="仿宋_GB2312"/>
          <w:color w:val="FF0000"/>
          <w:kern w:val="0"/>
          <w:sz w:val="32"/>
          <w:szCs w:val="32"/>
        </w:rPr>
      </w:pPr>
      <w:r>
        <w:rPr>
          <w:rFonts w:hint="eastAsia" w:eastAsia="仿宋_GB2312"/>
          <w:color w:val="000000"/>
          <w:sz w:val="32"/>
          <w:szCs w:val="32"/>
        </w:rPr>
        <w:t>如申报产品预期与其他医疗器械、药品、非医疗器械产品联合使用实现同一预期用途，应当提供证明联合使用安全有效的研究资料，包括互联基本信息（连接类型、接口、协议、最低性能）、联合使用风险及控制措施、联合使用上的限制，兼容性研究等。</w:t>
      </w:r>
    </w:p>
    <w:p w14:paraId="63E2A455">
      <w:pPr>
        <w:pStyle w:val="23"/>
        <w:snapToGrid w:val="0"/>
        <w:spacing w:line="520" w:lineRule="exact"/>
        <w:ind w:firstLine="640"/>
        <w:rPr>
          <w:rFonts w:eastAsia="仿宋_GB2312"/>
          <w:color w:val="FF0000"/>
          <w:sz w:val="32"/>
          <w:szCs w:val="32"/>
        </w:rPr>
      </w:pPr>
      <w:r>
        <w:rPr>
          <w:rFonts w:hint="eastAsia" w:eastAsia="仿宋_GB2312"/>
          <w:kern w:val="0"/>
          <w:sz w:val="32"/>
          <w:szCs w:val="32"/>
        </w:rPr>
        <w:t>建议申请人根据配套生殖道分泌物检测试剂分析性能评估的基础研究结果，综合考虑全自动生殖道分泌物分析仪的检测原理、反应模式及可检测生殖道分泌物被分析物情况，按照对申报产品评价最不利原则，对每一适用被分析物类别，采用临床生殖道分泌物样本开展研究，并提供详细的分析性能研究资料，包括重复性、检出线、线性（如适用）以及其他与产品性能相关的研究项目（如适用）</w:t>
      </w:r>
      <w:r>
        <w:rPr>
          <w:rFonts w:hint="eastAsia" w:eastAsia="仿宋_GB2312"/>
          <w:kern w:val="0"/>
          <w:sz w:val="32"/>
          <w:szCs w:val="32"/>
        </w:rPr>
        <w:t>。</w:t>
      </w:r>
    </w:p>
    <w:p w14:paraId="077C12F5">
      <w:pPr>
        <w:spacing w:line="520" w:lineRule="exact"/>
        <w:ind w:firstLine="640" w:firstLineChars="200"/>
        <w:rPr>
          <w:rFonts w:eastAsia="仿宋_GB2312"/>
          <w:sz w:val="32"/>
          <w:szCs w:val="32"/>
        </w:rPr>
      </w:pPr>
      <w:r>
        <w:rPr>
          <w:rFonts w:hint="eastAsia" w:eastAsia="仿宋_GB2312"/>
          <w:sz w:val="32"/>
          <w:szCs w:val="32"/>
        </w:rPr>
        <w:t>4.2电气系统安全性研究</w:t>
      </w:r>
    </w:p>
    <w:p w14:paraId="016E415B">
      <w:pPr>
        <w:pStyle w:val="23"/>
        <w:snapToGrid w:val="0"/>
        <w:spacing w:line="520" w:lineRule="exact"/>
        <w:ind w:firstLine="640"/>
        <w:rPr>
          <w:rFonts w:eastAsia="仿宋_GB2312"/>
          <w:kern w:val="0"/>
          <w:sz w:val="32"/>
          <w:szCs w:val="32"/>
        </w:rPr>
      </w:pPr>
      <w:r>
        <w:rPr>
          <w:rFonts w:eastAsia="仿宋_GB2312"/>
          <w:kern w:val="0"/>
          <w:sz w:val="32"/>
          <w:szCs w:val="32"/>
        </w:rPr>
        <w:t>包括电气安全指标和电磁兼容指标两大类。电气安全指标应当包括</w:t>
      </w:r>
      <w:r>
        <w:rPr>
          <w:rFonts w:hint="eastAsia" w:eastAsia="仿宋_GB2312"/>
          <w:sz w:val="32"/>
          <w:szCs w:val="32"/>
        </w:rPr>
        <w:t>GB 4793、YY/T 0648、</w:t>
      </w:r>
      <w:r>
        <w:rPr>
          <w:rFonts w:eastAsia="仿宋_GB2312"/>
          <w:sz w:val="32"/>
          <w:szCs w:val="32"/>
        </w:rPr>
        <w:t>GBT 42125</w:t>
      </w:r>
      <w:r>
        <w:rPr>
          <w:rFonts w:hint="eastAsia" w:eastAsia="仿宋_GB2312"/>
          <w:sz w:val="32"/>
          <w:szCs w:val="32"/>
        </w:rPr>
        <w:t>系列</w:t>
      </w:r>
      <w:r>
        <w:rPr>
          <w:rFonts w:eastAsia="仿宋_GB2312"/>
          <w:kern w:val="0"/>
          <w:sz w:val="32"/>
          <w:szCs w:val="32"/>
        </w:rPr>
        <w:t>及其他适用的国家标准和行业标准中</w:t>
      </w:r>
      <w:r>
        <w:rPr>
          <w:rFonts w:eastAsia="仿宋_GB2312"/>
          <w:sz w:val="32"/>
          <w:szCs w:val="32"/>
        </w:rPr>
        <w:t>的</w:t>
      </w:r>
      <w:r>
        <w:rPr>
          <w:rFonts w:hint="eastAsia" w:eastAsia="仿宋_GB2312"/>
          <w:sz w:val="32"/>
          <w:szCs w:val="32"/>
        </w:rPr>
        <w:t>适用</w:t>
      </w:r>
      <w:r>
        <w:rPr>
          <w:rFonts w:eastAsia="仿宋_GB2312"/>
          <w:sz w:val="32"/>
          <w:szCs w:val="32"/>
        </w:rPr>
        <w:t>指标</w:t>
      </w:r>
      <w:r>
        <w:rPr>
          <w:rFonts w:eastAsia="仿宋_GB2312"/>
          <w:kern w:val="0"/>
          <w:sz w:val="32"/>
          <w:szCs w:val="32"/>
        </w:rPr>
        <w:t>。电磁兼容指标应当包括GB/T 18268.1和GB/T 18268.26及其他适用的国家标准和行业标准中</w:t>
      </w:r>
      <w:r>
        <w:rPr>
          <w:rFonts w:eastAsia="仿宋_GB2312"/>
          <w:sz w:val="32"/>
          <w:szCs w:val="32"/>
        </w:rPr>
        <w:t>的</w:t>
      </w:r>
      <w:r>
        <w:rPr>
          <w:rFonts w:hint="eastAsia" w:eastAsia="仿宋_GB2312"/>
          <w:sz w:val="32"/>
          <w:szCs w:val="32"/>
        </w:rPr>
        <w:t>适用</w:t>
      </w:r>
      <w:r>
        <w:rPr>
          <w:rFonts w:eastAsia="仿宋_GB2312"/>
          <w:sz w:val="32"/>
          <w:szCs w:val="32"/>
        </w:rPr>
        <w:t>指标</w:t>
      </w:r>
      <w:r>
        <w:rPr>
          <w:rFonts w:eastAsia="仿宋_GB2312"/>
          <w:kern w:val="0"/>
          <w:sz w:val="32"/>
          <w:szCs w:val="32"/>
        </w:rPr>
        <w:t>，应说明针对适用的标准开展的研究。</w:t>
      </w:r>
    </w:p>
    <w:p w14:paraId="2AA26E60">
      <w:pPr>
        <w:pStyle w:val="23"/>
        <w:snapToGrid w:val="0"/>
        <w:spacing w:line="520" w:lineRule="exact"/>
        <w:ind w:firstLine="640"/>
        <w:rPr>
          <w:rFonts w:eastAsia="仿宋_GB2312"/>
          <w:kern w:val="0"/>
          <w:sz w:val="32"/>
          <w:szCs w:val="32"/>
        </w:rPr>
      </w:pPr>
      <w:r>
        <w:rPr>
          <w:rFonts w:eastAsia="仿宋_GB2312"/>
          <w:kern w:val="0"/>
          <w:sz w:val="32"/>
          <w:szCs w:val="32"/>
        </w:rPr>
        <w:t>对于不适用的标准、标准中不适用的条款及指导原则中的不适用项，需给出不适用的合理</w:t>
      </w:r>
      <w:r>
        <w:rPr>
          <w:rFonts w:hint="eastAsia" w:eastAsia="仿宋_GB2312"/>
          <w:kern w:val="0"/>
          <w:sz w:val="32"/>
          <w:szCs w:val="32"/>
        </w:rPr>
        <w:t>性</w:t>
      </w:r>
      <w:r>
        <w:rPr>
          <w:rFonts w:eastAsia="仿宋_GB2312"/>
          <w:kern w:val="0"/>
          <w:sz w:val="32"/>
          <w:szCs w:val="32"/>
        </w:rPr>
        <w:t>理由。</w:t>
      </w:r>
    </w:p>
    <w:p w14:paraId="2B368BC3">
      <w:pPr>
        <w:adjustRightInd w:val="0"/>
        <w:snapToGrid w:val="0"/>
        <w:spacing w:line="520" w:lineRule="exact"/>
        <w:ind w:firstLine="640" w:firstLineChars="200"/>
        <w:rPr>
          <w:rFonts w:eastAsia="仿宋_GB2312"/>
          <w:sz w:val="32"/>
          <w:szCs w:val="32"/>
        </w:rPr>
      </w:pPr>
      <w:r>
        <w:rPr>
          <w:rFonts w:eastAsia="仿宋_GB2312"/>
          <w:sz w:val="32"/>
          <w:szCs w:val="32"/>
        </w:rPr>
        <w:t>对于申报产品与其他上市产品不同的特殊设计，应提供能证明该特殊设计产品安全有效的验证资料。</w:t>
      </w:r>
    </w:p>
    <w:p w14:paraId="274CD84B">
      <w:pPr>
        <w:adjustRightInd w:val="0"/>
        <w:snapToGrid w:val="0"/>
        <w:spacing w:line="520" w:lineRule="exact"/>
        <w:ind w:firstLine="640" w:firstLineChars="200"/>
        <w:rPr>
          <w:rFonts w:eastAsia="仿宋_GB2312"/>
          <w:kern w:val="0"/>
          <w:sz w:val="32"/>
          <w:szCs w:val="32"/>
        </w:rPr>
      </w:pPr>
      <w:r>
        <w:rPr>
          <w:rFonts w:hint="eastAsia" w:eastAsia="仿宋_GB2312"/>
          <w:kern w:val="0"/>
          <w:sz w:val="32"/>
          <w:szCs w:val="32"/>
        </w:rPr>
        <w:t>4</w:t>
      </w:r>
      <w:r>
        <w:rPr>
          <w:rFonts w:eastAsia="仿宋_GB2312"/>
          <w:kern w:val="0"/>
          <w:sz w:val="32"/>
          <w:szCs w:val="32"/>
        </w:rPr>
        <w:t>.</w:t>
      </w:r>
      <w:r>
        <w:rPr>
          <w:rFonts w:hint="eastAsia" w:eastAsia="仿宋_GB2312"/>
          <w:kern w:val="0"/>
          <w:sz w:val="32"/>
          <w:szCs w:val="32"/>
        </w:rPr>
        <w:t>3</w:t>
      </w:r>
      <w:r>
        <w:rPr>
          <w:rFonts w:eastAsia="仿宋_GB2312"/>
          <w:kern w:val="0"/>
          <w:sz w:val="32"/>
          <w:szCs w:val="32"/>
        </w:rPr>
        <w:t>软件研究</w:t>
      </w:r>
    </w:p>
    <w:p w14:paraId="38544DC1">
      <w:pPr>
        <w:spacing w:line="520" w:lineRule="exact"/>
        <w:ind w:firstLine="640" w:firstLineChars="200"/>
        <w:rPr>
          <w:rFonts w:hint="eastAsia" w:eastAsia="仿宋_GB2312"/>
          <w:sz w:val="32"/>
          <w:szCs w:val="32"/>
        </w:rPr>
      </w:pPr>
      <w:r>
        <w:rPr>
          <w:rFonts w:eastAsia="仿宋_GB2312"/>
          <w:sz w:val="32"/>
          <w:szCs w:val="32"/>
        </w:rPr>
        <w:t>应参照《医疗器械软件注册技术审查指导原则</w:t>
      </w:r>
      <w:r>
        <w:rPr>
          <w:rFonts w:hint="eastAsia" w:eastAsia="仿宋_GB2312"/>
          <w:sz w:val="32"/>
          <w:szCs w:val="32"/>
        </w:rPr>
        <w:t>（2022年修订版）</w:t>
      </w:r>
      <w:r>
        <w:rPr>
          <w:rFonts w:eastAsia="仿宋_GB2312"/>
          <w:sz w:val="32"/>
          <w:szCs w:val="32"/>
        </w:rPr>
        <w:t>》的相关要求。提供一份</w:t>
      </w:r>
      <w:r>
        <w:rPr>
          <w:rFonts w:hint="eastAsia" w:eastAsia="仿宋_GB2312"/>
          <w:sz w:val="32"/>
          <w:szCs w:val="32"/>
        </w:rPr>
        <w:t>软件研究资料（包括自研软件和现成软件）</w:t>
      </w:r>
      <w:r>
        <w:rPr>
          <w:rFonts w:eastAsia="仿宋_GB2312"/>
          <w:sz w:val="32"/>
          <w:szCs w:val="32"/>
        </w:rPr>
        <w:t>，内容包括基本信息、实现过程和核心</w:t>
      </w:r>
      <w:r>
        <w:rPr>
          <w:rFonts w:hint="eastAsia" w:eastAsia="仿宋_GB2312"/>
          <w:sz w:val="32"/>
          <w:szCs w:val="32"/>
        </w:rPr>
        <w:t>功能、结论</w:t>
      </w:r>
      <w:r>
        <w:rPr>
          <w:rFonts w:eastAsia="仿宋_GB2312"/>
          <w:sz w:val="32"/>
          <w:szCs w:val="32"/>
        </w:rPr>
        <w:t>，详尽程度取决于软件的安全性级别和复杂程度。同时，应出具关于软件版本命名规则的声明，并明确软件完整版本的全部字段及字段含义，确定软件的完整版本和软件发布版本。</w:t>
      </w:r>
      <w:r>
        <w:rPr>
          <w:rFonts w:hint="eastAsia" w:eastAsia="仿宋_GB2312"/>
          <w:sz w:val="32"/>
          <w:szCs w:val="32"/>
        </w:rPr>
        <w:t>如涉及网络安全（例如远程控制、电子数据交换、用户访问功能），应按照《医疗器械网络安全注册审查指导原则（2022修订版）》相关要求提供网络安全研究资料。</w:t>
      </w:r>
    </w:p>
    <w:p w14:paraId="65DA9352">
      <w:pPr>
        <w:spacing w:line="520" w:lineRule="exact"/>
        <w:ind w:firstLine="640" w:firstLineChars="200"/>
        <w:rPr>
          <w:rFonts w:hint="eastAsia" w:eastAsia="仿宋_GB2312"/>
          <w:sz w:val="32"/>
          <w:szCs w:val="32"/>
        </w:rPr>
      </w:pPr>
      <w:r>
        <w:rPr>
          <w:rFonts w:hint="eastAsia" w:eastAsia="仿宋_GB2312"/>
          <w:sz w:val="32"/>
          <w:szCs w:val="32"/>
        </w:rPr>
        <w:t>对于采用人工智能算法实现图像识别及自动分类功能的软件，应结合产品预期用途和风险程度，提供算法设计原理、识别性能验证及软件版本管理等研究资料。</w:t>
      </w:r>
    </w:p>
    <w:p w14:paraId="01AC3559">
      <w:pPr>
        <w:spacing w:line="520" w:lineRule="exact"/>
        <w:ind w:firstLine="640" w:firstLineChars="200"/>
        <w:rPr>
          <w:rFonts w:eastAsia="仿宋_GB2312"/>
          <w:sz w:val="32"/>
          <w:szCs w:val="32"/>
        </w:rPr>
      </w:pPr>
      <w:r>
        <w:rPr>
          <w:rFonts w:hint="eastAsia" w:eastAsia="仿宋_GB2312"/>
          <w:sz w:val="32"/>
          <w:szCs w:val="32"/>
        </w:rPr>
        <w:t>4.4清洁、消毒研究</w:t>
      </w:r>
    </w:p>
    <w:p w14:paraId="762D5FDB">
      <w:pPr>
        <w:adjustRightInd w:val="0"/>
        <w:snapToGrid w:val="0"/>
        <w:spacing w:line="520" w:lineRule="exact"/>
        <w:ind w:firstLine="640" w:firstLineChars="200"/>
        <w:rPr>
          <w:rFonts w:eastAsia="仿宋_GB2312"/>
          <w:sz w:val="32"/>
          <w:szCs w:val="32"/>
        </w:rPr>
      </w:pPr>
      <w:r>
        <w:rPr>
          <w:rFonts w:hint="eastAsia" w:eastAsia="仿宋_GB2312"/>
          <w:sz w:val="32"/>
          <w:szCs w:val="32"/>
        </w:rPr>
        <w:t>申请人应提供产品的清洁消毒工艺研究资料。应结合产品结构特点明确清洁消毒的范围，包括所有可能接触样本的部位（如加样针、孵育仓、检测通道、废液容器等），并说明推荐的清洁消毒方法、程序、作用时间、频次及清洁消毒效果验证情况。</w:t>
      </w:r>
    </w:p>
    <w:p w14:paraId="2D3455B1">
      <w:pPr>
        <w:spacing w:line="520" w:lineRule="exact"/>
        <w:ind w:firstLine="640" w:firstLineChars="200"/>
        <w:rPr>
          <w:rFonts w:eastAsia="仿宋_GB2312"/>
          <w:sz w:val="32"/>
          <w:szCs w:val="32"/>
        </w:rPr>
      </w:pPr>
      <w:r>
        <w:rPr>
          <w:rFonts w:hint="eastAsia" w:eastAsia="仿宋_GB2312"/>
          <w:sz w:val="32"/>
          <w:szCs w:val="32"/>
        </w:rPr>
        <w:t>5.稳定性研究</w:t>
      </w:r>
    </w:p>
    <w:p w14:paraId="076C4F81">
      <w:pPr>
        <w:spacing w:line="520" w:lineRule="exact"/>
        <w:ind w:firstLine="640"/>
        <w:jc w:val="left"/>
        <w:rPr>
          <w:rFonts w:eastAsia="仿宋_GB2312"/>
          <w:sz w:val="32"/>
          <w:szCs w:val="32"/>
        </w:rPr>
      </w:pPr>
      <w:r>
        <w:rPr>
          <w:rFonts w:hint="eastAsia" w:eastAsia="仿宋_GB2312"/>
          <w:sz w:val="32"/>
          <w:szCs w:val="32"/>
        </w:rPr>
        <w:t>参考《有源医疗器械使用期限技术审查指导原则》的要求开展研究。提供产品的使用稳定性研究资料，证明在规定的使用期限内，</w:t>
      </w:r>
      <w:r>
        <w:rPr>
          <w:rFonts w:hint="eastAsia" w:eastAsia="仿宋_GB2312"/>
          <w:bCs/>
          <w:sz w:val="32"/>
          <w:szCs w:val="32"/>
        </w:rPr>
        <w:t>在正常使用、维护和校准（如适用）情况下，</w:t>
      </w:r>
      <w:r>
        <w:rPr>
          <w:rFonts w:hint="eastAsia" w:eastAsia="仿宋_GB2312"/>
          <w:sz w:val="32"/>
          <w:szCs w:val="32"/>
        </w:rPr>
        <w:t>产品的性能功能可以满足临床使用要求。可以考虑从以下几个方面的影响因素：关键部件的寿命、清洗/消毒方法、部件维护维修情况、经验数据以及商业因素等。</w:t>
      </w:r>
    </w:p>
    <w:p w14:paraId="2C95EAC5">
      <w:pPr>
        <w:spacing w:line="520" w:lineRule="exact"/>
        <w:ind w:firstLine="640"/>
        <w:rPr>
          <w:rFonts w:eastAsia="仿宋_GB2312"/>
          <w:sz w:val="32"/>
          <w:szCs w:val="32"/>
        </w:rPr>
      </w:pPr>
      <w:r>
        <w:rPr>
          <w:rFonts w:hint="eastAsia" w:eastAsia="仿宋_GB2312"/>
          <w:bCs/>
          <w:sz w:val="32"/>
          <w:szCs w:val="32"/>
        </w:rPr>
        <w:t>提</w:t>
      </w:r>
      <w:r>
        <w:rPr>
          <w:rFonts w:eastAsia="仿宋_GB2312"/>
          <w:bCs/>
          <w:sz w:val="32"/>
          <w:szCs w:val="32"/>
        </w:rPr>
        <w:t>供运输稳定性和包装研究资料，证明在生产企业规定的运输条件下，运输过程中的环境条件（例如：振动、温度和湿度的波动）不会对医疗器械的特性和性能，包括完整性和清洁度，造成不利影响。环境试验可参考GB/T 14710的要求</w:t>
      </w:r>
      <w:r>
        <w:rPr>
          <w:rFonts w:hint="eastAsia" w:eastAsia="仿宋_GB2312"/>
          <w:bCs/>
          <w:sz w:val="32"/>
          <w:szCs w:val="32"/>
        </w:rPr>
        <w:t>，包装要求可参考GB/T 4857系列标准</w:t>
      </w:r>
      <w:r>
        <w:rPr>
          <w:rFonts w:eastAsia="仿宋_GB2312"/>
          <w:bCs/>
          <w:sz w:val="32"/>
          <w:szCs w:val="32"/>
        </w:rPr>
        <w:t>。</w:t>
      </w:r>
    </w:p>
    <w:p w14:paraId="7F2C9295">
      <w:pPr>
        <w:spacing w:line="520" w:lineRule="exact"/>
        <w:ind w:firstLine="640" w:firstLineChars="200"/>
        <w:rPr>
          <w:rFonts w:eastAsia="仿宋_GB2312"/>
          <w:sz w:val="32"/>
          <w:szCs w:val="32"/>
        </w:rPr>
      </w:pPr>
      <w:r>
        <w:rPr>
          <w:rFonts w:hint="eastAsia" w:eastAsia="仿宋_GB2312"/>
          <w:sz w:val="32"/>
          <w:szCs w:val="32"/>
        </w:rPr>
        <w:t>（四）临床评价资料</w:t>
      </w:r>
    </w:p>
    <w:p w14:paraId="37852A55">
      <w:pPr>
        <w:spacing w:line="520" w:lineRule="exact"/>
        <w:ind w:firstLine="640" w:firstLineChars="200"/>
        <w:rPr>
          <w:rFonts w:hint="eastAsia" w:eastAsia="仿宋_GB2312"/>
          <w:sz w:val="32"/>
          <w:szCs w:val="32"/>
        </w:rPr>
      </w:pPr>
      <w:r>
        <w:rPr>
          <w:rFonts w:hint="eastAsia" w:eastAsia="仿宋_GB2312"/>
          <w:sz w:val="32"/>
          <w:szCs w:val="32"/>
        </w:rPr>
        <w:t>生殖道分泌物分析仪不属于免于进行临床评价的医疗器械，申请人应按照《医疗器械临床评价技术指导原则》《医疗器械注册申报临床评价报告技术指导原则》等相关要求，结合申报产品特点，选择适宜的临床评价路径，提交完整的临床评价资料。</w:t>
      </w:r>
    </w:p>
    <w:p w14:paraId="0502608E">
      <w:pPr>
        <w:spacing w:line="520" w:lineRule="exact"/>
        <w:ind w:firstLine="640" w:firstLineChars="200"/>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通过同品种医疗器械临床数据进行分析、评价</w:t>
      </w:r>
      <w:r>
        <w:rPr>
          <w:rFonts w:hint="eastAsia" w:eastAsia="仿宋_GB2312" w:cs="Times New Roman"/>
          <w:b w:val="0"/>
          <w:bCs w:val="0"/>
          <w:kern w:val="2"/>
          <w:sz w:val="32"/>
          <w:szCs w:val="32"/>
          <w:lang w:val="en-US" w:eastAsia="zh-CN" w:bidi="ar-SA"/>
        </w:rPr>
        <w:t>。</w:t>
      </w:r>
      <w:r>
        <w:rPr>
          <w:rFonts w:hint="eastAsia" w:ascii="Times New Roman" w:hAnsi="Times New Roman" w:eastAsia="仿宋_GB2312" w:cs="Times New Roman"/>
          <w:b w:val="0"/>
          <w:bCs w:val="0"/>
          <w:kern w:val="2"/>
          <w:sz w:val="32"/>
          <w:szCs w:val="32"/>
          <w:lang w:val="en-US" w:eastAsia="zh-CN" w:bidi="ar-SA"/>
        </w:rPr>
        <w:t>申请人采用同品种医疗器械临床评价路径的，应按照《医疗器械临床评价等同性论证技术指导原则》等相关要求，提供同品种医疗器械的对比资料，并从工作原理、结构组成、性能指标、适用范围、预期用途、使用方法等方面进行等同性论证，证明申报产品与同品种医疗器械具有基本等同性，其差异不会对产品的安全性、有效性产生不利影响。对于采用新的检测原理、自动识别算法、图像分析功能或者其他影响产品临床性能的新技术、新功能，应结合产品特点提供相应的支持性资料，必要时补充临床证据。</w:t>
      </w:r>
    </w:p>
    <w:p w14:paraId="04B28A8B">
      <w:pPr>
        <w:spacing w:line="520" w:lineRule="exact"/>
        <w:ind w:firstLine="640" w:firstLineChars="200"/>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通过临床试验数据进行分析、评价</w:t>
      </w:r>
      <w:r>
        <w:rPr>
          <w:rFonts w:hint="eastAsia" w:eastAsia="仿宋_GB2312" w:cs="Times New Roman"/>
          <w:b w:val="0"/>
          <w:bCs w:val="0"/>
          <w:kern w:val="2"/>
          <w:sz w:val="32"/>
          <w:szCs w:val="32"/>
          <w:lang w:val="en-US" w:eastAsia="zh-CN" w:bidi="ar-SA"/>
        </w:rPr>
        <w:t>。</w:t>
      </w:r>
      <w:r>
        <w:rPr>
          <w:rFonts w:hint="eastAsia" w:ascii="Times New Roman" w:hAnsi="Times New Roman" w:eastAsia="仿宋_GB2312" w:cs="Times New Roman"/>
          <w:b w:val="0"/>
          <w:bCs w:val="0"/>
          <w:kern w:val="2"/>
          <w:sz w:val="32"/>
          <w:szCs w:val="32"/>
          <w:lang w:val="en-US" w:eastAsia="zh-CN" w:bidi="ar-SA"/>
        </w:rPr>
        <w:t>申请人采用临床试验路径开展临床评价的，应按照《决策是否开展医疗器械临床试验技术指导原则》《医疗器械临床试验质量管理规范》《医疗器械临床试验设计指导原则》等相关要求开展临床试验，并提交相应的临床试验资料。临床评价应能够充分证明申报产品在预期用途、适用人群及使用条件下的安全性和有效性。</w:t>
      </w:r>
    </w:p>
    <w:p w14:paraId="0E203DBE">
      <w:pPr>
        <w:spacing w:line="520" w:lineRule="exact"/>
        <w:ind w:firstLine="640" w:firstLineChars="200"/>
        <w:rPr>
          <w:rFonts w:hint="eastAsia" w:eastAsia="仿宋_GB2312"/>
          <w:sz w:val="32"/>
          <w:szCs w:val="32"/>
        </w:rPr>
      </w:pPr>
      <w:r>
        <w:rPr>
          <w:rFonts w:hint="eastAsia" w:ascii="Times New Roman" w:hAnsi="Times New Roman" w:eastAsia="仿宋_GB2312" w:cs="Times New Roman"/>
          <w:b w:val="0"/>
          <w:bCs w:val="0"/>
          <w:kern w:val="2"/>
          <w:sz w:val="32"/>
          <w:szCs w:val="32"/>
          <w:lang w:val="en-US" w:eastAsia="zh-CN" w:bidi="ar-SA"/>
        </w:rPr>
        <w:t>临床评价应重点关注产品对各检测项目的临床符合率、检测一致性以及自动识别（如适用）结果与临床参考方法的一致性，并结合产品预期用途评价其临床应用价值。</w:t>
      </w:r>
    </w:p>
    <w:p w14:paraId="29C95C78">
      <w:pPr>
        <w:spacing w:line="520" w:lineRule="exact"/>
        <w:ind w:firstLine="640" w:firstLineChars="200"/>
        <w:rPr>
          <w:rFonts w:eastAsia="仿宋_GB2312"/>
          <w:sz w:val="32"/>
          <w:szCs w:val="32"/>
        </w:rPr>
      </w:pPr>
      <w:r>
        <w:rPr>
          <w:rFonts w:hint="eastAsia" w:eastAsia="仿宋_GB2312"/>
          <w:sz w:val="32"/>
          <w:szCs w:val="32"/>
        </w:rPr>
        <w:t>（五）产品说明书和标签样稿</w:t>
      </w:r>
    </w:p>
    <w:p w14:paraId="1265A92A">
      <w:pPr>
        <w:spacing w:line="520" w:lineRule="exact"/>
        <w:ind w:firstLine="640" w:firstLineChars="200"/>
        <w:rPr>
          <w:rFonts w:eastAsia="仿宋_GB2312"/>
          <w:kern w:val="0"/>
          <w:sz w:val="32"/>
          <w:szCs w:val="32"/>
        </w:rPr>
      </w:pPr>
      <w:r>
        <w:rPr>
          <w:rFonts w:eastAsia="仿宋_GB2312"/>
          <w:kern w:val="0"/>
          <w:sz w:val="32"/>
          <w:szCs w:val="32"/>
        </w:rPr>
        <w:t>1.产品说明书</w:t>
      </w:r>
    </w:p>
    <w:p w14:paraId="6FCBABA2">
      <w:pPr>
        <w:spacing w:line="520" w:lineRule="exact"/>
        <w:ind w:firstLine="640" w:firstLineChars="200"/>
        <w:rPr>
          <w:rFonts w:eastAsia="仿宋_GB2312"/>
          <w:kern w:val="0"/>
          <w:sz w:val="32"/>
          <w:szCs w:val="32"/>
        </w:rPr>
      </w:pPr>
      <w:r>
        <w:rPr>
          <w:rFonts w:eastAsia="仿宋_GB2312"/>
          <w:sz w:val="32"/>
          <w:szCs w:val="32"/>
        </w:rPr>
        <w:t>产品说明书应符合</w:t>
      </w:r>
      <w:r>
        <w:rPr>
          <w:rFonts w:eastAsia="仿宋_GB2312"/>
          <w:color w:val="000000"/>
          <w:spacing w:val="-1"/>
          <w:sz w:val="32"/>
          <w:szCs w:val="32"/>
        </w:rPr>
        <w:t>《医疗器械说明书和标签管理规定》</w:t>
      </w:r>
      <w:r>
        <w:rPr>
          <w:rFonts w:hint="eastAsia" w:eastAsia="仿宋_GB2312"/>
          <w:color w:val="000000"/>
          <w:spacing w:val="-1"/>
          <w:sz w:val="32"/>
          <w:szCs w:val="32"/>
        </w:rPr>
        <w:t>及</w:t>
      </w:r>
      <w:r>
        <w:rPr>
          <w:rFonts w:eastAsia="仿宋_GB2312"/>
          <w:sz w:val="32"/>
          <w:szCs w:val="32"/>
        </w:rPr>
        <w:t>GB/T 29791.3《体外诊断医疗器械 制造商提供的信息（标示）第3部分：专业用体外诊断仪器》和YY/T 0466.1《医疗器械用于医疗器械标签、标记和提供信息的符号第1部分通用要求》中的相关要求。</w:t>
      </w:r>
      <w:bookmarkStart w:id="2" w:name="_GoBack"/>
      <w:bookmarkEnd w:id="2"/>
    </w:p>
    <w:p w14:paraId="60DA98F0">
      <w:pPr>
        <w:spacing w:line="520" w:lineRule="exact"/>
        <w:ind w:firstLine="640" w:firstLineChars="200"/>
        <w:rPr>
          <w:rFonts w:eastAsia="仿宋_GB2312"/>
          <w:kern w:val="0"/>
          <w:sz w:val="32"/>
          <w:szCs w:val="32"/>
        </w:rPr>
      </w:pPr>
      <w:r>
        <w:rPr>
          <w:rFonts w:hint="eastAsia" w:eastAsia="仿宋_GB2312"/>
          <w:kern w:val="0"/>
          <w:sz w:val="32"/>
          <w:szCs w:val="32"/>
        </w:rPr>
        <w:t>说明书</w:t>
      </w:r>
      <w:r>
        <w:rPr>
          <w:rFonts w:eastAsia="仿宋_GB2312"/>
          <w:kern w:val="0"/>
          <w:sz w:val="32"/>
          <w:szCs w:val="32"/>
        </w:rPr>
        <w:t>至少包括以下内容：</w:t>
      </w:r>
    </w:p>
    <w:p w14:paraId="4494050D">
      <w:pPr>
        <w:spacing w:line="520" w:lineRule="exact"/>
        <w:ind w:firstLine="640" w:firstLineChars="200"/>
        <w:rPr>
          <w:rFonts w:eastAsia="仿宋_GB2312"/>
          <w:kern w:val="0"/>
          <w:sz w:val="32"/>
          <w:szCs w:val="32"/>
        </w:rPr>
      </w:pPr>
      <w:r>
        <w:rPr>
          <w:rFonts w:eastAsia="仿宋_GB2312"/>
          <w:kern w:val="0"/>
          <w:sz w:val="32"/>
          <w:szCs w:val="32"/>
        </w:rPr>
        <w:t>（1）产品名称、型号、规格；</w:t>
      </w:r>
    </w:p>
    <w:p w14:paraId="7F3D0E99">
      <w:pPr>
        <w:spacing w:line="520" w:lineRule="exact"/>
        <w:ind w:firstLine="640" w:firstLineChars="200"/>
        <w:rPr>
          <w:rFonts w:eastAsia="仿宋_GB2312"/>
          <w:kern w:val="0"/>
          <w:sz w:val="32"/>
          <w:szCs w:val="32"/>
        </w:rPr>
      </w:pPr>
      <w:r>
        <w:rPr>
          <w:rFonts w:eastAsia="仿宋_GB2312"/>
          <w:kern w:val="0"/>
          <w:sz w:val="32"/>
          <w:szCs w:val="32"/>
        </w:rPr>
        <w:t>（2）注册人的名称、住所、联系方式及售后服务单位，进口产品还应当载明代理人的名称、住所及联系方式；</w:t>
      </w:r>
    </w:p>
    <w:p w14:paraId="510D5BDD">
      <w:pPr>
        <w:spacing w:line="520" w:lineRule="exact"/>
        <w:ind w:firstLine="640" w:firstLineChars="200"/>
        <w:rPr>
          <w:rFonts w:eastAsia="仿宋_GB2312"/>
          <w:kern w:val="0"/>
          <w:sz w:val="32"/>
          <w:szCs w:val="32"/>
        </w:rPr>
      </w:pPr>
      <w:r>
        <w:rPr>
          <w:rFonts w:eastAsia="仿宋_GB2312"/>
          <w:kern w:val="0"/>
          <w:sz w:val="32"/>
          <w:szCs w:val="32"/>
        </w:rPr>
        <w:t>（3）生产企业的名称、住所、生产地址、联系方式及生产许可证编号，委托生产的还应当标注受托企业的名称、住所、生产地址、生产许可证编号；</w:t>
      </w:r>
    </w:p>
    <w:p w14:paraId="1F9A92E3">
      <w:pPr>
        <w:spacing w:line="520" w:lineRule="exact"/>
        <w:ind w:firstLine="640" w:firstLineChars="200"/>
        <w:rPr>
          <w:rFonts w:eastAsia="仿宋_GB2312"/>
          <w:kern w:val="0"/>
          <w:sz w:val="32"/>
          <w:szCs w:val="32"/>
        </w:rPr>
      </w:pPr>
      <w:r>
        <w:rPr>
          <w:rFonts w:eastAsia="仿宋_GB2312"/>
          <w:kern w:val="0"/>
          <w:sz w:val="32"/>
          <w:szCs w:val="32"/>
        </w:rPr>
        <w:t>（4）医疗器械注册证编号；</w:t>
      </w:r>
    </w:p>
    <w:p w14:paraId="10B8FEAD">
      <w:pPr>
        <w:spacing w:line="520" w:lineRule="exact"/>
        <w:ind w:firstLine="640" w:firstLineChars="200"/>
        <w:rPr>
          <w:rFonts w:eastAsia="仿宋_GB2312"/>
          <w:kern w:val="0"/>
          <w:sz w:val="32"/>
          <w:szCs w:val="32"/>
        </w:rPr>
      </w:pPr>
      <w:r>
        <w:rPr>
          <w:rFonts w:eastAsia="仿宋_GB2312"/>
          <w:kern w:val="0"/>
          <w:sz w:val="32"/>
          <w:szCs w:val="32"/>
        </w:rPr>
        <w:t>（5）产品技术要求的编号；</w:t>
      </w:r>
    </w:p>
    <w:p w14:paraId="462A8D1D">
      <w:pPr>
        <w:spacing w:line="520" w:lineRule="exact"/>
        <w:ind w:firstLine="640" w:firstLineChars="200"/>
        <w:rPr>
          <w:rFonts w:eastAsia="仿宋_GB2312"/>
          <w:kern w:val="0"/>
          <w:sz w:val="32"/>
          <w:szCs w:val="32"/>
        </w:rPr>
      </w:pPr>
      <w:r>
        <w:rPr>
          <w:rFonts w:eastAsia="仿宋_GB2312"/>
          <w:kern w:val="0"/>
          <w:sz w:val="32"/>
          <w:szCs w:val="32"/>
        </w:rPr>
        <w:t>（6）产品性能、结构</w:t>
      </w:r>
      <w:r>
        <w:rPr>
          <w:rFonts w:hint="eastAsia" w:eastAsia="仿宋_GB2312"/>
          <w:kern w:val="0"/>
          <w:sz w:val="32"/>
          <w:szCs w:val="32"/>
        </w:rPr>
        <w:t>及</w:t>
      </w:r>
      <w:r>
        <w:rPr>
          <w:rFonts w:eastAsia="仿宋_GB2312"/>
          <w:kern w:val="0"/>
          <w:sz w:val="32"/>
          <w:szCs w:val="32"/>
        </w:rPr>
        <w:t>组成、适用范围：</w:t>
      </w:r>
    </w:p>
    <w:p w14:paraId="0C8C8868">
      <w:pPr>
        <w:spacing w:line="520" w:lineRule="exact"/>
        <w:ind w:firstLine="640" w:firstLineChars="200"/>
        <w:rPr>
          <w:rFonts w:eastAsia="仿宋_GB2312"/>
          <w:kern w:val="0"/>
          <w:sz w:val="32"/>
          <w:szCs w:val="32"/>
        </w:rPr>
      </w:pPr>
      <w:r>
        <w:rPr>
          <w:rFonts w:eastAsia="仿宋_GB2312"/>
          <w:kern w:val="0"/>
          <w:sz w:val="32"/>
          <w:szCs w:val="32"/>
        </w:rPr>
        <w:fldChar w:fldCharType="begin"/>
      </w:r>
      <w:r>
        <w:rPr>
          <w:rFonts w:eastAsia="仿宋_GB2312"/>
          <w:kern w:val="0"/>
          <w:sz w:val="32"/>
          <w:szCs w:val="32"/>
        </w:rPr>
        <w:instrText xml:space="preserve"> = 1 \* GB3 </w:instrText>
      </w:r>
      <w:r>
        <w:rPr>
          <w:rFonts w:eastAsia="仿宋_GB2312"/>
          <w:kern w:val="0"/>
          <w:sz w:val="32"/>
          <w:szCs w:val="32"/>
        </w:rPr>
        <w:fldChar w:fldCharType="separate"/>
      </w:r>
      <w:r>
        <w:rPr>
          <w:rFonts w:hint="eastAsia" w:ascii="宋体" w:hAnsi="宋体" w:cs="宋体"/>
          <w:kern w:val="0"/>
          <w:sz w:val="32"/>
          <w:szCs w:val="32"/>
        </w:rPr>
        <w:t>①</w:t>
      </w:r>
      <w:r>
        <w:rPr>
          <w:rFonts w:eastAsia="仿宋_GB2312"/>
          <w:kern w:val="0"/>
          <w:sz w:val="32"/>
          <w:szCs w:val="32"/>
        </w:rPr>
        <w:fldChar w:fldCharType="end"/>
      </w:r>
      <w:r>
        <w:rPr>
          <w:rFonts w:eastAsia="仿宋_GB2312"/>
          <w:kern w:val="0"/>
          <w:sz w:val="32"/>
          <w:szCs w:val="32"/>
        </w:rPr>
        <w:t>结构</w:t>
      </w:r>
      <w:r>
        <w:rPr>
          <w:rFonts w:hint="eastAsia" w:eastAsia="仿宋_GB2312"/>
          <w:kern w:val="0"/>
          <w:sz w:val="32"/>
          <w:szCs w:val="32"/>
        </w:rPr>
        <w:t>及</w:t>
      </w:r>
      <w:r>
        <w:rPr>
          <w:rFonts w:eastAsia="仿宋_GB2312"/>
          <w:kern w:val="0"/>
          <w:sz w:val="32"/>
          <w:szCs w:val="32"/>
        </w:rPr>
        <w:t>组成</w:t>
      </w:r>
    </w:p>
    <w:p w14:paraId="41B8C7DE">
      <w:pPr>
        <w:spacing w:line="520" w:lineRule="exact"/>
        <w:ind w:firstLine="640" w:firstLineChars="200"/>
        <w:rPr>
          <w:rFonts w:eastAsia="仿宋_GB2312"/>
          <w:kern w:val="0"/>
          <w:sz w:val="32"/>
          <w:szCs w:val="32"/>
        </w:rPr>
      </w:pPr>
      <w:r>
        <w:rPr>
          <w:rFonts w:eastAsia="仿宋_GB2312"/>
          <w:kern w:val="0"/>
          <w:sz w:val="32"/>
          <w:szCs w:val="32"/>
        </w:rPr>
        <w:t>建议以实物照片/示意图加文字的形式对申报产品的整体结构进行描述，标明各主要模块的名称（应包含软件组件，并注明软件组件的名称和发布版本）。</w:t>
      </w:r>
    </w:p>
    <w:p w14:paraId="55D3DFFC">
      <w:pPr>
        <w:spacing w:line="520" w:lineRule="exact"/>
        <w:ind w:firstLine="640" w:firstLineChars="200"/>
        <w:rPr>
          <w:rFonts w:eastAsia="仿宋_GB2312"/>
          <w:kern w:val="0"/>
          <w:sz w:val="32"/>
          <w:szCs w:val="32"/>
        </w:rPr>
      </w:pPr>
      <w:r>
        <w:rPr>
          <w:rFonts w:eastAsia="仿宋_GB2312"/>
          <w:kern w:val="0"/>
          <w:sz w:val="32"/>
          <w:szCs w:val="32"/>
        </w:rPr>
        <w:t>建议对软件的主要功能进行描述，重点对用户界面的整体情况和各功能窗口涉及的操作功能进行简单介绍。</w:t>
      </w:r>
    </w:p>
    <w:p w14:paraId="7D27D2B4">
      <w:pPr>
        <w:spacing w:line="520" w:lineRule="exact"/>
        <w:ind w:firstLine="640" w:firstLineChars="200"/>
        <w:rPr>
          <w:rFonts w:eastAsia="仿宋_GB2312"/>
          <w:kern w:val="0"/>
          <w:sz w:val="32"/>
          <w:szCs w:val="32"/>
        </w:rPr>
      </w:pPr>
      <w:r>
        <w:rPr>
          <w:rFonts w:eastAsia="仿宋_GB2312"/>
          <w:kern w:val="0"/>
          <w:sz w:val="32"/>
          <w:szCs w:val="32"/>
        </w:rPr>
        <w:fldChar w:fldCharType="begin"/>
      </w:r>
      <w:r>
        <w:rPr>
          <w:rFonts w:eastAsia="仿宋_GB2312"/>
          <w:kern w:val="0"/>
          <w:sz w:val="32"/>
          <w:szCs w:val="32"/>
        </w:rPr>
        <w:instrText xml:space="preserve"> = 2 \* GB3 </w:instrText>
      </w:r>
      <w:r>
        <w:rPr>
          <w:rFonts w:eastAsia="仿宋_GB2312"/>
          <w:kern w:val="0"/>
          <w:sz w:val="32"/>
          <w:szCs w:val="32"/>
        </w:rPr>
        <w:fldChar w:fldCharType="separate"/>
      </w:r>
      <w:r>
        <w:rPr>
          <w:rFonts w:hint="eastAsia" w:ascii="宋体" w:hAnsi="宋体" w:cs="宋体"/>
          <w:kern w:val="0"/>
          <w:sz w:val="32"/>
          <w:szCs w:val="32"/>
        </w:rPr>
        <w:t>②</w:t>
      </w:r>
      <w:r>
        <w:rPr>
          <w:rFonts w:eastAsia="仿宋_GB2312"/>
          <w:kern w:val="0"/>
          <w:sz w:val="32"/>
          <w:szCs w:val="32"/>
        </w:rPr>
        <w:fldChar w:fldCharType="end"/>
      </w:r>
      <w:r>
        <w:rPr>
          <w:rFonts w:eastAsia="仿宋_GB2312"/>
          <w:kern w:val="0"/>
          <w:sz w:val="32"/>
          <w:szCs w:val="32"/>
        </w:rPr>
        <w:t>适用范围</w:t>
      </w:r>
    </w:p>
    <w:p w14:paraId="7DD1427C">
      <w:pPr>
        <w:spacing w:line="520" w:lineRule="exact"/>
        <w:ind w:firstLine="640" w:firstLineChars="200"/>
        <w:rPr>
          <w:rFonts w:eastAsia="仿宋_GB2312"/>
          <w:kern w:val="0"/>
          <w:sz w:val="32"/>
          <w:szCs w:val="32"/>
        </w:rPr>
      </w:pPr>
      <w:r>
        <w:rPr>
          <w:rFonts w:eastAsia="仿宋_GB2312"/>
          <w:kern w:val="0"/>
          <w:sz w:val="32"/>
          <w:szCs w:val="32"/>
        </w:rPr>
        <w:t>建议采用以下形式进行描述：“该产品采用××法，与配套的检测试剂</w:t>
      </w:r>
      <w:r>
        <w:rPr>
          <w:rFonts w:hint="eastAsia" w:eastAsia="仿宋_GB2312"/>
          <w:kern w:val="0"/>
          <w:sz w:val="32"/>
          <w:szCs w:val="32"/>
        </w:rPr>
        <w:t>/试纸</w:t>
      </w:r>
      <w:r>
        <w:rPr>
          <w:rFonts w:eastAsia="仿宋_GB2312"/>
          <w:kern w:val="0"/>
          <w:sz w:val="32"/>
          <w:szCs w:val="32"/>
        </w:rPr>
        <w:t>共同使用，在临床上用于对来源于人体的×××样本中的被分析物进行定性或定量检测”。</w:t>
      </w:r>
    </w:p>
    <w:p w14:paraId="31B45BF0">
      <w:pPr>
        <w:spacing w:line="520" w:lineRule="exact"/>
        <w:ind w:firstLine="640" w:firstLineChars="200"/>
        <w:rPr>
          <w:rFonts w:eastAsia="仿宋_GB2312"/>
          <w:kern w:val="0"/>
          <w:sz w:val="32"/>
          <w:szCs w:val="32"/>
        </w:rPr>
      </w:pPr>
      <w:r>
        <w:rPr>
          <w:rFonts w:eastAsia="仿宋_GB2312"/>
          <w:kern w:val="0"/>
          <w:sz w:val="32"/>
          <w:szCs w:val="32"/>
        </w:rPr>
        <w:fldChar w:fldCharType="begin"/>
      </w:r>
      <w:r>
        <w:rPr>
          <w:rFonts w:eastAsia="仿宋_GB2312"/>
          <w:kern w:val="0"/>
          <w:sz w:val="32"/>
          <w:szCs w:val="32"/>
        </w:rPr>
        <w:instrText xml:space="preserve"> = 3 \* GB3 </w:instrText>
      </w:r>
      <w:r>
        <w:rPr>
          <w:rFonts w:eastAsia="仿宋_GB2312"/>
          <w:kern w:val="0"/>
          <w:sz w:val="32"/>
          <w:szCs w:val="32"/>
        </w:rPr>
        <w:fldChar w:fldCharType="separate"/>
      </w:r>
      <w:r>
        <w:rPr>
          <w:rFonts w:hint="eastAsia" w:ascii="宋体" w:hAnsi="宋体" w:cs="宋体"/>
          <w:kern w:val="0"/>
          <w:sz w:val="32"/>
          <w:szCs w:val="32"/>
        </w:rPr>
        <w:t>③</w:t>
      </w:r>
      <w:r>
        <w:rPr>
          <w:rFonts w:eastAsia="仿宋_GB2312"/>
          <w:kern w:val="0"/>
          <w:sz w:val="32"/>
          <w:szCs w:val="32"/>
        </w:rPr>
        <w:fldChar w:fldCharType="end"/>
      </w:r>
      <w:r>
        <w:rPr>
          <w:rFonts w:eastAsia="仿宋_GB2312"/>
          <w:kern w:val="0"/>
          <w:sz w:val="32"/>
          <w:szCs w:val="32"/>
        </w:rPr>
        <w:t>工作原理</w:t>
      </w:r>
    </w:p>
    <w:p w14:paraId="78849AF6">
      <w:pPr>
        <w:spacing w:line="520" w:lineRule="exact"/>
        <w:ind w:firstLine="640" w:firstLineChars="200"/>
        <w:rPr>
          <w:rFonts w:eastAsia="仿宋_GB2312"/>
          <w:kern w:val="0"/>
          <w:sz w:val="32"/>
          <w:szCs w:val="32"/>
        </w:rPr>
      </w:pPr>
      <w:r>
        <w:rPr>
          <w:rFonts w:eastAsia="仿宋_GB2312"/>
          <w:kern w:val="0"/>
          <w:sz w:val="32"/>
          <w:szCs w:val="32"/>
        </w:rPr>
        <w:t>建议对</w:t>
      </w:r>
      <w:r>
        <w:rPr>
          <w:rFonts w:hint="eastAsia" w:eastAsia="仿宋_GB2312"/>
          <w:kern w:val="0"/>
          <w:sz w:val="32"/>
          <w:szCs w:val="32"/>
        </w:rPr>
        <w:t>申报产品的工作原理开展详细、完整的技术描述，结合产品实际结构、检测流程与技术原理，可配套采用公式推导、结构示意图、流程示意图等可视化形式辅助阐释；同时采用文字结合图示的组合方式，对产品核心技术特点、性能特点、结构特点进行系统性描述，确保原理表述精准、图示与文字内容一一对应，清晰体现技术逻辑与实现路径。</w:t>
      </w:r>
    </w:p>
    <w:p w14:paraId="1E209DA8">
      <w:pPr>
        <w:spacing w:line="520" w:lineRule="exact"/>
        <w:ind w:firstLine="640" w:firstLineChars="200"/>
        <w:rPr>
          <w:rFonts w:eastAsia="仿宋_GB2312"/>
          <w:kern w:val="0"/>
          <w:sz w:val="32"/>
          <w:szCs w:val="32"/>
        </w:rPr>
      </w:pPr>
      <w:r>
        <w:rPr>
          <w:rFonts w:eastAsia="仿宋_GB2312"/>
          <w:kern w:val="0"/>
          <w:sz w:val="32"/>
          <w:szCs w:val="32"/>
        </w:rPr>
        <w:fldChar w:fldCharType="begin"/>
      </w:r>
      <w:r>
        <w:rPr>
          <w:rFonts w:eastAsia="仿宋_GB2312"/>
          <w:kern w:val="0"/>
          <w:sz w:val="32"/>
          <w:szCs w:val="32"/>
        </w:rPr>
        <w:instrText xml:space="preserve"> = 4 \* GB3 </w:instrText>
      </w:r>
      <w:r>
        <w:rPr>
          <w:rFonts w:eastAsia="仿宋_GB2312"/>
          <w:kern w:val="0"/>
          <w:sz w:val="32"/>
          <w:szCs w:val="32"/>
        </w:rPr>
        <w:fldChar w:fldCharType="separate"/>
      </w:r>
      <w:r>
        <w:rPr>
          <w:rFonts w:hint="eastAsia" w:ascii="宋体" w:hAnsi="宋体" w:cs="宋体"/>
          <w:kern w:val="0"/>
          <w:sz w:val="32"/>
          <w:szCs w:val="32"/>
        </w:rPr>
        <w:t>④</w:t>
      </w:r>
      <w:r>
        <w:rPr>
          <w:rFonts w:eastAsia="仿宋_GB2312"/>
          <w:kern w:val="0"/>
          <w:sz w:val="32"/>
          <w:szCs w:val="32"/>
        </w:rPr>
        <w:fldChar w:fldCharType="end"/>
      </w:r>
      <w:r>
        <w:rPr>
          <w:rFonts w:eastAsia="仿宋_GB2312"/>
          <w:kern w:val="0"/>
          <w:sz w:val="32"/>
          <w:szCs w:val="32"/>
        </w:rPr>
        <w:t>性能指标</w:t>
      </w:r>
    </w:p>
    <w:p w14:paraId="6BF52656">
      <w:pPr>
        <w:adjustRightInd w:val="0"/>
        <w:snapToGrid w:val="0"/>
        <w:spacing w:line="520" w:lineRule="exact"/>
        <w:ind w:firstLine="640" w:firstLineChars="200"/>
        <w:rPr>
          <w:rFonts w:eastAsia="仿宋_GB2312"/>
          <w:sz w:val="32"/>
          <w:szCs w:val="32"/>
        </w:rPr>
      </w:pPr>
      <w:r>
        <w:rPr>
          <w:rFonts w:eastAsia="仿宋_GB2312"/>
          <w:sz w:val="32"/>
          <w:szCs w:val="32"/>
        </w:rPr>
        <w:t>建议写明以下内容：产品基本参数（</w:t>
      </w:r>
      <w:r>
        <w:rPr>
          <w:rFonts w:eastAsia="仿宋_GB2312"/>
          <w:kern w:val="0"/>
          <w:sz w:val="32"/>
          <w:szCs w:val="32"/>
        </w:rPr>
        <w:t>分析通量、试剂位数量、样品位数量等</w:t>
      </w:r>
      <w:r>
        <w:rPr>
          <w:rFonts w:eastAsia="仿宋_GB2312"/>
          <w:sz w:val="32"/>
          <w:szCs w:val="32"/>
        </w:rPr>
        <w:t>）、正常工作条件、电气安全、电磁兼容信息、性能指标等。</w:t>
      </w:r>
    </w:p>
    <w:p w14:paraId="0E9BAF41">
      <w:pPr>
        <w:spacing w:line="520" w:lineRule="exact"/>
        <w:ind w:firstLine="640" w:firstLineChars="200"/>
        <w:rPr>
          <w:rFonts w:eastAsia="仿宋_GB2312"/>
          <w:kern w:val="0"/>
          <w:sz w:val="32"/>
          <w:szCs w:val="32"/>
        </w:rPr>
      </w:pPr>
      <w:r>
        <w:rPr>
          <w:rFonts w:hint="eastAsia" w:ascii="宋体" w:hAnsi="宋体" w:cs="宋体"/>
          <w:kern w:val="0"/>
          <w:sz w:val="32"/>
          <w:szCs w:val="32"/>
        </w:rPr>
        <w:t>⑤</w:t>
      </w:r>
      <w:r>
        <w:rPr>
          <w:rFonts w:eastAsia="仿宋_GB2312"/>
          <w:kern w:val="0"/>
          <w:sz w:val="32"/>
          <w:szCs w:val="32"/>
        </w:rPr>
        <w:t xml:space="preserve">工作环境要求 </w:t>
      </w:r>
    </w:p>
    <w:p w14:paraId="54355825">
      <w:pPr>
        <w:spacing w:line="520" w:lineRule="exact"/>
        <w:ind w:firstLine="640" w:firstLineChars="200"/>
        <w:rPr>
          <w:rFonts w:eastAsia="仿宋_GB2312"/>
          <w:kern w:val="0"/>
          <w:sz w:val="32"/>
          <w:szCs w:val="32"/>
        </w:rPr>
      </w:pPr>
      <w:r>
        <w:rPr>
          <w:rFonts w:eastAsia="仿宋_GB2312"/>
          <w:kern w:val="0"/>
          <w:sz w:val="32"/>
          <w:szCs w:val="32"/>
        </w:rPr>
        <w:t>建议至少写明以下内容：产品尺寸、重量、储存条件（温度、湿度）、正常工作条件（温度、湿度、海拔、电源要求）。</w:t>
      </w:r>
    </w:p>
    <w:p w14:paraId="75337E82">
      <w:pPr>
        <w:spacing w:line="520" w:lineRule="exact"/>
        <w:ind w:firstLine="640" w:firstLineChars="200"/>
        <w:rPr>
          <w:rFonts w:eastAsia="仿宋_GB2312"/>
          <w:kern w:val="0"/>
          <w:sz w:val="32"/>
          <w:szCs w:val="32"/>
        </w:rPr>
      </w:pPr>
      <w:r>
        <w:rPr>
          <w:rFonts w:eastAsia="仿宋_GB2312"/>
          <w:kern w:val="0"/>
          <w:sz w:val="32"/>
          <w:szCs w:val="32"/>
        </w:rPr>
        <w:t>（7）禁忌证、注意事项、警示以及提示的内容；</w:t>
      </w:r>
    </w:p>
    <w:p w14:paraId="28DB32E4">
      <w:pPr>
        <w:spacing w:line="520" w:lineRule="exact"/>
        <w:ind w:firstLine="640" w:firstLineChars="200"/>
        <w:rPr>
          <w:rFonts w:eastAsia="仿宋_GB2312"/>
          <w:kern w:val="0"/>
          <w:sz w:val="32"/>
          <w:szCs w:val="32"/>
        </w:rPr>
      </w:pPr>
      <w:r>
        <w:rPr>
          <w:rFonts w:eastAsia="仿宋_GB2312"/>
          <w:kern w:val="0"/>
          <w:sz w:val="32"/>
          <w:szCs w:val="32"/>
        </w:rPr>
        <w:t>（8）安装和使用说明或者图示：</w:t>
      </w:r>
    </w:p>
    <w:p w14:paraId="73AC2D5C">
      <w:pPr>
        <w:spacing w:line="520" w:lineRule="exact"/>
        <w:ind w:firstLine="640" w:firstLineChars="200"/>
        <w:rPr>
          <w:rFonts w:eastAsia="仿宋_GB2312"/>
          <w:kern w:val="0"/>
          <w:sz w:val="32"/>
          <w:szCs w:val="32"/>
        </w:rPr>
      </w:pPr>
      <w:r>
        <w:rPr>
          <w:rFonts w:eastAsia="仿宋_GB2312"/>
          <w:kern w:val="0"/>
          <w:sz w:val="32"/>
          <w:szCs w:val="32"/>
        </w:rPr>
        <w:t>建议以申报产品安装调试完毕可开始正常工作作为初始状态介绍具体的操作方法，详细描述校准、质控、检测设计（样本操作、试剂操作、检测流程等）、结果传输和打印等每一步骤的详细操作方式，主要是在用户界面上如何操作应有详细的文字及图示描述。</w:t>
      </w:r>
    </w:p>
    <w:p w14:paraId="618EF1E8">
      <w:pPr>
        <w:spacing w:line="520" w:lineRule="exact"/>
        <w:ind w:firstLine="640" w:firstLineChars="200"/>
        <w:rPr>
          <w:rFonts w:eastAsia="仿宋_GB2312"/>
          <w:kern w:val="0"/>
          <w:sz w:val="32"/>
          <w:szCs w:val="32"/>
        </w:rPr>
      </w:pPr>
      <w:r>
        <w:rPr>
          <w:rFonts w:eastAsia="仿宋_GB2312"/>
          <w:kern w:val="0"/>
          <w:sz w:val="32"/>
          <w:szCs w:val="32"/>
        </w:rPr>
        <w:t>（9）产品维护和保养方法，特殊储存、运输条件、方法：</w:t>
      </w:r>
    </w:p>
    <w:p w14:paraId="78A09800">
      <w:pPr>
        <w:spacing w:line="520" w:lineRule="exact"/>
        <w:ind w:firstLine="640" w:firstLineChars="200"/>
        <w:rPr>
          <w:rFonts w:eastAsia="仿宋_GB2312"/>
          <w:kern w:val="0"/>
          <w:sz w:val="32"/>
          <w:szCs w:val="32"/>
        </w:rPr>
      </w:pPr>
      <w:r>
        <w:rPr>
          <w:rFonts w:eastAsia="仿宋_GB2312"/>
          <w:kern w:val="0"/>
          <w:sz w:val="32"/>
          <w:szCs w:val="32"/>
        </w:rPr>
        <w:fldChar w:fldCharType="begin"/>
      </w:r>
      <w:r>
        <w:rPr>
          <w:rFonts w:eastAsia="仿宋_GB2312"/>
          <w:kern w:val="0"/>
          <w:sz w:val="32"/>
          <w:szCs w:val="32"/>
        </w:rPr>
        <w:instrText xml:space="preserve"> = 1 \* GB3 </w:instrText>
      </w:r>
      <w:r>
        <w:rPr>
          <w:rFonts w:eastAsia="仿宋_GB2312"/>
          <w:kern w:val="0"/>
          <w:sz w:val="32"/>
          <w:szCs w:val="32"/>
        </w:rPr>
        <w:fldChar w:fldCharType="separate"/>
      </w:r>
      <w:r>
        <w:rPr>
          <w:rFonts w:hint="eastAsia" w:ascii="宋体" w:hAnsi="宋体" w:cs="宋体"/>
          <w:kern w:val="0"/>
          <w:sz w:val="32"/>
          <w:szCs w:val="32"/>
        </w:rPr>
        <w:t>①</w:t>
      </w:r>
      <w:r>
        <w:rPr>
          <w:rFonts w:eastAsia="仿宋_GB2312"/>
          <w:kern w:val="0"/>
          <w:sz w:val="32"/>
          <w:szCs w:val="32"/>
        </w:rPr>
        <w:fldChar w:fldCharType="end"/>
      </w:r>
      <w:r>
        <w:rPr>
          <w:rFonts w:eastAsia="仿宋_GB2312"/>
          <w:kern w:val="0"/>
          <w:sz w:val="32"/>
          <w:szCs w:val="32"/>
        </w:rPr>
        <w:t>维护和保养</w:t>
      </w:r>
    </w:p>
    <w:p w14:paraId="434AA306">
      <w:pPr>
        <w:spacing w:line="520" w:lineRule="exact"/>
        <w:ind w:firstLine="640" w:firstLineChars="200"/>
        <w:rPr>
          <w:rFonts w:eastAsia="仿宋_GB2312"/>
          <w:kern w:val="0"/>
          <w:sz w:val="32"/>
          <w:szCs w:val="32"/>
        </w:rPr>
      </w:pPr>
      <w:r>
        <w:rPr>
          <w:rFonts w:eastAsia="仿宋_GB2312"/>
          <w:kern w:val="0"/>
          <w:sz w:val="32"/>
          <w:szCs w:val="32"/>
        </w:rPr>
        <w:t>建议以文字加图示的方式对使用者能够进行的维护保养措施，包括每日维护（如，非工作时间液路系统的维护方法、废液桶更换方法）、每周维护（如，水容器和水瓶的清洁方法）、每月维护（如，清洗试剂探针的方法）、重点零部件维护（如，样本架的维护保养方法）的具体内容进行详细描述。</w:t>
      </w:r>
    </w:p>
    <w:p w14:paraId="27FBDEC8">
      <w:pPr>
        <w:spacing w:line="520" w:lineRule="exact"/>
        <w:ind w:firstLine="640" w:firstLineChars="200"/>
        <w:rPr>
          <w:rFonts w:eastAsia="仿宋_GB2312"/>
          <w:kern w:val="0"/>
          <w:sz w:val="32"/>
          <w:szCs w:val="32"/>
        </w:rPr>
      </w:pPr>
      <w:r>
        <w:rPr>
          <w:rFonts w:eastAsia="仿宋_GB2312"/>
          <w:kern w:val="0"/>
          <w:sz w:val="32"/>
          <w:szCs w:val="32"/>
        </w:rPr>
        <w:fldChar w:fldCharType="begin"/>
      </w:r>
      <w:r>
        <w:rPr>
          <w:rFonts w:eastAsia="仿宋_GB2312"/>
          <w:kern w:val="0"/>
          <w:sz w:val="32"/>
          <w:szCs w:val="32"/>
        </w:rPr>
        <w:instrText xml:space="preserve"> = 2 \* GB3 </w:instrText>
      </w:r>
      <w:r>
        <w:rPr>
          <w:rFonts w:eastAsia="仿宋_GB2312"/>
          <w:kern w:val="0"/>
          <w:sz w:val="32"/>
          <w:szCs w:val="32"/>
        </w:rPr>
        <w:fldChar w:fldCharType="separate"/>
      </w:r>
      <w:r>
        <w:rPr>
          <w:rFonts w:hint="eastAsia" w:ascii="宋体" w:hAnsi="宋体" w:cs="宋体"/>
          <w:kern w:val="0"/>
          <w:sz w:val="32"/>
          <w:szCs w:val="32"/>
        </w:rPr>
        <w:t>②</w:t>
      </w:r>
      <w:r>
        <w:rPr>
          <w:rFonts w:eastAsia="仿宋_GB2312"/>
          <w:kern w:val="0"/>
          <w:sz w:val="32"/>
          <w:szCs w:val="32"/>
        </w:rPr>
        <w:fldChar w:fldCharType="end"/>
      </w:r>
      <w:r>
        <w:rPr>
          <w:rFonts w:eastAsia="仿宋_GB2312"/>
          <w:kern w:val="0"/>
          <w:sz w:val="32"/>
          <w:szCs w:val="32"/>
        </w:rPr>
        <w:t>故障排除</w:t>
      </w:r>
    </w:p>
    <w:p w14:paraId="453636C8">
      <w:pPr>
        <w:spacing w:line="520" w:lineRule="exact"/>
        <w:ind w:firstLine="640" w:firstLineChars="200"/>
        <w:rPr>
          <w:rFonts w:eastAsia="仿宋_GB2312"/>
          <w:kern w:val="0"/>
          <w:sz w:val="32"/>
          <w:szCs w:val="32"/>
        </w:rPr>
      </w:pPr>
      <w:r>
        <w:rPr>
          <w:rFonts w:eastAsia="仿宋_GB2312"/>
          <w:kern w:val="0"/>
          <w:sz w:val="32"/>
          <w:szCs w:val="32"/>
        </w:rPr>
        <w:t>建议以列表方式对申报产品正常使用过程中可能出现的可由使用者自行排除的故障进行详细描述，应当至少写明故障的表现、可能原因、建议的处理方式。</w:t>
      </w:r>
    </w:p>
    <w:p w14:paraId="0F28CF1C">
      <w:pPr>
        <w:spacing w:line="520" w:lineRule="exact"/>
        <w:ind w:firstLine="640" w:firstLineChars="200"/>
        <w:rPr>
          <w:rFonts w:eastAsia="仿宋_GB2312"/>
          <w:kern w:val="0"/>
          <w:sz w:val="32"/>
          <w:szCs w:val="32"/>
        </w:rPr>
      </w:pPr>
      <w:r>
        <w:rPr>
          <w:rFonts w:eastAsia="仿宋_GB2312"/>
          <w:kern w:val="0"/>
          <w:sz w:val="32"/>
          <w:szCs w:val="32"/>
        </w:rPr>
        <w:t>（10）生产日期，使用期限：</w:t>
      </w:r>
    </w:p>
    <w:p w14:paraId="23DFAB62">
      <w:pPr>
        <w:spacing w:line="520" w:lineRule="exact"/>
        <w:ind w:firstLine="640" w:firstLineChars="200"/>
        <w:rPr>
          <w:rFonts w:eastAsia="仿宋_GB2312"/>
          <w:kern w:val="0"/>
          <w:sz w:val="32"/>
          <w:szCs w:val="32"/>
        </w:rPr>
      </w:pPr>
      <w:r>
        <w:rPr>
          <w:rFonts w:eastAsia="仿宋_GB2312"/>
          <w:kern w:val="0"/>
          <w:sz w:val="32"/>
          <w:szCs w:val="32"/>
        </w:rPr>
        <w:t>注明产品的使用期限。使用期限应当根据产品有效期研究资料的内容写明年限。</w:t>
      </w:r>
    </w:p>
    <w:p w14:paraId="222A8048">
      <w:pPr>
        <w:spacing w:line="520" w:lineRule="exact"/>
        <w:ind w:firstLine="640" w:firstLineChars="200"/>
        <w:rPr>
          <w:rFonts w:eastAsia="仿宋_GB2312"/>
          <w:kern w:val="0"/>
          <w:sz w:val="32"/>
          <w:szCs w:val="32"/>
        </w:rPr>
      </w:pPr>
      <w:r>
        <w:rPr>
          <w:rFonts w:eastAsia="仿宋_GB2312"/>
          <w:kern w:val="0"/>
          <w:sz w:val="32"/>
          <w:szCs w:val="32"/>
        </w:rPr>
        <w:t>（11）配件清单，包括配件、附属品及损耗品，应写明每一配件的名称，如必要，还需写明更换周期以及更换方法等；</w:t>
      </w:r>
    </w:p>
    <w:p w14:paraId="652E1F80">
      <w:pPr>
        <w:spacing w:line="520" w:lineRule="exact"/>
        <w:ind w:firstLine="640" w:firstLineChars="200"/>
        <w:rPr>
          <w:rFonts w:eastAsia="仿宋_GB2312"/>
          <w:kern w:val="0"/>
          <w:sz w:val="32"/>
          <w:szCs w:val="32"/>
        </w:rPr>
      </w:pPr>
      <w:r>
        <w:rPr>
          <w:rFonts w:eastAsia="仿宋_GB2312"/>
          <w:kern w:val="0"/>
          <w:sz w:val="32"/>
          <w:szCs w:val="32"/>
        </w:rPr>
        <w:t>（12）产品标签所用的图形、符号、缩写等内容的解释；</w:t>
      </w:r>
    </w:p>
    <w:p w14:paraId="24A091F0">
      <w:pPr>
        <w:spacing w:line="520" w:lineRule="exact"/>
        <w:ind w:firstLine="640" w:firstLineChars="200"/>
        <w:rPr>
          <w:rFonts w:eastAsia="仿宋_GB2312"/>
          <w:kern w:val="0"/>
          <w:sz w:val="32"/>
          <w:szCs w:val="32"/>
        </w:rPr>
      </w:pPr>
      <w:r>
        <w:rPr>
          <w:rFonts w:eastAsia="仿宋_GB2312"/>
          <w:kern w:val="0"/>
          <w:sz w:val="32"/>
          <w:szCs w:val="32"/>
        </w:rPr>
        <w:t>（13）说明书的编制或者修订日期；</w:t>
      </w:r>
    </w:p>
    <w:p w14:paraId="4EA6E93F">
      <w:pPr>
        <w:spacing w:line="520" w:lineRule="exact"/>
        <w:ind w:firstLine="640" w:firstLineChars="200"/>
        <w:rPr>
          <w:rFonts w:eastAsia="仿宋_GB2312"/>
          <w:kern w:val="0"/>
          <w:sz w:val="32"/>
          <w:szCs w:val="32"/>
        </w:rPr>
      </w:pPr>
      <w:r>
        <w:rPr>
          <w:rFonts w:eastAsia="仿宋_GB2312"/>
          <w:kern w:val="0"/>
          <w:sz w:val="32"/>
          <w:szCs w:val="32"/>
        </w:rPr>
        <w:t>上述各项目均应当包含在产品说明书中，但其中的详细内容可能因申请人和申报产品的不同而有所区别，或者某些项目的详细内容可能记载于其他文件（如维修保养手册）中，此种情况下，申请人应当在提交产品说明书时另附文件予以说明。</w:t>
      </w:r>
    </w:p>
    <w:p w14:paraId="1CE4005C">
      <w:pPr>
        <w:spacing w:line="520" w:lineRule="exact"/>
        <w:ind w:firstLine="640" w:firstLineChars="200"/>
        <w:rPr>
          <w:rFonts w:eastAsia="仿宋_GB2312"/>
          <w:kern w:val="0"/>
          <w:sz w:val="32"/>
          <w:szCs w:val="32"/>
        </w:rPr>
      </w:pPr>
      <w:r>
        <w:rPr>
          <w:rFonts w:eastAsia="仿宋_GB2312"/>
          <w:kern w:val="0"/>
          <w:sz w:val="32"/>
          <w:szCs w:val="32"/>
        </w:rPr>
        <w:t>产品说明书的内容均应有明确的来源，与综述资料、研究资料等注册申报资料的内容保持一致。进口产品的原文说明书如缺少上述项目中的某些内容，应当在产品中文说明书中予以增加，涉及技术内容且前述注册申报资料中未包含的，建议提交相应验证资料。</w:t>
      </w:r>
    </w:p>
    <w:p w14:paraId="6705E00A">
      <w:pPr>
        <w:spacing w:line="520" w:lineRule="exact"/>
        <w:ind w:firstLine="640" w:firstLineChars="200"/>
        <w:rPr>
          <w:rFonts w:eastAsia="仿宋_GB2312"/>
          <w:kern w:val="0"/>
          <w:sz w:val="32"/>
          <w:szCs w:val="32"/>
        </w:rPr>
      </w:pPr>
      <w:r>
        <w:rPr>
          <w:rFonts w:eastAsia="仿宋_GB2312"/>
          <w:kern w:val="0"/>
          <w:sz w:val="32"/>
          <w:szCs w:val="32"/>
        </w:rPr>
        <w:t>2.最小销售单元的标签样稿</w:t>
      </w:r>
    </w:p>
    <w:p w14:paraId="04DFB27B">
      <w:pPr>
        <w:spacing w:line="520" w:lineRule="exact"/>
        <w:ind w:firstLine="640" w:firstLineChars="200"/>
        <w:rPr>
          <w:rFonts w:eastAsia="仿宋_GB2312"/>
          <w:sz w:val="32"/>
          <w:szCs w:val="32"/>
        </w:rPr>
      </w:pPr>
      <w:r>
        <w:rPr>
          <w:rFonts w:eastAsia="仿宋_GB2312"/>
          <w:kern w:val="0"/>
          <w:sz w:val="32"/>
          <w:szCs w:val="32"/>
        </w:rPr>
        <w:t>标签样稿应当符合《医疗器械说明书和标签管理规定》的要求，其内容应当至少包括第十三条规定的所有适用内容。</w:t>
      </w:r>
      <w:r>
        <w:rPr>
          <w:rFonts w:eastAsia="仿宋_GB2312"/>
          <w:sz w:val="32"/>
          <w:szCs w:val="32"/>
        </w:rPr>
        <w:t>因位置或者大小受限而无法全部标明上述内容的，至少应当标注产品名称、型号、规格、生产日期和使用期限或者失效日期，并在标签中明确“其他内容详见说明书”。</w:t>
      </w:r>
    </w:p>
    <w:p w14:paraId="5556EC0B">
      <w:pPr>
        <w:spacing w:line="520" w:lineRule="exact"/>
        <w:ind w:firstLine="640" w:firstLineChars="200"/>
        <w:rPr>
          <w:rFonts w:eastAsia="仿宋_GB2312"/>
          <w:sz w:val="32"/>
          <w:szCs w:val="32"/>
        </w:rPr>
      </w:pPr>
      <w:r>
        <w:rPr>
          <w:rFonts w:hint="eastAsia" w:eastAsia="仿宋_GB2312"/>
          <w:sz w:val="32"/>
          <w:szCs w:val="32"/>
        </w:rPr>
        <w:t>（六）质量管理体系文件</w:t>
      </w:r>
    </w:p>
    <w:p w14:paraId="75911F98">
      <w:pPr>
        <w:tabs>
          <w:tab w:val="left" w:pos="8040"/>
        </w:tabs>
        <w:adjustRightInd w:val="0"/>
        <w:snapToGrid w:val="0"/>
        <w:spacing w:line="540" w:lineRule="exact"/>
        <w:ind w:firstLine="640" w:firstLineChars="200"/>
        <w:rPr>
          <w:rFonts w:eastAsia="仿宋_GB2312"/>
          <w:sz w:val="32"/>
          <w:szCs w:val="32"/>
        </w:rPr>
      </w:pPr>
      <w:r>
        <w:rPr>
          <w:rFonts w:eastAsia="仿宋_GB2312"/>
          <w:sz w:val="32"/>
          <w:szCs w:val="32"/>
        </w:rPr>
        <w:t>质量管理体系文件主要包括综述、生产制造信息、质量管理体系程序、管理职责程序、资源管理程序、产品实现程序、质量管理体系的测量、分析和改进程序、其他质量体系程序信息、质量管理体系核查信息等内容，应符合《医疗器械注册与备案管理办法》和《关于公布医疗器械注册申报资料要求和批准证明文件格式的公告》的相关要求。</w:t>
      </w:r>
    </w:p>
    <w:p w14:paraId="694412AE">
      <w:pPr>
        <w:pStyle w:val="2"/>
        <w:spacing w:line="520" w:lineRule="exact"/>
      </w:pPr>
      <w:r>
        <w:rPr>
          <w:rFonts w:hint="eastAsia"/>
        </w:rPr>
        <w:t>三、参考文献</w:t>
      </w:r>
    </w:p>
    <w:p w14:paraId="187DD8BC">
      <w:pPr>
        <w:pStyle w:val="23"/>
        <w:numPr>
          <w:ilvl w:val="0"/>
          <w:numId w:val="2"/>
        </w:numPr>
        <w:tabs>
          <w:tab w:val="left" w:pos="360"/>
          <w:tab w:val="left" w:pos="952"/>
          <w:tab w:val="left" w:pos="1078"/>
          <w:tab w:val="left" w:pos="1140"/>
        </w:tabs>
        <w:autoSpaceDE w:val="0"/>
        <w:autoSpaceDN w:val="0"/>
        <w:adjustRightInd w:val="0"/>
        <w:spacing w:line="520" w:lineRule="exact"/>
        <w:ind w:left="0" w:firstLine="641" w:firstLineChars="0"/>
        <w:rPr>
          <w:rFonts w:eastAsia="仿宋_GB2312"/>
          <w:sz w:val="32"/>
          <w:szCs w:val="32"/>
        </w:rPr>
      </w:pPr>
      <w:r>
        <w:rPr>
          <w:rFonts w:hint="eastAsia" w:eastAsia="仿宋_GB2312"/>
          <w:kern w:val="0"/>
          <w:sz w:val="32"/>
          <w:szCs w:val="32"/>
        </w:rPr>
        <w:t>中华人民共和国国务院.医疗器械监督管理条例:中华人民共和国国务院令第739号[Z].</w:t>
      </w:r>
    </w:p>
    <w:p w14:paraId="2C5C93E2">
      <w:pPr>
        <w:spacing w:line="520" w:lineRule="exact"/>
        <w:ind w:right="-67" w:rightChars="-32" w:firstLine="640" w:firstLineChars="200"/>
        <w:rPr>
          <w:rFonts w:eastAsia="仿宋_GB2312"/>
          <w:sz w:val="32"/>
          <w:szCs w:val="32"/>
        </w:rPr>
      </w:pPr>
      <w:r>
        <w:rPr>
          <w:rFonts w:hint="eastAsia" w:eastAsia="仿宋_GB2312"/>
          <w:sz w:val="32"/>
          <w:szCs w:val="32"/>
        </w:rPr>
        <w:t>[2]</w:t>
      </w:r>
      <w:r>
        <w:rPr>
          <w:rFonts w:hint="eastAsia" w:eastAsia="仿宋_GB2312"/>
          <w:kern w:val="0"/>
          <w:sz w:val="32"/>
          <w:szCs w:val="32"/>
        </w:rPr>
        <w:t>国家市场监督管理总局.医疗器械注册与备案管理办法:国家市场监督管理总局令第47号[Z]</w:t>
      </w:r>
      <w:r>
        <w:rPr>
          <w:rFonts w:hint="eastAsia" w:eastAsia="仿宋_GB2312"/>
          <w:sz w:val="32"/>
          <w:szCs w:val="32"/>
        </w:rPr>
        <w:t>.</w:t>
      </w:r>
    </w:p>
    <w:p w14:paraId="6118433E">
      <w:pPr>
        <w:spacing w:line="520" w:lineRule="exact"/>
        <w:ind w:right="-67" w:rightChars="-32" w:firstLine="640" w:firstLineChars="200"/>
        <w:rPr>
          <w:rFonts w:eastAsia="仿宋_GB2312"/>
          <w:sz w:val="32"/>
          <w:szCs w:val="32"/>
        </w:rPr>
      </w:pPr>
      <w:r>
        <w:rPr>
          <w:rFonts w:hint="eastAsia" w:eastAsia="仿宋_GB2312"/>
          <w:kern w:val="0"/>
          <w:sz w:val="32"/>
          <w:szCs w:val="32"/>
        </w:rPr>
        <w:t>[3]国家药品监督管理局.</w:t>
      </w:r>
      <w:r>
        <w:rPr>
          <w:rFonts w:eastAsia="仿宋_GB2312"/>
          <w:kern w:val="0"/>
          <w:sz w:val="32"/>
          <w:szCs w:val="32"/>
        </w:rPr>
        <w:t>医疗器械注册申报资料要求及说明</w:t>
      </w:r>
      <w:r>
        <w:rPr>
          <w:rFonts w:hint="eastAsia" w:eastAsia="仿宋_GB2312"/>
          <w:kern w:val="0"/>
          <w:sz w:val="32"/>
          <w:szCs w:val="32"/>
        </w:rPr>
        <w:t>:关于公布</w:t>
      </w:r>
      <w:r>
        <w:rPr>
          <w:rFonts w:eastAsia="仿宋_GB2312"/>
          <w:kern w:val="0"/>
          <w:sz w:val="32"/>
          <w:szCs w:val="32"/>
        </w:rPr>
        <w:t>医疗器械注册申报资料要求</w:t>
      </w:r>
      <w:r>
        <w:rPr>
          <w:rFonts w:hint="eastAsia" w:eastAsia="仿宋_GB2312"/>
          <w:kern w:val="0"/>
          <w:sz w:val="32"/>
          <w:szCs w:val="32"/>
        </w:rPr>
        <w:t>和批准证明文件格式公告2021年第121号</w:t>
      </w:r>
      <w:r>
        <w:rPr>
          <w:rFonts w:eastAsia="仿宋_GB2312"/>
          <w:kern w:val="0"/>
          <w:sz w:val="32"/>
          <w:szCs w:val="32"/>
        </w:rPr>
        <w:t>[Z].</w:t>
      </w:r>
    </w:p>
    <w:p w14:paraId="57B29427">
      <w:pPr>
        <w:spacing w:line="520" w:lineRule="exact"/>
        <w:ind w:right="-67" w:rightChars="-32" w:firstLine="640" w:firstLineChars="200"/>
        <w:rPr>
          <w:rFonts w:eastAsia="仿宋_GB2312"/>
          <w:sz w:val="32"/>
          <w:szCs w:val="32"/>
        </w:rPr>
      </w:pPr>
      <w:r>
        <w:rPr>
          <w:rFonts w:hint="eastAsia" w:eastAsia="仿宋_GB2312"/>
          <w:sz w:val="32"/>
          <w:szCs w:val="32"/>
        </w:rPr>
        <w:t>[4]国家食品药品监督管理总局.医疗器械分类规则:国家食品药品监督管理总局令第15号[Z].</w:t>
      </w:r>
    </w:p>
    <w:p w14:paraId="4A23ABC9">
      <w:pPr>
        <w:spacing w:line="520" w:lineRule="exact"/>
        <w:ind w:right="-67" w:rightChars="-32" w:firstLine="640" w:firstLineChars="200"/>
        <w:rPr>
          <w:rFonts w:eastAsia="仿宋_GB2312"/>
          <w:sz w:val="32"/>
          <w:szCs w:val="32"/>
        </w:rPr>
      </w:pPr>
      <w:r>
        <w:rPr>
          <w:rFonts w:hint="eastAsia" w:eastAsia="仿宋_GB2312"/>
          <w:sz w:val="32"/>
          <w:szCs w:val="32"/>
        </w:rPr>
        <w:t>[5]</w:t>
      </w:r>
      <w:r>
        <w:rPr>
          <w:rFonts w:eastAsia="仿宋_GB2312"/>
          <w:kern w:val="0"/>
          <w:sz w:val="32"/>
          <w:szCs w:val="32"/>
        </w:rPr>
        <w:t>国家食品药品监督管理局</w:t>
      </w:r>
      <w:r>
        <w:rPr>
          <w:rFonts w:hint="eastAsia" w:eastAsia="仿宋_GB2312"/>
          <w:kern w:val="0"/>
          <w:sz w:val="32"/>
          <w:szCs w:val="32"/>
        </w:rPr>
        <w:t>.</w:t>
      </w:r>
      <w:r>
        <w:rPr>
          <w:rFonts w:eastAsia="仿宋_GB2312"/>
          <w:kern w:val="0"/>
          <w:sz w:val="32"/>
          <w:szCs w:val="32"/>
        </w:rPr>
        <w:t>医疗器械通用名称命名规则</w:t>
      </w:r>
      <w:r>
        <w:rPr>
          <w:rFonts w:hint="eastAsia" w:eastAsia="仿宋_GB2312"/>
          <w:kern w:val="0"/>
          <w:sz w:val="32"/>
          <w:szCs w:val="32"/>
        </w:rPr>
        <w:t>：</w:t>
      </w:r>
      <w:r>
        <w:rPr>
          <w:rFonts w:eastAsia="仿宋_GB2312"/>
          <w:kern w:val="0"/>
          <w:sz w:val="32"/>
          <w:szCs w:val="32"/>
        </w:rPr>
        <w:t>国家食品药品监督管理总局令第19号[Z]</w:t>
      </w:r>
      <w:r>
        <w:rPr>
          <w:rFonts w:hint="eastAsia" w:eastAsia="仿宋_GB2312"/>
          <w:sz w:val="32"/>
          <w:szCs w:val="32"/>
        </w:rPr>
        <w:t>.</w:t>
      </w:r>
    </w:p>
    <w:p w14:paraId="626E4003">
      <w:pPr>
        <w:spacing w:line="520" w:lineRule="exact"/>
        <w:ind w:right="-67" w:rightChars="-32" w:firstLine="640" w:firstLineChars="200"/>
        <w:rPr>
          <w:rFonts w:eastAsia="仿宋_GB2312"/>
          <w:sz w:val="32"/>
          <w:szCs w:val="32"/>
        </w:rPr>
      </w:pPr>
      <w:r>
        <w:rPr>
          <w:rFonts w:hint="eastAsia" w:eastAsia="仿宋_GB2312"/>
          <w:sz w:val="32"/>
          <w:szCs w:val="32"/>
        </w:rPr>
        <w:t>[6]</w:t>
      </w:r>
      <w:r>
        <w:rPr>
          <w:rFonts w:eastAsia="仿宋_GB2312"/>
          <w:kern w:val="0"/>
          <w:sz w:val="32"/>
          <w:szCs w:val="32"/>
        </w:rPr>
        <w:t>国家食品药品监督管理局.医疗器械分类目录</w:t>
      </w:r>
      <w:r>
        <w:rPr>
          <w:rFonts w:hint="eastAsia" w:eastAsia="仿宋_GB2312"/>
          <w:kern w:val="0"/>
          <w:sz w:val="32"/>
          <w:szCs w:val="32"/>
        </w:rPr>
        <w:t>:</w:t>
      </w:r>
      <w:r>
        <w:rPr>
          <w:rFonts w:eastAsia="仿宋_GB2312"/>
          <w:kern w:val="0"/>
          <w:sz w:val="32"/>
          <w:szCs w:val="32"/>
        </w:rPr>
        <w:t>国家食品药品监督管理总局</w:t>
      </w:r>
      <w:r>
        <w:rPr>
          <w:rFonts w:hint="eastAsia" w:eastAsia="仿宋_GB2312"/>
          <w:kern w:val="0"/>
          <w:sz w:val="32"/>
          <w:szCs w:val="32"/>
        </w:rPr>
        <w:t>关于发布医疗器械分类目录公告</w:t>
      </w:r>
      <w:r>
        <w:rPr>
          <w:rFonts w:eastAsia="仿宋_GB2312"/>
          <w:kern w:val="0"/>
          <w:sz w:val="32"/>
          <w:szCs w:val="32"/>
        </w:rPr>
        <w:t>2017年第104号[Z]</w:t>
      </w:r>
      <w:r>
        <w:rPr>
          <w:rFonts w:hint="eastAsia" w:eastAsia="仿宋_GB2312"/>
          <w:sz w:val="32"/>
          <w:szCs w:val="32"/>
        </w:rPr>
        <w:t>.</w:t>
      </w:r>
    </w:p>
    <w:p w14:paraId="10E9FF9A">
      <w:pPr>
        <w:spacing w:line="520" w:lineRule="exact"/>
        <w:ind w:right="-67" w:rightChars="-32" w:firstLine="640" w:firstLineChars="200"/>
        <w:rPr>
          <w:rFonts w:eastAsia="仿宋_GB2312"/>
          <w:sz w:val="32"/>
          <w:szCs w:val="32"/>
        </w:rPr>
      </w:pPr>
      <w:r>
        <w:rPr>
          <w:rFonts w:hint="eastAsia" w:eastAsia="仿宋_GB2312"/>
          <w:sz w:val="32"/>
          <w:szCs w:val="32"/>
        </w:rPr>
        <w:t>[7]国家药品监督管理局.临床检验器械通用名称命名指导原则:国家药监局关于发布有源手术器械通用名称命名指导原则等6项指导原则通告2022年第26号[Z].</w:t>
      </w:r>
    </w:p>
    <w:p w14:paraId="16E8B4CB">
      <w:pPr>
        <w:spacing w:line="520" w:lineRule="exact"/>
        <w:ind w:right="-67" w:rightChars="-32" w:firstLine="640" w:firstLineChars="200"/>
        <w:rPr>
          <w:rFonts w:eastAsia="仿宋_GB2312"/>
          <w:sz w:val="32"/>
          <w:szCs w:val="32"/>
        </w:rPr>
      </w:pPr>
      <w:r>
        <w:rPr>
          <w:rFonts w:hint="eastAsia" w:eastAsia="仿宋_GB2312"/>
          <w:sz w:val="32"/>
          <w:szCs w:val="32"/>
        </w:rPr>
        <w:t>[8]</w:t>
      </w:r>
      <w:r>
        <w:rPr>
          <w:rFonts w:eastAsia="仿宋_GB2312"/>
          <w:kern w:val="0"/>
          <w:sz w:val="32"/>
          <w:szCs w:val="32"/>
        </w:rPr>
        <w:t>国家食品药品监督管理局.医疗器械注册单元划分指导原则</w:t>
      </w:r>
      <w:r>
        <w:rPr>
          <w:rFonts w:hint="eastAsia" w:eastAsia="仿宋_GB2312"/>
          <w:kern w:val="0"/>
          <w:sz w:val="32"/>
          <w:szCs w:val="32"/>
        </w:rPr>
        <w:t>:总局关于发布</w:t>
      </w:r>
      <w:r>
        <w:rPr>
          <w:rFonts w:eastAsia="仿宋_GB2312"/>
          <w:kern w:val="0"/>
          <w:sz w:val="32"/>
          <w:szCs w:val="32"/>
        </w:rPr>
        <w:t>医疗器械注册单元划分指导原则</w:t>
      </w:r>
      <w:r>
        <w:rPr>
          <w:rFonts w:hint="eastAsia" w:eastAsia="仿宋_GB2312"/>
          <w:kern w:val="0"/>
          <w:sz w:val="32"/>
          <w:szCs w:val="32"/>
        </w:rPr>
        <w:t>通</w:t>
      </w:r>
      <w:r>
        <w:rPr>
          <w:rFonts w:eastAsia="仿宋_GB2312"/>
          <w:kern w:val="0"/>
          <w:sz w:val="32"/>
          <w:szCs w:val="32"/>
        </w:rPr>
        <w:t>告2017年第187号[Z]</w:t>
      </w:r>
      <w:r>
        <w:rPr>
          <w:rFonts w:hint="eastAsia" w:eastAsia="仿宋_GB2312"/>
          <w:sz w:val="32"/>
          <w:szCs w:val="32"/>
        </w:rPr>
        <w:t>.</w:t>
      </w:r>
    </w:p>
    <w:p w14:paraId="029E5E5B">
      <w:pPr>
        <w:spacing w:line="520" w:lineRule="exact"/>
        <w:ind w:right="-67" w:rightChars="-32" w:firstLine="640" w:firstLineChars="200"/>
        <w:rPr>
          <w:rFonts w:eastAsia="仿宋_GB2312"/>
          <w:sz w:val="32"/>
          <w:szCs w:val="32"/>
        </w:rPr>
      </w:pPr>
      <w:r>
        <w:rPr>
          <w:rFonts w:hint="eastAsia" w:eastAsia="仿宋_GB2312"/>
          <w:sz w:val="32"/>
          <w:szCs w:val="32"/>
        </w:rPr>
        <w:t>[9]</w:t>
      </w:r>
      <w:r>
        <w:rPr>
          <w:rFonts w:hint="eastAsia" w:eastAsia="仿宋_GB2312"/>
          <w:kern w:val="0"/>
          <w:sz w:val="32"/>
          <w:szCs w:val="32"/>
        </w:rPr>
        <w:t>国家食品药品监督管理局.医疗器械说明书和标签管理规定:国家食品药品监督管理总局令第6号[Z]</w:t>
      </w:r>
      <w:r>
        <w:rPr>
          <w:rFonts w:hint="eastAsia" w:eastAsia="仿宋_GB2312"/>
          <w:sz w:val="32"/>
          <w:szCs w:val="32"/>
        </w:rPr>
        <w:t>.</w:t>
      </w:r>
    </w:p>
    <w:p w14:paraId="221ED5C3">
      <w:pPr>
        <w:spacing w:line="52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10</w:t>
      </w:r>
      <w:r>
        <w:rPr>
          <w:rFonts w:eastAsia="仿宋_GB2312"/>
          <w:sz w:val="32"/>
          <w:szCs w:val="32"/>
        </w:rPr>
        <w:t>]国家药品监督管理局.医疗器械注册自检管理规定（国家药品监督管理局公告2021年第126号）[Z].</w:t>
      </w:r>
    </w:p>
    <w:p w14:paraId="0BAC1A91">
      <w:pPr>
        <w:spacing w:line="520" w:lineRule="exact"/>
        <w:ind w:right="-67" w:rightChars="-32" w:firstLine="640" w:firstLineChars="200"/>
        <w:rPr>
          <w:rFonts w:eastAsia="仿宋_GB2312"/>
          <w:sz w:val="32"/>
          <w:szCs w:val="32"/>
        </w:rPr>
      </w:pPr>
      <w:r>
        <w:rPr>
          <w:rFonts w:hint="eastAsia" w:eastAsia="仿宋_GB2312"/>
          <w:sz w:val="32"/>
          <w:szCs w:val="32"/>
        </w:rPr>
        <w:t>[11]国家药品监督管理局.有源医疗器械使用期限注册技术审查指导原则:国家药监局关于发布有源医疗器械使用期限注册技术审查指导原则通告2019年第23号[Z].</w:t>
      </w:r>
    </w:p>
    <w:p w14:paraId="669F8052">
      <w:pPr>
        <w:spacing w:line="520" w:lineRule="exact"/>
        <w:ind w:right="-67" w:rightChars="-32" w:firstLine="640" w:firstLineChars="200"/>
        <w:rPr>
          <w:rFonts w:eastAsia="仿宋_GB2312"/>
          <w:kern w:val="0"/>
          <w:sz w:val="32"/>
          <w:szCs w:val="32"/>
        </w:rPr>
      </w:pPr>
      <w:r>
        <w:rPr>
          <w:rFonts w:hint="eastAsia" w:eastAsia="仿宋_GB2312"/>
          <w:sz w:val="32"/>
          <w:szCs w:val="32"/>
        </w:rPr>
        <w:t>[12]</w:t>
      </w:r>
      <w:r>
        <w:rPr>
          <w:rFonts w:hint="eastAsia" w:eastAsia="仿宋_GB2312"/>
          <w:kern w:val="0"/>
          <w:sz w:val="32"/>
          <w:szCs w:val="32"/>
        </w:rPr>
        <w:t>国家药品监督管理局医疗器械审评中心.医疗器械软件注册审查指导原则（2022年修订版）:国家药监局器审中心通告2022年第9号[Z].</w:t>
      </w:r>
    </w:p>
    <w:p w14:paraId="7533E6FA">
      <w:pPr>
        <w:spacing w:line="520" w:lineRule="exact"/>
        <w:ind w:right="-67" w:rightChars="-32" w:firstLine="640" w:firstLineChars="200"/>
        <w:rPr>
          <w:rFonts w:eastAsia="仿宋_GB2312"/>
          <w:kern w:val="0"/>
          <w:sz w:val="32"/>
          <w:szCs w:val="32"/>
        </w:rPr>
      </w:pPr>
      <w:r>
        <w:rPr>
          <w:rFonts w:hint="eastAsia" w:eastAsia="仿宋_GB2312"/>
          <w:sz w:val="32"/>
          <w:szCs w:val="32"/>
        </w:rPr>
        <w:t>[13]</w:t>
      </w:r>
      <w:r>
        <w:rPr>
          <w:rFonts w:hint="eastAsia" w:eastAsia="仿宋_GB2312"/>
          <w:kern w:val="0"/>
          <w:sz w:val="32"/>
          <w:szCs w:val="32"/>
        </w:rPr>
        <w:t>国家药品监督管理局医疗器械审评中心</w:t>
      </w:r>
      <w:r>
        <w:rPr>
          <w:rFonts w:eastAsia="仿宋_GB2312"/>
          <w:sz w:val="32"/>
          <w:szCs w:val="32"/>
        </w:rPr>
        <w:t>.医疗器械网络安全注册审查指导原则（2022年修订版）</w:t>
      </w:r>
      <w:r>
        <w:rPr>
          <w:rFonts w:hint="eastAsia" w:eastAsia="仿宋_GB2312"/>
          <w:sz w:val="32"/>
          <w:szCs w:val="32"/>
        </w:rPr>
        <w:t>:</w:t>
      </w:r>
      <w:r>
        <w:rPr>
          <w:rFonts w:hint="eastAsia" w:eastAsia="仿宋_GB2312"/>
          <w:kern w:val="0"/>
          <w:sz w:val="32"/>
          <w:szCs w:val="32"/>
        </w:rPr>
        <w:t>国家药监局器审中心通告2022年第7号</w:t>
      </w:r>
      <w:r>
        <w:rPr>
          <w:rFonts w:eastAsia="仿宋_GB2312"/>
          <w:sz w:val="32"/>
          <w:szCs w:val="32"/>
        </w:rPr>
        <w:t>[Z].</w:t>
      </w:r>
    </w:p>
    <w:p w14:paraId="1C9167F1">
      <w:pPr>
        <w:spacing w:line="520" w:lineRule="exact"/>
        <w:ind w:right="-67" w:rightChars="-32" w:firstLine="640" w:firstLineChars="200"/>
        <w:rPr>
          <w:rFonts w:eastAsia="仿宋_GB2312"/>
          <w:kern w:val="0"/>
          <w:sz w:val="32"/>
          <w:szCs w:val="32"/>
        </w:rPr>
      </w:pPr>
      <w:r>
        <w:rPr>
          <w:rFonts w:eastAsia="仿宋_GB2312"/>
          <w:sz w:val="32"/>
          <w:szCs w:val="32"/>
        </w:rPr>
        <w:t>[1</w:t>
      </w:r>
      <w:r>
        <w:rPr>
          <w:rFonts w:hint="eastAsia" w:eastAsia="仿宋_GB2312"/>
          <w:sz w:val="32"/>
          <w:szCs w:val="32"/>
        </w:rPr>
        <w:t>4</w:t>
      </w:r>
      <w:r>
        <w:rPr>
          <w:rFonts w:eastAsia="仿宋_GB2312"/>
          <w:sz w:val="32"/>
          <w:szCs w:val="32"/>
        </w:rPr>
        <w:t>]</w:t>
      </w:r>
      <w:r>
        <w:rPr>
          <w:rFonts w:hint="eastAsia" w:eastAsia="仿宋_GB2312"/>
          <w:kern w:val="0"/>
          <w:sz w:val="32"/>
          <w:szCs w:val="32"/>
        </w:rPr>
        <w:t>国家药品监督管理局.免于进行临床评价医疗器械目录：国家药监局关于发布免于临床评价医疗器械目录通告2025年第19号[Z].</w:t>
      </w:r>
    </w:p>
    <w:p w14:paraId="044CEE75">
      <w:pPr>
        <w:spacing w:line="520" w:lineRule="exact"/>
        <w:ind w:right="-67" w:rightChars="-32" w:firstLine="640" w:firstLineChars="200"/>
        <w:rPr>
          <w:rFonts w:eastAsia="仿宋_GB2312"/>
          <w:kern w:val="0"/>
          <w:sz w:val="32"/>
          <w:szCs w:val="32"/>
        </w:rPr>
      </w:pPr>
      <w:r>
        <w:rPr>
          <w:rFonts w:hint="eastAsia" w:eastAsia="仿宋_GB2312"/>
          <w:kern w:val="0"/>
          <w:sz w:val="32"/>
          <w:szCs w:val="32"/>
        </w:rPr>
        <w:t>[15]国家药品监督管理局.列入免于临床评价医疗器械目录产品对比说明技术指导原则:国家药监局关于发布医疗器械临床评价技术指导原则等5项技术指导原则通告2021年第73号[Z].</w:t>
      </w:r>
    </w:p>
    <w:p w14:paraId="130C336D">
      <w:pPr>
        <w:spacing w:line="520" w:lineRule="exact"/>
        <w:ind w:right="-67" w:rightChars="-32" w:firstLine="640" w:firstLineChars="200"/>
        <w:rPr>
          <w:rFonts w:eastAsia="仿宋_GB2312"/>
          <w:sz w:val="32"/>
          <w:szCs w:val="28"/>
        </w:rPr>
      </w:pPr>
      <w:r>
        <w:rPr>
          <w:rFonts w:hint="eastAsia" w:eastAsia="仿宋_GB2312"/>
          <w:sz w:val="32"/>
          <w:szCs w:val="32"/>
        </w:rPr>
        <w:t>[16]</w:t>
      </w:r>
      <w:r>
        <w:rPr>
          <w:rFonts w:hint="eastAsia" w:eastAsia="仿宋_GB2312"/>
          <w:kern w:val="0"/>
          <w:sz w:val="32"/>
          <w:szCs w:val="32"/>
        </w:rPr>
        <w:t>国家药品监督管理局.</w:t>
      </w:r>
      <w:r>
        <w:rPr>
          <w:rFonts w:hint="eastAsia" w:eastAsia="仿宋_GB2312"/>
          <w:sz w:val="32"/>
          <w:szCs w:val="28"/>
        </w:rPr>
        <w:t>医疗器械临床评价指导原则</w:t>
      </w:r>
      <w:r>
        <w:rPr>
          <w:rFonts w:hint="eastAsia" w:eastAsia="仿宋_GB2312"/>
          <w:kern w:val="0"/>
          <w:sz w:val="32"/>
          <w:szCs w:val="32"/>
        </w:rPr>
        <w:t>:国家药监局关于发布医疗器械临床评价技术指导原则等5项技术指导原则通告2021年第73号[Z]</w:t>
      </w:r>
      <w:r>
        <w:rPr>
          <w:rFonts w:hint="eastAsia" w:eastAsia="仿宋_GB2312"/>
          <w:sz w:val="32"/>
          <w:szCs w:val="28"/>
        </w:rPr>
        <w:t>.</w:t>
      </w:r>
    </w:p>
    <w:p w14:paraId="71D64633">
      <w:pPr>
        <w:spacing w:line="520" w:lineRule="exact"/>
        <w:ind w:right="-67" w:rightChars="-32" w:firstLine="640" w:firstLineChars="200"/>
        <w:rPr>
          <w:rFonts w:eastAsia="仿宋_GB2312"/>
          <w:sz w:val="32"/>
          <w:szCs w:val="32"/>
        </w:rPr>
      </w:pPr>
      <w:r>
        <w:rPr>
          <w:rFonts w:hint="eastAsia" w:eastAsia="仿宋_GB2312"/>
          <w:sz w:val="32"/>
          <w:szCs w:val="32"/>
        </w:rPr>
        <w:t>[17] GB/T 42062-2022,医疗器械 风险管理对医疗器械的应用[</w:t>
      </w:r>
      <w:r>
        <w:rPr>
          <w:rFonts w:eastAsia="仿宋_GB2312"/>
          <w:sz w:val="32"/>
          <w:szCs w:val="32"/>
        </w:rPr>
        <w:t>S].</w:t>
      </w:r>
    </w:p>
    <w:p w14:paraId="6B15780D">
      <w:pPr>
        <w:spacing w:line="520" w:lineRule="exact"/>
        <w:ind w:firstLine="640" w:firstLineChars="200"/>
        <w:rPr>
          <w:rFonts w:eastAsia="仿宋_GB2312"/>
          <w:sz w:val="32"/>
          <w:szCs w:val="28"/>
        </w:rPr>
      </w:pPr>
      <w:r>
        <w:rPr>
          <w:rFonts w:eastAsia="仿宋_GB2312"/>
          <w:sz w:val="32"/>
          <w:szCs w:val="28"/>
        </w:rPr>
        <w:t>[</w:t>
      </w:r>
      <w:r>
        <w:rPr>
          <w:rFonts w:hint="eastAsia" w:eastAsia="仿宋_GB2312"/>
          <w:sz w:val="32"/>
          <w:szCs w:val="28"/>
        </w:rPr>
        <w:t>18</w:t>
      </w:r>
      <w:r>
        <w:rPr>
          <w:rFonts w:eastAsia="仿宋_GB2312"/>
          <w:sz w:val="32"/>
          <w:szCs w:val="28"/>
        </w:rPr>
        <w:t>]GB 4793.1</w:t>
      </w:r>
      <w:r>
        <w:rPr>
          <w:rFonts w:hint="eastAsia" w:eastAsia="仿宋_GB2312"/>
          <w:sz w:val="32"/>
          <w:szCs w:val="28"/>
        </w:rPr>
        <w:t>-2007</w:t>
      </w:r>
      <w:r>
        <w:rPr>
          <w:rFonts w:eastAsia="仿宋_GB2312"/>
          <w:sz w:val="32"/>
          <w:szCs w:val="28"/>
        </w:rPr>
        <w:t>,测量、控制和实验室用电气设备的安全要求 第1部分：通用要求[S].</w:t>
      </w:r>
    </w:p>
    <w:p w14:paraId="4773CE64">
      <w:pPr>
        <w:spacing w:line="520" w:lineRule="exact"/>
        <w:ind w:firstLine="640" w:firstLineChars="200"/>
        <w:rPr>
          <w:rFonts w:eastAsia="仿宋_GB2312"/>
          <w:sz w:val="32"/>
          <w:szCs w:val="28"/>
        </w:rPr>
      </w:pPr>
      <w:r>
        <w:rPr>
          <w:rFonts w:eastAsia="仿宋_GB2312"/>
          <w:sz w:val="32"/>
          <w:szCs w:val="28"/>
        </w:rPr>
        <w:t>[</w:t>
      </w:r>
      <w:r>
        <w:rPr>
          <w:rFonts w:hint="eastAsia" w:eastAsia="仿宋_GB2312"/>
          <w:sz w:val="32"/>
          <w:szCs w:val="28"/>
        </w:rPr>
        <w:t>19</w:t>
      </w:r>
      <w:r>
        <w:rPr>
          <w:rFonts w:eastAsia="仿宋_GB2312"/>
          <w:sz w:val="32"/>
          <w:szCs w:val="28"/>
        </w:rPr>
        <w:t>]GB 4793.6</w:t>
      </w:r>
      <w:r>
        <w:rPr>
          <w:rFonts w:hint="eastAsia" w:eastAsia="仿宋_GB2312"/>
          <w:sz w:val="32"/>
          <w:szCs w:val="28"/>
        </w:rPr>
        <w:t>-2008</w:t>
      </w:r>
      <w:r>
        <w:rPr>
          <w:rFonts w:eastAsia="仿宋_GB2312"/>
          <w:sz w:val="32"/>
          <w:szCs w:val="28"/>
        </w:rPr>
        <w:t>,测量、控制和实验室用电气设备的安全要求 第6部分：实验室用材料加热设备的特殊要求[S].</w:t>
      </w:r>
    </w:p>
    <w:p w14:paraId="70DE1ED9">
      <w:pPr>
        <w:spacing w:line="520" w:lineRule="exact"/>
        <w:ind w:firstLine="640" w:firstLineChars="200"/>
        <w:rPr>
          <w:rFonts w:eastAsia="仿宋_GB2312"/>
          <w:sz w:val="32"/>
          <w:szCs w:val="28"/>
        </w:rPr>
      </w:pPr>
      <w:r>
        <w:rPr>
          <w:rFonts w:eastAsia="仿宋_GB2312"/>
          <w:sz w:val="32"/>
          <w:szCs w:val="28"/>
        </w:rPr>
        <w:t>[</w:t>
      </w:r>
      <w:r>
        <w:rPr>
          <w:rFonts w:hint="eastAsia" w:eastAsia="仿宋_GB2312"/>
          <w:sz w:val="32"/>
          <w:szCs w:val="28"/>
        </w:rPr>
        <w:t>20</w:t>
      </w:r>
      <w:r>
        <w:rPr>
          <w:rFonts w:eastAsia="仿宋_GB2312"/>
          <w:sz w:val="32"/>
          <w:szCs w:val="28"/>
        </w:rPr>
        <w:t>]GB/T 14710</w:t>
      </w:r>
      <w:r>
        <w:rPr>
          <w:rFonts w:hint="eastAsia" w:eastAsia="仿宋_GB2312"/>
          <w:sz w:val="32"/>
          <w:szCs w:val="28"/>
        </w:rPr>
        <w:t>-2009</w:t>
      </w:r>
      <w:r>
        <w:rPr>
          <w:rFonts w:eastAsia="仿宋_GB2312"/>
          <w:sz w:val="32"/>
          <w:szCs w:val="28"/>
        </w:rPr>
        <w:t>,医用电器环境要求及试验方法[S].</w:t>
      </w:r>
    </w:p>
    <w:p w14:paraId="39E04B76">
      <w:pPr>
        <w:spacing w:line="520" w:lineRule="exact"/>
        <w:ind w:firstLine="640" w:firstLineChars="200"/>
        <w:rPr>
          <w:rFonts w:eastAsia="仿宋_GB2312"/>
          <w:sz w:val="32"/>
          <w:szCs w:val="28"/>
        </w:rPr>
      </w:pPr>
      <w:r>
        <w:rPr>
          <w:rFonts w:eastAsia="仿宋_GB2312"/>
          <w:sz w:val="32"/>
          <w:szCs w:val="28"/>
        </w:rPr>
        <w:t>[</w:t>
      </w:r>
      <w:r>
        <w:rPr>
          <w:rFonts w:hint="eastAsia" w:eastAsia="仿宋_GB2312"/>
          <w:sz w:val="32"/>
          <w:szCs w:val="28"/>
        </w:rPr>
        <w:t>21</w:t>
      </w:r>
      <w:r>
        <w:rPr>
          <w:rFonts w:eastAsia="仿宋_GB2312"/>
          <w:sz w:val="32"/>
          <w:szCs w:val="28"/>
        </w:rPr>
        <w:t>]GB/T 18268.1</w:t>
      </w:r>
      <w:r>
        <w:rPr>
          <w:rFonts w:hint="eastAsia" w:eastAsia="仿宋_GB2312"/>
          <w:sz w:val="32"/>
          <w:szCs w:val="28"/>
        </w:rPr>
        <w:t>-2025</w:t>
      </w:r>
      <w:r>
        <w:rPr>
          <w:rFonts w:eastAsia="仿宋_GB2312"/>
          <w:sz w:val="32"/>
          <w:szCs w:val="28"/>
        </w:rPr>
        <w:t>,测量、控制和实验室用的电设备 电磁兼容性要求 第1部分：通用要求[S].</w:t>
      </w:r>
    </w:p>
    <w:p w14:paraId="2FD4DE70">
      <w:pPr>
        <w:spacing w:line="520" w:lineRule="exact"/>
        <w:ind w:right="-67" w:rightChars="-32" w:firstLine="640" w:firstLineChars="200"/>
        <w:rPr>
          <w:rFonts w:eastAsia="仿宋_GB2312"/>
          <w:sz w:val="32"/>
          <w:szCs w:val="28"/>
        </w:rPr>
      </w:pPr>
      <w:r>
        <w:rPr>
          <w:rFonts w:eastAsia="仿宋_GB2312"/>
          <w:sz w:val="32"/>
          <w:szCs w:val="28"/>
        </w:rPr>
        <w:t>[</w:t>
      </w:r>
      <w:r>
        <w:rPr>
          <w:rFonts w:hint="eastAsia" w:eastAsia="仿宋_GB2312"/>
          <w:sz w:val="32"/>
          <w:szCs w:val="28"/>
        </w:rPr>
        <w:t>22</w:t>
      </w:r>
      <w:r>
        <w:rPr>
          <w:rFonts w:eastAsia="仿宋_GB2312"/>
          <w:sz w:val="32"/>
          <w:szCs w:val="28"/>
        </w:rPr>
        <w:t>]GB/T 18268.26</w:t>
      </w:r>
      <w:r>
        <w:rPr>
          <w:rFonts w:hint="eastAsia" w:eastAsia="仿宋_GB2312"/>
          <w:sz w:val="32"/>
          <w:szCs w:val="28"/>
        </w:rPr>
        <w:t>-2010</w:t>
      </w:r>
      <w:r>
        <w:rPr>
          <w:rFonts w:eastAsia="仿宋_GB2312"/>
          <w:sz w:val="32"/>
          <w:szCs w:val="28"/>
        </w:rPr>
        <w:t>,测量、控制和实验室用的电设备 电磁兼容性要求 第26部分：特殊要求 体外诊断（IVD）医疗设备[S].</w:t>
      </w:r>
    </w:p>
    <w:p w14:paraId="375E650D">
      <w:pPr>
        <w:spacing w:line="520" w:lineRule="exact"/>
        <w:ind w:firstLine="640" w:firstLineChars="200"/>
        <w:rPr>
          <w:rFonts w:eastAsia="仿宋_GB2312"/>
          <w:sz w:val="32"/>
          <w:szCs w:val="28"/>
        </w:rPr>
      </w:pPr>
      <w:r>
        <w:rPr>
          <w:rFonts w:eastAsia="仿宋_GB2312"/>
          <w:sz w:val="32"/>
          <w:szCs w:val="28"/>
        </w:rPr>
        <w:t>[</w:t>
      </w:r>
      <w:r>
        <w:rPr>
          <w:rFonts w:hint="eastAsia" w:eastAsia="仿宋_GB2312"/>
          <w:sz w:val="32"/>
          <w:szCs w:val="28"/>
        </w:rPr>
        <w:t>23</w:t>
      </w:r>
      <w:r>
        <w:rPr>
          <w:rFonts w:eastAsia="仿宋_GB2312"/>
          <w:sz w:val="32"/>
          <w:szCs w:val="28"/>
        </w:rPr>
        <w:t>]GB/T 29791.1</w:t>
      </w:r>
      <w:r>
        <w:rPr>
          <w:rFonts w:hint="eastAsia" w:eastAsia="仿宋_GB2312"/>
          <w:sz w:val="32"/>
          <w:szCs w:val="28"/>
        </w:rPr>
        <w:t>-2013</w:t>
      </w:r>
      <w:r>
        <w:rPr>
          <w:rFonts w:eastAsia="仿宋_GB2312"/>
          <w:sz w:val="32"/>
          <w:szCs w:val="28"/>
        </w:rPr>
        <w:t>,体外诊断医疗器械 制造商提供的信息 第1部分：术语、定义和通用要求[S].</w:t>
      </w:r>
    </w:p>
    <w:p w14:paraId="11EE2FB5">
      <w:pPr>
        <w:spacing w:line="520" w:lineRule="exact"/>
        <w:ind w:firstLine="640" w:firstLineChars="200"/>
        <w:rPr>
          <w:rFonts w:eastAsia="仿宋_GB2312"/>
          <w:sz w:val="32"/>
          <w:szCs w:val="28"/>
        </w:rPr>
      </w:pPr>
      <w:r>
        <w:rPr>
          <w:rFonts w:eastAsia="仿宋_GB2312"/>
          <w:sz w:val="32"/>
          <w:szCs w:val="28"/>
        </w:rPr>
        <w:t>[</w:t>
      </w:r>
      <w:r>
        <w:rPr>
          <w:rFonts w:hint="eastAsia" w:eastAsia="仿宋_GB2312"/>
          <w:sz w:val="32"/>
          <w:szCs w:val="28"/>
        </w:rPr>
        <w:t>24</w:t>
      </w:r>
      <w:r>
        <w:rPr>
          <w:rFonts w:eastAsia="仿宋_GB2312"/>
          <w:sz w:val="32"/>
          <w:szCs w:val="28"/>
        </w:rPr>
        <w:t>]GB/T 29791.3</w:t>
      </w:r>
      <w:r>
        <w:rPr>
          <w:rFonts w:hint="eastAsia" w:eastAsia="仿宋_GB2312"/>
          <w:sz w:val="32"/>
          <w:szCs w:val="28"/>
        </w:rPr>
        <w:t>-2013</w:t>
      </w:r>
      <w:r>
        <w:rPr>
          <w:rFonts w:eastAsia="仿宋_GB2312"/>
          <w:sz w:val="32"/>
          <w:szCs w:val="28"/>
        </w:rPr>
        <w:t>,体外诊断医疗器械 制造商提供的信息（标示）第3部分：专业用体外诊断仪器[S].</w:t>
      </w:r>
    </w:p>
    <w:p w14:paraId="601E4457">
      <w:pPr>
        <w:spacing w:line="520" w:lineRule="exact"/>
        <w:ind w:firstLine="640" w:firstLineChars="200"/>
        <w:rPr>
          <w:rFonts w:eastAsia="仿宋_GB2312"/>
          <w:sz w:val="32"/>
          <w:szCs w:val="28"/>
        </w:rPr>
      </w:pPr>
      <w:r>
        <w:rPr>
          <w:rFonts w:eastAsia="仿宋_GB2312"/>
          <w:sz w:val="32"/>
          <w:szCs w:val="28"/>
        </w:rPr>
        <w:t>[</w:t>
      </w:r>
      <w:r>
        <w:rPr>
          <w:rFonts w:hint="eastAsia" w:eastAsia="仿宋_GB2312"/>
          <w:sz w:val="32"/>
          <w:szCs w:val="28"/>
        </w:rPr>
        <w:t>25</w:t>
      </w:r>
      <w:r>
        <w:rPr>
          <w:rFonts w:eastAsia="仿宋_GB2312"/>
          <w:sz w:val="32"/>
          <w:szCs w:val="28"/>
        </w:rPr>
        <w:t>]</w:t>
      </w:r>
      <w:r>
        <w:rPr>
          <w:rFonts w:hint="eastAsia" w:eastAsia="仿宋_GB2312"/>
          <w:sz w:val="32"/>
          <w:szCs w:val="28"/>
        </w:rPr>
        <w:t>GB</w:t>
      </w:r>
      <w:r>
        <w:rPr>
          <w:rFonts w:eastAsia="仿宋_GB2312"/>
          <w:sz w:val="32"/>
          <w:szCs w:val="28"/>
        </w:rPr>
        <w:t>/</w:t>
      </w:r>
      <w:r>
        <w:rPr>
          <w:rFonts w:hint="eastAsia" w:eastAsia="仿宋_GB2312"/>
          <w:sz w:val="32"/>
          <w:szCs w:val="28"/>
        </w:rPr>
        <w:t>T 25000.51-2016系统与软件工程 系统与软件质量要求和评价 第51部分：就绪可用软件产品的质量要求和测试细节</w:t>
      </w:r>
      <w:r>
        <w:rPr>
          <w:rFonts w:eastAsia="仿宋_GB2312"/>
          <w:sz w:val="32"/>
          <w:szCs w:val="28"/>
        </w:rPr>
        <w:t>[S].</w:t>
      </w:r>
    </w:p>
    <w:p w14:paraId="7EABCC07">
      <w:pPr>
        <w:spacing w:line="520" w:lineRule="exact"/>
        <w:ind w:firstLine="640" w:firstLineChars="200"/>
        <w:rPr>
          <w:rFonts w:eastAsia="仿宋_GB2312"/>
          <w:sz w:val="32"/>
          <w:szCs w:val="28"/>
        </w:rPr>
      </w:pPr>
      <w:r>
        <w:rPr>
          <w:rFonts w:eastAsia="仿宋_GB2312"/>
          <w:sz w:val="32"/>
          <w:szCs w:val="28"/>
        </w:rPr>
        <w:t>[</w:t>
      </w:r>
      <w:r>
        <w:rPr>
          <w:rFonts w:hint="eastAsia" w:eastAsia="仿宋_GB2312"/>
          <w:sz w:val="32"/>
          <w:szCs w:val="28"/>
        </w:rPr>
        <w:t>26</w:t>
      </w:r>
      <w:r>
        <w:rPr>
          <w:rFonts w:eastAsia="仿宋_GB2312"/>
          <w:sz w:val="32"/>
          <w:szCs w:val="28"/>
        </w:rPr>
        <w:t>]</w:t>
      </w:r>
      <w:r>
        <w:rPr>
          <w:rFonts w:hint="eastAsia" w:eastAsia="仿宋_GB2312"/>
          <w:sz w:val="32"/>
          <w:szCs w:val="28"/>
        </w:rPr>
        <w:t>GB</w:t>
      </w:r>
      <w:r>
        <w:rPr>
          <w:rFonts w:eastAsia="仿宋_GB2312"/>
          <w:sz w:val="32"/>
          <w:szCs w:val="28"/>
        </w:rPr>
        <w:t>/</w:t>
      </w:r>
      <w:r>
        <w:rPr>
          <w:rFonts w:hint="eastAsia" w:eastAsia="仿宋_GB2312"/>
          <w:sz w:val="32"/>
          <w:szCs w:val="28"/>
        </w:rPr>
        <w:t>T 22576.3-2021 医学实验室 质量和能力的要求 第3部分：尿液检验领域的要求</w:t>
      </w:r>
      <w:r>
        <w:rPr>
          <w:rFonts w:eastAsia="仿宋_GB2312"/>
          <w:sz w:val="32"/>
          <w:szCs w:val="28"/>
        </w:rPr>
        <w:t>[S].</w:t>
      </w:r>
    </w:p>
    <w:p w14:paraId="6F971EEC">
      <w:pPr>
        <w:spacing w:line="520" w:lineRule="exact"/>
        <w:ind w:firstLine="640" w:firstLineChars="200"/>
        <w:rPr>
          <w:rFonts w:eastAsia="仿宋_GB2312"/>
          <w:sz w:val="32"/>
          <w:szCs w:val="28"/>
        </w:rPr>
      </w:pPr>
      <w:r>
        <w:rPr>
          <w:rFonts w:eastAsia="仿宋_GB2312"/>
          <w:sz w:val="32"/>
          <w:szCs w:val="28"/>
        </w:rPr>
        <w:t>[</w:t>
      </w:r>
      <w:r>
        <w:rPr>
          <w:rFonts w:hint="eastAsia" w:eastAsia="仿宋_GB2312"/>
          <w:sz w:val="32"/>
          <w:szCs w:val="28"/>
        </w:rPr>
        <w:t>27</w:t>
      </w:r>
      <w:r>
        <w:rPr>
          <w:rFonts w:eastAsia="仿宋_GB2312"/>
          <w:sz w:val="32"/>
          <w:szCs w:val="28"/>
        </w:rPr>
        <w:t>]YY 0648</w:t>
      </w:r>
      <w:r>
        <w:rPr>
          <w:rFonts w:hint="eastAsia" w:eastAsia="仿宋_GB2312"/>
          <w:sz w:val="32"/>
          <w:szCs w:val="28"/>
        </w:rPr>
        <w:t>-2008</w:t>
      </w:r>
      <w:r>
        <w:rPr>
          <w:rFonts w:eastAsia="仿宋_GB2312"/>
          <w:sz w:val="32"/>
          <w:szCs w:val="28"/>
        </w:rPr>
        <w:t>,测量、控制和实验室用电气设备的安全要求 第2-101部分：体外诊断（IVD）医用设备的专用要求[S].</w:t>
      </w:r>
    </w:p>
    <w:p w14:paraId="6C7429B2">
      <w:pPr>
        <w:spacing w:line="520" w:lineRule="exact"/>
        <w:ind w:firstLine="640" w:firstLineChars="200"/>
        <w:rPr>
          <w:rFonts w:eastAsia="仿宋_GB2312"/>
          <w:sz w:val="32"/>
          <w:szCs w:val="32"/>
        </w:rPr>
      </w:pPr>
      <w:r>
        <w:rPr>
          <w:rFonts w:eastAsia="仿宋_GB2312"/>
          <w:sz w:val="32"/>
          <w:szCs w:val="32"/>
        </w:rPr>
        <w:t>[</w:t>
      </w:r>
      <w:r>
        <w:rPr>
          <w:rFonts w:hint="eastAsia" w:eastAsia="仿宋_GB2312"/>
          <w:sz w:val="32"/>
          <w:szCs w:val="32"/>
          <w:lang w:val="en-US" w:eastAsia="zh-CN"/>
        </w:rPr>
        <w:t>28</w:t>
      </w:r>
      <w:r>
        <w:rPr>
          <w:rFonts w:eastAsia="仿宋_GB2312"/>
          <w:sz w:val="32"/>
          <w:szCs w:val="32"/>
        </w:rPr>
        <w:t>]</w:t>
      </w:r>
      <w:r>
        <w:rPr>
          <w:rFonts w:hint="eastAsia" w:eastAsia="仿宋_GB2312"/>
          <w:sz w:val="32"/>
          <w:szCs w:val="32"/>
        </w:rPr>
        <w:t>YY/T 0466.1-2023,医疗器械 用于制造商提供信息的符号 第1部分：通用要求[S].</w:t>
      </w:r>
    </w:p>
    <w:p w14:paraId="6960FCD3">
      <w:pPr>
        <w:spacing w:line="520" w:lineRule="exact"/>
        <w:ind w:firstLine="640" w:firstLineChars="200"/>
        <w:rPr>
          <w:rFonts w:eastAsia="仿宋_GB2312"/>
          <w:sz w:val="32"/>
          <w:szCs w:val="28"/>
        </w:rPr>
      </w:pPr>
      <w:r>
        <w:rPr>
          <w:rFonts w:eastAsia="仿宋_GB2312"/>
          <w:sz w:val="32"/>
          <w:szCs w:val="28"/>
        </w:rPr>
        <w:t>[</w:t>
      </w:r>
      <w:r>
        <w:rPr>
          <w:rFonts w:hint="eastAsia" w:eastAsia="仿宋_GB2312"/>
          <w:sz w:val="32"/>
          <w:szCs w:val="28"/>
          <w:lang w:val="en-US" w:eastAsia="zh-CN"/>
        </w:rPr>
        <w:t>29</w:t>
      </w:r>
      <w:r>
        <w:rPr>
          <w:rFonts w:hint="eastAsia" w:eastAsia="仿宋_GB2312"/>
          <w:sz w:val="32"/>
          <w:szCs w:val="28"/>
        </w:rPr>
        <w:t>]</w:t>
      </w:r>
      <w:r>
        <w:rPr>
          <w:rFonts w:eastAsia="仿宋_GB2312"/>
          <w:sz w:val="32"/>
          <w:szCs w:val="28"/>
        </w:rPr>
        <w:t>YY/T 0664</w:t>
      </w:r>
      <w:r>
        <w:rPr>
          <w:rFonts w:hint="eastAsia" w:eastAsia="仿宋_GB2312"/>
          <w:sz w:val="32"/>
          <w:szCs w:val="28"/>
        </w:rPr>
        <w:t>-2020</w:t>
      </w:r>
      <w:r>
        <w:rPr>
          <w:rFonts w:eastAsia="仿宋_GB2312"/>
          <w:sz w:val="32"/>
          <w:szCs w:val="28"/>
        </w:rPr>
        <w:t>,医疗器械软件 软件生存周期过程[S].</w:t>
      </w:r>
    </w:p>
    <w:p w14:paraId="0EA3B45E">
      <w:pPr>
        <w:spacing w:line="520" w:lineRule="exact"/>
        <w:ind w:firstLine="640" w:firstLineChars="200"/>
        <w:rPr>
          <w:rFonts w:hAnsi="宋体" w:eastAsia="仿宋_GB2312" w:cs="宋体"/>
          <w:kern w:val="0"/>
          <w:sz w:val="32"/>
          <w:szCs w:val="32"/>
        </w:rPr>
      </w:pPr>
      <w:r>
        <w:rPr>
          <w:rFonts w:eastAsia="仿宋_GB2312"/>
          <w:sz w:val="32"/>
          <w:szCs w:val="32"/>
        </w:rPr>
        <w:t>[</w:t>
      </w:r>
      <w:r>
        <w:rPr>
          <w:rFonts w:hint="eastAsia" w:eastAsia="仿宋_GB2312"/>
          <w:sz w:val="32"/>
          <w:szCs w:val="32"/>
          <w:lang w:val="en-US" w:eastAsia="zh-CN"/>
        </w:rPr>
        <w:t>30</w:t>
      </w:r>
      <w:r>
        <w:rPr>
          <w:rFonts w:eastAsia="仿宋_GB2312"/>
          <w:sz w:val="32"/>
          <w:szCs w:val="32"/>
        </w:rPr>
        <w:t>]</w:t>
      </w:r>
      <w:r>
        <w:rPr>
          <w:rFonts w:hint="eastAsia" w:hAnsi="宋体" w:eastAsia="仿宋_GB2312" w:cs="宋体"/>
          <w:kern w:val="0"/>
          <w:sz w:val="32"/>
          <w:szCs w:val="32"/>
        </w:rPr>
        <w:t>YY</w:t>
      </w:r>
      <w:r>
        <w:rPr>
          <w:rFonts w:hint="eastAsia" w:eastAsia="仿宋_GB2312"/>
          <w:sz w:val="32"/>
          <w:szCs w:val="32"/>
        </w:rPr>
        <w:t>/</w:t>
      </w:r>
      <w:r>
        <w:rPr>
          <w:rFonts w:hint="eastAsia" w:hAnsi="宋体" w:eastAsia="仿宋_GB2312" w:cs="宋体"/>
          <w:kern w:val="0"/>
          <w:sz w:val="32"/>
          <w:szCs w:val="32"/>
        </w:rPr>
        <w:t>T 1437-2023医疗器械 GB/T 42062应用指南</w:t>
      </w:r>
      <w:r>
        <w:rPr>
          <w:rFonts w:eastAsia="仿宋_GB2312"/>
          <w:sz w:val="32"/>
          <w:szCs w:val="28"/>
        </w:rPr>
        <w:t>[S].</w:t>
      </w:r>
    </w:p>
    <w:sectPr>
      <w:footerReference r:id="rId3" w:type="default"/>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embedRegular r:id="rId1" w:fontKey="{DD7CE14B-0215-41B1-A0C3-4B918A10540E}"/>
  </w:font>
  <w:font w:name="方正小标宋简体">
    <w:panose1 w:val="03000509000000000000"/>
    <w:charset w:val="86"/>
    <w:family w:val="script"/>
    <w:pitch w:val="default"/>
    <w:sig w:usb0="00000001" w:usb1="080E0000" w:usb2="00000000" w:usb3="00000000" w:csb0="00040000" w:csb1="00000000"/>
    <w:embedRegular r:id="rId2" w:fontKey="{F10BC907-7038-4DA5-AE2B-AC4326F6DAE1}"/>
  </w:font>
  <w:font w:name="仿宋_GB2312">
    <w:panose1 w:val="02010609030101010101"/>
    <w:charset w:val="86"/>
    <w:family w:val="modern"/>
    <w:pitch w:val="default"/>
    <w:sig w:usb0="00000001" w:usb1="080E0000" w:usb2="00000000" w:usb3="00000000" w:csb0="00040000" w:csb1="00000000"/>
    <w:embedRegular r:id="rId3" w:fontKey="{DA25C2AE-319B-4BA2-A563-3425530A5383}"/>
  </w:font>
  <w:font w:name="Adobe 仿宋 Std R">
    <w:altName w:val="仿宋"/>
    <w:panose1 w:val="00000000000000000000"/>
    <w:charset w:val="86"/>
    <w:family w:val="roman"/>
    <w:pitch w:val="default"/>
    <w:sig w:usb0="00000000" w:usb1="00000000" w:usb2="00000016" w:usb3="00000000" w:csb0="00060007"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5697689"/>
    </w:sdtPr>
    <w:sdtContent>
      <w:p w14:paraId="0AC7CBCA">
        <w:pPr>
          <w:pStyle w:val="10"/>
          <w:jc w:val="center"/>
        </w:pPr>
        <w:r>
          <w:fldChar w:fldCharType="begin"/>
        </w:r>
        <w:r>
          <w:instrText xml:space="preserve">PAGE   \* MERGEFORMAT</w:instrText>
        </w:r>
        <w:r>
          <w:fldChar w:fldCharType="separate"/>
        </w:r>
        <w:r>
          <w:rPr>
            <w:lang w:val="zh-CN"/>
          </w:rPr>
          <w:t>1</w:t>
        </w:r>
        <w:r>
          <w:fldChar w:fldCharType="end"/>
        </w:r>
      </w:p>
    </w:sdtContent>
  </w:sdt>
  <w:p w14:paraId="5BBDEC76">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368E53"/>
    <w:multiLevelType w:val="singleLevel"/>
    <w:tmpl w:val="D2368E53"/>
    <w:lvl w:ilvl="0" w:tentative="0">
      <w:start w:val="1"/>
      <w:numFmt w:val="decimal"/>
      <w:suff w:val="nothing"/>
      <w:lvlText w:val="（%1）"/>
      <w:lvlJc w:val="left"/>
    </w:lvl>
  </w:abstractNum>
  <w:abstractNum w:abstractNumId="1">
    <w:nsid w:val="22804A3D"/>
    <w:multiLevelType w:val="multilevel"/>
    <w:tmpl w:val="22804A3D"/>
    <w:lvl w:ilvl="0" w:tentative="0">
      <w:start w:val="1"/>
      <w:numFmt w:val="decimal"/>
      <w:lvlText w:val="[%1]"/>
      <w:lvlJc w:val="left"/>
      <w:pPr>
        <w:ind w:left="13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RlNjhlMTY2N2U4MGI3MWM3OTQ5ZDYwOWE4MTYyNWMifQ=="/>
  </w:docVars>
  <w:rsids>
    <w:rsidRoot w:val="5D5D7927"/>
    <w:rsid w:val="00003558"/>
    <w:rsid w:val="00012C37"/>
    <w:rsid w:val="00014596"/>
    <w:rsid w:val="0001626A"/>
    <w:rsid w:val="000171B6"/>
    <w:rsid w:val="00020CEE"/>
    <w:rsid w:val="00020E52"/>
    <w:rsid w:val="00021B2D"/>
    <w:rsid w:val="00022285"/>
    <w:rsid w:val="00022DD6"/>
    <w:rsid w:val="00022E1A"/>
    <w:rsid w:val="00025230"/>
    <w:rsid w:val="000255D9"/>
    <w:rsid w:val="00025D14"/>
    <w:rsid w:val="00027A02"/>
    <w:rsid w:val="00027B02"/>
    <w:rsid w:val="00030B90"/>
    <w:rsid w:val="00046C54"/>
    <w:rsid w:val="000522F9"/>
    <w:rsid w:val="0005780A"/>
    <w:rsid w:val="00062FE0"/>
    <w:rsid w:val="000630FE"/>
    <w:rsid w:val="000638C6"/>
    <w:rsid w:val="00064148"/>
    <w:rsid w:val="000654CB"/>
    <w:rsid w:val="000671D5"/>
    <w:rsid w:val="00073B78"/>
    <w:rsid w:val="00095D2D"/>
    <w:rsid w:val="000A02EC"/>
    <w:rsid w:val="000A084A"/>
    <w:rsid w:val="000A09BD"/>
    <w:rsid w:val="000A5754"/>
    <w:rsid w:val="000A5E1F"/>
    <w:rsid w:val="000B196D"/>
    <w:rsid w:val="000B24F6"/>
    <w:rsid w:val="000B2FBC"/>
    <w:rsid w:val="000B4036"/>
    <w:rsid w:val="000B71B7"/>
    <w:rsid w:val="000B77D8"/>
    <w:rsid w:val="000C36EA"/>
    <w:rsid w:val="000C3FBF"/>
    <w:rsid w:val="000C647E"/>
    <w:rsid w:val="000C7C42"/>
    <w:rsid w:val="000D0DE0"/>
    <w:rsid w:val="000D4929"/>
    <w:rsid w:val="000D6A76"/>
    <w:rsid w:val="000D6E89"/>
    <w:rsid w:val="000D6FBC"/>
    <w:rsid w:val="000E319C"/>
    <w:rsid w:val="000E73A4"/>
    <w:rsid w:val="000F68C5"/>
    <w:rsid w:val="001030C3"/>
    <w:rsid w:val="00106529"/>
    <w:rsid w:val="0011664E"/>
    <w:rsid w:val="001216E1"/>
    <w:rsid w:val="00121BD8"/>
    <w:rsid w:val="00122E0A"/>
    <w:rsid w:val="0012631B"/>
    <w:rsid w:val="00134757"/>
    <w:rsid w:val="00136DF4"/>
    <w:rsid w:val="00136E97"/>
    <w:rsid w:val="001400E9"/>
    <w:rsid w:val="001430B5"/>
    <w:rsid w:val="0015167B"/>
    <w:rsid w:val="0015337C"/>
    <w:rsid w:val="001545E1"/>
    <w:rsid w:val="00154C65"/>
    <w:rsid w:val="00154D36"/>
    <w:rsid w:val="001563C8"/>
    <w:rsid w:val="00160A1F"/>
    <w:rsid w:val="001615D3"/>
    <w:rsid w:val="00162360"/>
    <w:rsid w:val="001629BE"/>
    <w:rsid w:val="001645BA"/>
    <w:rsid w:val="00166F0D"/>
    <w:rsid w:val="0017097E"/>
    <w:rsid w:val="00172ABC"/>
    <w:rsid w:val="00173FA7"/>
    <w:rsid w:val="00177FFE"/>
    <w:rsid w:val="001827EE"/>
    <w:rsid w:val="00183DE3"/>
    <w:rsid w:val="00184189"/>
    <w:rsid w:val="00184507"/>
    <w:rsid w:val="001875CB"/>
    <w:rsid w:val="00190239"/>
    <w:rsid w:val="00190DBF"/>
    <w:rsid w:val="00192EB2"/>
    <w:rsid w:val="0019323D"/>
    <w:rsid w:val="00197C80"/>
    <w:rsid w:val="001A1EBA"/>
    <w:rsid w:val="001A4461"/>
    <w:rsid w:val="001A5EDF"/>
    <w:rsid w:val="001A7F77"/>
    <w:rsid w:val="001B1AA6"/>
    <w:rsid w:val="001B3A87"/>
    <w:rsid w:val="001B3BFD"/>
    <w:rsid w:val="001B4737"/>
    <w:rsid w:val="001B6BC0"/>
    <w:rsid w:val="001B6EE0"/>
    <w:rsid w:val="001C16F7"/>
    <w:rsid w:val="001C1CE4"/>
    <w:rsid w:val="001C2A06"/>
    <w:rsid w:val="001C2FD2"/>
    <w:rsid w:val="001C3D82"/>
    <w:rsid w:val="001C4C9A"/>
    <w:rsid w:val="001C6BC8"/>
    <w:rsid w:val="001D01DF"/>
    <w:rsid w:val="001D0F8C"/>
    <w:rsid w:val="001D1895"/>
    <w:rsid w:val="001D47BA"/>
    <w:rsid w:val="001E11CC"/>
    <w:rsid w:val="001E4E9C"/>
    <w:rsid w:val="001E5BB7"/>
    <w:rsid w:val="001E603B"/>
    <w:rsid w:val="001E60D4"/>
    <w:rsid w:val="001F2496"/>
    <w:rsid w:val="001F5EE3"/>
    <w:rsid w:val="001F6976"/>
    <w:rsid w:val="00210D0D"/>
    <w:rsid w:val="002115F4"/>
    <w:rsid w:val="00211D16"/>
    <w:rsid w:val="00212097"/>
    <w:rsid w:val="00213217"/>
    <w:rsid w:val="00215488"/>
    <w:rsid w:val="00215C3D"/>
    <w:rsid w:val="0022737E"/>
    <w:rsid w:val="00230802"/>
    <w:rsid w:val="00232067"/>
    <w:rsid w:val="00232AE4"/>
    <w:rsid w:val="00236828"/>
    <w:rsid w:val="002448D9"/>
    <w:rsid w:val="002455A4"/>
    <w:rsid w:val="002458BC"/>
    <w:rsid w:val="00246D49"/>
    <w:rsid w:val="00246F0A"/>
    <w:rsid w:val="00247FE4"/>
    <w:rsid w:val="00252054"/>
    <w:rsid w:val="002534E2"/>
    <w:rsid w:val="00254C3D"/>
    <w:rsid w:val="00255E7A"/>
    <w:rsid w:val="0025621D"/>
    <w:rsid w:val="0025776F"/>
    <w:rsid w:val="00260893"/>
    <w:rsid w:val="00262201"/>
    <w:rsid w:val="00265F68"/>
    <w:rsid w:val="00265F89"/>
    <w:rsid w:val="002669BC"/>
    <w:rsid w:val="00266D08"/>
    <w:rsid w:val="0026704F"/>
    <w:rsid w:val="0028082A"/>
    <w:rsid w:val="00280EAD"/>
    <w:rsid w:val="002903E5"/>
    <w:rsid w:val="002906CB"/>
    <w:rsid w:val="00290C5A"/>
    <w:rsid w:val="002916B4"/>
    <w:rsid w:val="002918A8"/>
    <w:rsid w:val="002934EC"/>
    <w:rsid w:val="0029639B"/>
    <w:rsid w:val="002965B6"/>
    <w:rsid w:val="00296B5D"/>
    <w:rsid w:val="00297C70"/>
    <w:rsid w:val="002A027F"/>
    <w:rsid w:val="002A02A0"/>
    <w:rsid w:val="002A09C0"/>
    <w:rsid w:val="002A0CF3"/>
    <w:rsid w:val="002A563D"/>
    <w:rsid w:val="002A60F1"/>
    <w:rsid w:val="002B2394"/>
    <w:rsid w:val="002B257D"/>
    <w:rsid w:val="002B346E"/>
    <w:rsid w:val="002B347B"/>
    <w:rsid w:val="002B6A37"/>
    <w:rsid w:val="002B705B"/>
    <w:rsid w:val="002B7782"/>
    <w:rsid w:val="002B7C0E"/>
    <w:rsid w:val="002C18C1"/>
    <w:rsid w:val="002C1CAE"/>
    <w:rsid w:val="002C3B29"/>
    <w:rsid w:val="002C4922"/>
    <w:rsid w:val="002C50BA"/>
    <w:rsid w:val="002C5AE5"/>
    <w:rsid w:val="002C6317"/>
    <w:rsid w:val="002C653D"/>
    <w:rsid w:val="002D04EF"/>
    <w:rsid w:val="002D1EC6"/>
    <w:rsid w:val="002D2D07"/>
    <w:rsid w:val="002D2E7A"/>
    <w:rsid w:val="002D4D89"/>
    <w:rsid w:val="002D619F"/>
    <w:rsid w:val="002D61BC"/>
    <w:rsid w:val="002E09A4"/>
    <w:rsid w:val="002E3BF4"/>
    <w:rsid w:val="002E50B1"/>
    <w:rsid w:val="002E5E9A"/>
    <w:rsid w:val="002E7F3B"/>
    <w:rsid w:val="002F605A"/>
    <w:rsid w:val="002F7248"/>
    <w:rsid w:val="002F78E4"/>
    <w:rsid w:val="003016FD"/>
    <w:rsid w:val="0030291E"/>
    <w:rsid w:val="003120C8"/>
    <w:rsid w:val="00313396"/>
    <w:rsid w:val="00313868"/>
    <w:rsid w:val="00314283"/>
    <w:rsid w:val="00316825"/>
    <w:rsid w:val="00322ECA"/>
    <w:rsid w:val="00322EF0"/>
    <w:rsid w:val="00323393"/>
    <w:rsid w:val="003239D7"/>
    <w:rsid w:val="0033009A"/>
    <w:rsid w:val="003308D9"/>
    <w:rsid w:val="0033342D"/>
    <w:rsid w:val="00336ADF"/>
    <w:rsid w:val="003374EE"/>
    <w:rsid w:val="00340102"/>
    <w:rsid w:val="00342A07"/>
    <w:rsid w:val="0034329E"/>
    <w:rsid w:val="003446E0"/>
    <w:rsid w:val="00344A89"/>
    <w:rsid w:val="0034744A"/>
    <w:rsid w:val="003522DA"/>
    <w:rsid w:val="00352AF1"/>
    <w:rsid w:val="003544C7"/>
    <w:rsid w:val="00354928"/>
    <w:rsid w:val="00354974"/>
    <w:rsid w:val="003550EF"/>
    <w:rsid w:val="00360A54"/>
    <w:rsid w:val="00360FD4"/>
    <w:rsid w:val="00361712"/>
    <w:rsid w:val="00367430"/>
    <w:rsid w:val="00377333"/>
    <w:rsid w:val="00384E96"/>
    <w:rsid w:val="003871CC"/>
    <w:rsid w:val="00390C2E"/>
    <w:rsid w:val="00393623"/>
    <w:rsid w:val="003942F0"/>
    <w:rsid w:val="0039453D"/>
    <w:rsid w:val="0039461C"/>
    <w:rsid w:val="00394AFB"/>
    <w:rsid w:val="00394FFF"/>
    <w:rsid w:val="00396957"/>
    <w:rsid w:val="00397D24"/>
    <w:rsid w:val="003A0ECE"/>
    <w:rsid w:val="003A24FC"/>
    <w:rsid w:val="003A33C8"/>
    <w:rsid w:val="003A3BDC"/>
    <w:rsid w:val="003A5571"/>
    <w:rsid w:val="003A55F7"/>
    <w:rsid w:val="003A59AC"/>
    <w:rsid w:val="003B0025"/>
    <w:rsid w:val="003B19BD"/>
    <w:rsid w:val="003B53BB"/>
    <w:rsid w:val="003C3781"/>
    <w:rsid w:val="003C4A2B"/>
    <w:rsid w:val="003C4B78"/>
    <w:rsid w:val="003C6F14"/>
    <w:rsid w:val="003D0E8F"/>
    <w:rsid w:val="003D1FA5"/>
    <w:rsid w:val="003D3B76"/>
    <w:rsid w:val="003D526D"/>
    <w:rsid w:val="003D68C9"/>
    <w:rsid w:val="003D7BA0"/>
    <w:rsid w:val="003D7D36"/>
    <w:rsid w:val="003F20E7"/>
    <w:rsid w:val="003F245C"/>
    <w:rsid w:val="003F24EA"/>
    <w:rsid w:val="003F5121"/>
    <w:rsid w:val="003F6252"/>
    <w:rsid w:val="003F7150"/>
    <w:rsid w:val="004016E8"/>
    <w:rsid w:val="0040228D"/>
    <w:rsid w:val="00411E30"/>
    <w:rsid w:val="00413230"/>
    <w:rsid w:val="00417A04"/>
    <w:rsid w:val="004205DD"/>
    <w:rsid w:val="00424C1B"/>
    <w:rsid w:val="0043063B"/>
    <w:rsid w:val="00430FCB"/>
    <w:rsid w:val="004316F4"/>
    <w:rsid w:val="00432413"/>
    <w:rsid w:val="0043395A"/>
    <w:rsid w:val="00434309"/>
    <w:rsid w:val="0043566A"/>
    <w:rsid w:val="0043576C"/>
    <w:rsid w:val="00437F04"/>
    <w:rsid w:val="00441860"/>
    <w:rsid w:val="0044332B"/>
    <w:rsid w:val="00443E6F"/>
    <w:rsid w:val="004516F8"/>
    <w:rsid w:val="00452609"/>
    <w:rsid w:val="00452D0A"/>
    <w:rsid w:val="004536FA"/>
    <w:rsid w:val="0045381C"/>
    <w:rsid w:val="00455FF5"/>
    <w:rsid w:val="00456D78"/>
    <w:rsid w:val="00463677"/>
    <w:rsid w:val="00463E0E"/>
    <w:rsid w:val="00463FB6"/>
    <w:rsid w:val="004664E1"/>
    <w:rsid w:val="004702CA"/>
    <w:rsid w:val="00474881"/>
    <w:rsid w:val="0047584B"/>
    <w:rsid w:val="00476CDD"/>
    <w:rsid w:val="004776F1"/>
    <w:rsid w:val="00483195"/>
    <w:rsid w:val="004861BF"/>
    <w:rsid w:val="00486ED9"/>
    <w:rsid w:val="00486FD2"/>
    <w:rsid w:val="0049211E"/>
    <w:rsid w:val="0049285A"/>
    <w:rsid w:val="00496476"/>
    <w:rsid w:val="004A167D"/>
    <w:rsid w:val="004A1CE0"/>
    <w:rsid w:val="004A1F3A"/>
    <w:rsid w:val="004A5A04"/>
    <w:rsid w:val="004A5ACE"/>
    <w:rsid w:val="004B4B1B"/>
    <w:rsid w:val="004C17A7"/>
    <w:rsid w:val="004C2520"/>
    <w:rsid w:val="004C3F7C"/>
    <w:rsid w:val="004C678A"/>
    <w:rsid w:val="004D656F"/>
    <w:rsid w:val="004D7614"/>
    <w:rsid w:val="004D76E6"/>
    <w:rsid w:val="004D7B73"/>
    <w:rsid w:val="004E2383"/>
    <w:rsid w:val="004E3CD3"/>
    <w:rsid w:val="004E4AF8"/>
    <w:rsid w:val="004E5D6B"/>
    <w:rsid w:val="004E75BF"/>
    <w:rsid w:val="004E7C40"/>
    <w:rsid w:val="004F0144"/>
    <w:rsid w:val="004F0AFB"/>
    <w:rsid w:val="004F15DA"/>
    <w:rsid w:val="004F1E7F"/>
    <w:rsid w:val="004F2C35"/>
    <w:rsid w:val="004F4D33"/>
    <w:rsid w:val="00500052"/>
    <w:rsid w:val="00500C9D"/>
    <w:rsid w:val="00502855"/>
    <w:rsid w:val="00502CE9"/>
    <w:rsid w:val="00503B29"/>
    <w:rsid w:val="00511094"/>
    <w:rsid w:val="0051313A"/>
    <w:rsid w:val="0051753E"/>
    <w:rsid w:val="00517CB8"/>
    <w:rsid w:val="00520C9B"/>
    <w:rsid w:val="00523456"/>
    <w:rsid w:val="00524394"/>
    <w:rsid w:val="00525337"/>
    <w:rsid w:val="005276C8"/>
    <w:rsid w:val="00534862"/>
    <w:rsid w:val="005352AA"/>
    <w:rsid w:val="005354B1"/>
    <w:rsid w:val="00536E40"/>
    <w:rsid w:val="00540AF9"/>
    <w:rsid w:val="00540F51"/>
    <w:rsid w:val="00543A82"/>
    <w:rsid w:val="00543E03"/>
    <w:rsid w:val="00547935"/>
    <w:rsid w:val="00552F9F"/>
    <w:rsid w:val="005558CA"/>
    <w:rsid w:val="00562237"/>
    <w:rsid w:val="00562D6E"/>
    <w:rsid w:val="00565C21"/>
    <w:rsid w:val="005718BE"/>
    <w:rsid w:val="00574B70"/>
    <w:rsid w:val="005764A5"/>
    <w:rsid w:val="0058150E"/>
    <w:rsid w:val="005828BF"/>
    <w:rsid w:val="0058308C"/>
    <w:rsid w:val="00584A78"/>
    <w:rsid w:val="0058637C"/>
    <w:rsid w:val="00587257"/>
    <w:rsid w:val="0059122F"/>
    <w:rsid w:val="005949D7"/>
    <w:rsid w:val="00594D21"/>
    <w:rsid w:val="005A03A0"/>
    <w:rsid w:val="005A6434"/>
    <w:rsid w:val="005B182C"/>
    <w:rsid w:val="005B3352"/>
    <w:rsid w:val="005B351C"/>
    <w:rsid w:val="005C09CC"/>
    <w:rsid w:val="005C25DF"/>
    <w:rsid w:val="005D06AE"/>
    <w:rsid w:val="005D1881"/>
    <w:rsid w:val="005E0D5C"/>
    <w:rsid w:val="005E5266"/>
    <w:rsid w:val="005F286C"/>
    <w:rsid w:val="005F32AB"/>
    <w:rsid w:val="005F3B19"/>
    <w:rsid w:val="005F42F0"/>
    <w:rsid w:val="005F522A"/>
    <w:rsid w:val="006002D4"/>
    <w:rsid w:val="006003CF"/>
    <w:rsid w:val="0060085B"/>
    <w:rsid w:val="006010AA"/>
    <w:rsid w:val="00601267"/>
    <w:rsid w:val="00601CAE"/>
    <w:rsid w:val="00607464"/>
    <w:rsid w:val="00610232"/>
    <w:rsid w:val="00610276"/>
    <w:rsid w:val="00610A9D"/>
    <w:rsid w:val="0061320D"/>
    <w:rsid w:val="006155AF"/>
    <w:rsid w:val="00616A42"/>
    <w:rsid w:val="006213EC"/>
    <w:rsid w:val="006223D4"/>
    <w:rsid w:val="00622EFD"/>
    <w:rsid w:val="0062545C"/>
    <w:rsid w:val="0062566D"/>
    <w:rsid w:val="00626C19"/>
    <w:rsid w:val="00626D7F"/>
    <w:rsid w:val="00640BB4"/>
    <w:rsid w:val="00641CD2"/>
    <w:rsid w:val="0064649E"/>
    <w:rsid w:val="00647F60"/>
    <w:rsid w:val="006503F7"/>
    <w:rsid w:val="0065218E"/>
    <w:rsid w:val="006529C8"/>
    <w:rsid w:val="0065301C"/>
    <w:rsid w:val="0065591C"/>
    <w:rsid w:val="00655E0F"/>
    <w:rsid w:val="0066018E"/>
    <w:rsid w:val="00660209"/>
    <w:rsid w:val="0066221A"/>
    <w:rsid w:val="00663C86"/>
    <w:rsid w:val="00671788"/>
    <w:rsid w:val="00672703"/>
    <w:rsid w:val="0067342B"/>
    <w:rsid w:val="00673766"/>
    <w:rsid w:val="00675F9A"/>
    <w:rsid w:val="006776D1"/>
    <w:rsid w:val="00690C2D"/>
    <w:rsid w:val="00691164"/>
    <w:rsid w:val="00692209"/>
    <w:rsid w:val="0069265D"/>
    <w:rsid w:val="00692C08"/>
    <w:rsid w:val="00693BD1"/>
    <w:rsid w:val="00693F15"/>
    <w:rsid w:val="0069437E"/>
    <w:rsid w:val="0069477B"/>
    <w:rsid w:val="006969DF"/>
    <w:rsid w:val="0069744B"/>
    <w:rsid w:val="006A06BB"/>
    <w:rsid w:val="006A1AB1"/>
    <w:rsid w:val="006A24D4"/>
    <w:rsid w:val="006A311B"/>
    <w:rsid w:val="006A5D43"/>
    <w:rsid w:val="006A73D1"/>
    <w:rsid w:val="006A7614"/>
    <w:rsid w:val="006B0350"/>
    <w:rsid w:val="006B1D3B"/>
    <w:rsid w:val="006B646D"/>
    <w:rsid w:val="006C55A5"/>
    <w:rsid w:val="006C5C6E"/>
    <w:rsid w:val="006D0412"/>
    <w:rsid w:val="006D12E7"/>
    <w:rsid w:val="006D2214"/>
    <w:rsid w:val="006D307B"/>
    <w:rsid w:val="006D69E9"/>
    <w:rsid w:val="006E1320"/>
    <w:rsid w:val="006E201B"/>
    <w:rsid w:val="006E36F4"/>
    <w:rsid w:val="006E3A3B"/>
    <w:rsid w:val="006E487E"/>
    <w:rsid w:val="006E51C3"/>
    <w:rsid w:val="006F051E"/>
    <w:rsid w:val="006F32B6"/>
    <w:rsid w:val="006F3C96"/>
    <w:rsid w:val="007006E1"/>
    <w:rsid w:val="0070169E"/>
    <w:rsid w:val="00702B19"/>
    <w:rsid w:val="0070325F"/>
    <w:rsid w:val="00704A28"/>
    <w:rsid w:val="00705B69"/>
    <w:rsid w:val="00705CCD"/>
    <w:rsid w:val="007064E4"/>
    <w:rsid w:val="00706EEB"/>
    <w:rsid w:val="00712F3E"/>
    <w:rsid w:val="00713200"/>
    <w:rsid w:val="00715C4E"/>
    <w:rsid w:val="00717B0C"/>
    <w:rsid w:val="00720171"/>
    <w:rsid w:val="00721D82"/>
    <w:rsid w:val="00724EC9"/>
    <w:rsid w:val="00726050"/>
    <w:rsid w:val="00727910"/>
    <w:rsid w:val="00733BC4"/>
    <w:rsid w:val="00734631"/>
    <w:rsid w:val="00737CA9"/>
    <w:rsid w:val="00741CCF"/>
    <w:rsid w:val="00743438"/>
    <w:rsid w:val="00745051"/>
    <w:rsid w:val="00747859"/>
    <w:rsid w:val="00753132"/>
    <w:rsid w:val="0075450E"/>
    <w:rsid w:val="00756DCF"/>
    <w:rsid w:val="00760AAB"/>
    <w:rsid w:val="00763A01"/>
    <w:rsid w:val="00766B3A"/>
    <w:rsid w:val="00767888"/>
    <w:rsid w:val="00770838"/>
    <w:rsid w:val="00772CBB"/>
    <w:rsid w:val="0077470F"/>
    <w:rsid w:val="0078016A"/>
    <w:rsid w:val="0078045B"/>
    <w:rsid w:val="007807B2"/>
    <w:rsid w:val="007815DE"/>
    <w:rsid w:val="00787D7A"/>
    <w:rsid w:val="007923D5"/>
    <w:rsid w:val="0079524C"/>
    <w:rsid w:val="007A224B"/>
    <w:rsid w:val="007A4557"/>
    <w:rsid w:val="007B02AE"/>
    <w:rsid w:val="007B0A50"/>
    <w:rsid w:val="007B1DB8"/>
    <w:rsid w:val="007B3A3F"/>
    <w:rsid w:val="007B58A5"/>
    <w:rsid w:val="007C0A68"/>
    <w:rsid w:val="007C30C1"/>
    <w:rsid w:val="007C3C35"/>
    <w:rsid w:val="007C460C"/>
    <w:rsid w:val="007C6311"/>
    <w:rsid w:val="007D3B01"/>
    <w:rsid w:val="007D4054"/>
    <w:rsid w:val="007D5543"/>
    <w:rsid w:val="007D56EE"/>
    <w:rsid w:val="007D5DAB"/>
    <w:rsid w:val="007D6393"/>
    <w:rsid w:val="007E0A6F"/>
    <w:rsid w:val="007E0D38"/>
    <w:rsid w:val="007E2ACC"/>
    <w:rsid w:val="007F0296"/>
    <w:rsid w:val="007F2A2B"/>
    <w:rsid w:val="007F2C6E"/>
    <w:rsid w:val="007F48E3"/>
    <w:rsid w:val="00803B20"/>
    <w:rsid w:val="008067E6"/>
    <w:rsid w:val="00806C0B"/>
    <w:rsid w:val="00806F23"/>
    <w:rsid w:val="00807D5A"/>
    <w:rsid w:val="00810674"/>
    <w:rsid w:val="008116EA"/>
    <w:rsid w:val="00811E78"/>
    <w:rsid w:val="0081239D"/>
    <w:rsid w:val="00812DA5"/>
    <w:rsid w:val="00813DB5"/>
    <w:rsid w:val="0081484E"/>
    <w:rsid w:val="00816169"/>
    <w:rsid w:val="00817809"/>
    <w:rsid w:val="00817BAD"/>
    <w:rsid w:val="00825B34"/>
    <w:rsid w:val="00826F42"/>
    <w:rsid w:val="0083024F"/>
    <w:rsid w:val="008314AC"/>
    <w:rsid w:val="008363FC"/>
    <w:rsid w:val="00840F0F"/>
    <w:rsid w:val="0085090C"/>
    <w:rsid w:val="00851841"/>
    <w:rsid w:val="008541D9"/>
    <w:rsid w:val="008553F2"/>
    <w:rsid w:val="00856E69"/>
    <w:rsid w:val="008605E9"/>
    <w:rsid w:val="00860719"/>
    <w:rsid w:val="008623FA"/>
    <w:rsid w:val="0086284A"/>
    <w:rsid w:val="00862A8E"/>
    <w:rsid w:val="00863B14"/>
    <w:rsid w:val="00864E87"/>
    <w:rsid w:val="0086749A"/>
    <w:rsid w:val="008676F0"/>
    <w:rsid w:val="0087157C"/>
    <w:rsid w:val="0087158F"/>
    <w:rsid w:val="0087483C"/>
    <w:rsid w:val="008756A2"/>
    <w:rsid w:val="0088677A"/>
    <w:rsid w:val="00886A92"/>
    <w:rsid w:val="00896C13"/>
    <w:rsid w:val="0089772F"/>
    <w:rsid w:val="008A3A8D"/>
    <w:rsid w:val="008A7E48"/>
    <w:rsid w:val="008B0751"/>
    <w:rsid w:val="008B42BC"/>
    <w:rsid w:val="008B4940"/>
    <w:rsid w:val="008C4861"/>
    <w:rsid w:val="008C5150"/>
    <w:rsid w:val="008C61F7"/>
    <w:rsid w:val="008D136D"/>
    <w:rsid w:val="008D2BE5"/>
    <w:rsid w:val="008D31D9"/>
    <w:rsid w:val="008D33AB"/>
    <w:rsid w:val="008D6B79"/>
    <w:rsid w:val="008E0E02"/>
    <w:rsid w:val="008E43F0"/>
    <w:rsid w:val="008E661E"/>
    <w:rsid w:val="008F1C31"/>
    <w:rsid w:val="008F264C"/>
    <w:rsid w:val="008F2866"/>
    <w:rsid w:val="008F35B2"/>
    <w:rsid w:val="008F50DE"/>
    <w:rsid w:val="008F5659"/>
    <w:rsid w:val="008F5DC8"/>
    <w:rsid w:val="0090179F"/>
    <w:rsid w:val="00901BE4"/>
    <w:rsid w:val="00906A9B"/>
    <w:rsid w:val="00906BFC"/>
    <w:rsid w:val="00913D0F"/>
    <w:rsid w:val="0092099A"/>
    <w:rsid w:val="009219ED"/>
    <w:rsid w:val="00927643"/>
    <w:rsid w:val="00930811"/>
    <w:rsid w:val="00932EB8"/>
    <w:rsid w:val="009330C1"/>
    <w:rsid w:val="0093766E"/>
    <w:rsid w:val="00942B37"/>
    <w:rsid w:val="00946145"/>
    <w:rsid w:val="009513BD"/>
    <w:rsid w:val="009517F1"/>
    <w:rsid w:val="00952B48"/>
    <w:rsid w:val="0096047B"/>
    <w:rsid w:val="00962443"/>
    <w:rsid w:val="00965926"/>
    <w:rsid w:val="00967584"/>
    <w:rsid w:val="00967C63"/>
    <w:rsid w:val="00973904"/>
    <w:rsid w:val="00974E8D"/>
    <w:rsid w:val="0097673B"/>
    <w:rsid w:val="00976DCC"/>
    <w:rsid w:val="00983040"/>
    <w:rsid w:val="00983451"/>
    <w:rsid w:val="00991167"/>
    <w:rsid w:val="009924F5"/>
    <w:rsid w:val="00992AFB"/>
    <w:rsid w:val="00993887"/>
    <w:rsid w:val="0099447A"/>
    <w:rsid w:val="00994800"/>
    <w:rsid w:val="00994DA1"/>
    <w:rsid w:val="009A18A7"/>
    <w:rsid w:val="009A4FB4"/>
    <w:rsid w:val="009B0455"/>
    <w:rsid w:val="009B15CD"/>
    <w:rsid w:val="009B1F3A"/>
    <w:rsid w:val="009B1F8A"/>
    <w:rsid w:val="009B69EC"/>
    <w:rsid w:val="009C0E9F"/>
    <w:rsid w:val="009C1283"/>
    <w:rsid w:val="009C1B76"/>
    <w:rsid w:val="009C58EB"/>
    <w:rsid w:val="009C6E1A"/>
    <w:rsid w:val="009D1A28"/>
    <w:rsid w:val="009D6D64"/>
    <w:rsid w:val="009D794B"/>
    <w:rsid w:val="009D7964"/>
    <w:rsid w:val="009E0429"/>
    <w:rsid w:val="009E36C2"/>
    <w:rsid w:val="009E50DD"/>
    <w:rsid w:val="009E6890"/>
    <w:rsid w:val="009E775A"/>
    <w:rsid w:val="009E7AE4"/>
    <w:rsid w:val="009F03FA"/>
    <w:rsid w:val="009F096F"/>
    <w:rsid w:val="009F300F"/>
    <w:rsid w:val="009F4693"/>
    <w:rsid w:val="00A010CD"/>
    <w:rsid w:val="00A01A94"/>
    <w:rsid w:val="00A03B28"/>
    <w:rsid w:val="00A111C6"/>
    <w:rsid w:val="00A12714"/>
    <w:rsid w:val="00A13274"/>
    <w:rsid w:val="00A17046"/>
    <w:rsid w:val="00A17B55"/>
    <w:rsid w:val="00A17C75"/>
    <w:rsid w:val="00A201BC"/>
    <w:rsid w:val="00A210C1"/>
    <w:rsid w:val="00A23D36"/>
    <w:rsid w:val="00A23FEC"/>
    <w:rsid w:val="00A31E72"/>
    <w:rsid w:val="00A332DB"/>
    <w:rsid w:val="00A3356C"/>
    <w:rsid w:val="00A37199"/>
    <w:rsid w:val="00A37BA3"/>
    <w:rsid w:val="00A42524"/>
    <w:rsid w:val="00A43F60"/>
    <w:rsid w:val="00A45BC8"/>
    <w:rsid w:val="00A469E4"/>
    <w:rsid w:val="00A47D95"/>
    <w:rsid w:val="00A530BD"/>
    <w:rsid w:val="00A5312B"/>
    <w:rsid w:val="00A53935"/>
    <w:rsid w:val="00A57B93"/>
    <w:rsid w:val="00A62B9C"/>
    <w:rsid w:val="00A63580"/>
    <w:rsid w:val="00A6467E"/>
    <w:rsid w:val="00A65315"/>
    <w:rsid w:val="00A653A3"/>
    <w:rsid w:val="00A65830"/>
    <w:rsid w:val="00A6649D"/>
    <w:rsid w:val="00A706C4"/>
    <w:rsid w:val="00A71559"/>
    <w:rsid w:val="00A7281F"/>
    <w:rsid w:val="00A75481"/>
    <w:rsid w:val="00A82F67"/>
    <w:rsid w:val="00A849E6"/>
    <w:rsid w:val="00A862F9"/>
    <w:rsid w:val="00A8788C"/>
    <w:rsid w:val="00A90B26"/>
    <w:rsid w:val="00A95F02"/>
    <w:rsid w:val="00A97A3D"/>
    <w:rsid w:val="00AA2D90"/>
    <w:rsid w:val="00AA2E32"/>
    <w:rsid w:val="00AA36F0"/>
    <w:rsid w:val="00AA4C22"/>
    <w:rsid w:val="00AA5979"/>
    <w:rsid w:val="00AA6514"/>
    <w:rsid w:val="00AB0CCE"/>
    <w:rsid w:val="00AB3245"/>
    <w:rsid w:val="00AC1656"/>
    <w:rsid w:val="00AC31F9"/>
    <w:rsid w:val="00AC492B"/>
    <w:rsid w:val="00AC75AF"/>
    <w:rsid w:val="00AD10FE"/>
    <w:rsid w:val="00AD2BAB"/>
    <w:rsid w:val="00AD4162"/>
    <w:rsid w:val="00AD595F"/>
    <w:rsid w:val="00AE4738"/>
    <w:rsid w:val="00AE476B"/>
    <w:rsid w:val="00AE4D5B"/>
    <w:rsid w:val="00AE7758"/>
    <w:rsid w:val="00AF00C6"/>
    <w:rsid w:val="00AF0D43"/>
    <w:rsid w:val="00AF24F2"/>
    <w:rsid w:val="00AF4EED"/>
    <w:rsid w:val="00B01D54"/>
    <w:rsid w:val="00B052D5"/>
    <w:rsid w:val="00B05465"/>
    <w:rsid w:val="00B06668"/>
    <w:rsid w:val="00B11C57"/>
    <w:rsid w:val="00B1519E"/>
    <w:rsid w:val="00B17C15"/>
    <w:rsid w:val="00B237CA"/>
    <w:rsid w:val="00B2454A"/>
    <w:rsid w:val="00B24C29"/>
    <w:rsid w:val="00B25174"/>
    <w:rsid w:val="00B2701B"/>
    <w:rsid w:val="00B30B15"/>
    <w:rsid w:val="00B3341B"/>
    <w:rsid w:val="00B34874"/>
    <w:rsid w:val="00B34F0B"/>
    <w:rsid w:val="00B35C6A"/>
    <w:rsid w:val="00B362D4"/>
    <w:rsid w:val="00B40FB2"/>
    <w:rsid w:val="00B414E5"/>
    <w:rsid w:val="00B4208D"/>
    <w:rsid w:val="00B44A5A"/>
    <w:rsid w:val="00B4627E"/>
    <w:rsid w:val="00B47F3B"/>
    <w:rsid w:val="00B60895"/>
    <w:rsid w:val="00B651B4"/>
    <w:rsid w:val="00B65C06"/>
    <w:rsid w:val="00B7054C"/>
    <w:rsid w:val="00B730DC"/>
    <w:rsid w:val="00B74E4C"/>
    <w:rsid w:val="00B74ED7"/>
    <w:rsid w:val="00B775CE"/>
    <w:rsid w:val="00B805C9"/>
    <w:rsid w:val="00B827FC"/>
    <w:rsid w:val="00B8439E"/>
    <w:rsid w:val="00B85E54"/>
    <w:rsid w:val="00B862C5"/>
    <w:rsid w:val="00B86A12"/>
    <w:rsid w:val="00B86FFC"/>
    <w:rsid w:val="00B914BC"/>
    <w:rsid w:val="00B91E75"/>
    <w:rsid w:val="00B94072"/>
    <w:rsid w:val="00B962ED"/>
    <w:rsid w:val="00B96DE3"/>
    <w:rsid w:val="00B971F2"/>
    <w:rsid w:val="00B975D7"/>
    <w:rsid w:val="00B97945"/>
    <w:rsid w:val="00B97ACD"/>
    <w:rsid w:val="00BA02D0"/>
    <w:rsid w:val="00BA0F19"/>
    <w:rsid w:val="00BA1214"/>
    <w:rsid w:val="00BA1F69"/>
    <w:rsid w:val="00BB3C20"/>
    <w:rsid w:val="00BB74B2"/>
    <w:rsid w:val="00BC0D44"/>
    <w:rsid w:val="00BC20A6"/>
    <w:rsid w:val="00BC5E2D"/>
    <w:rsid w:val="00BC7F46"/>
    <w:rsid w:val="00BD163E"/>
    <w:rsid w:val="00BD197D"/>
    <w:rsid w:val="00BD58CF"/>
    <w:rsid w:val="00BE1875"/>
    <w:rsid w:val="00BE3D36"/>
    <w:rsid w:val="00BE4396"/>
    <w:rsid w:val="00BF065D"/>
    <w:rsid w:val="00BF0E87"/>
    <w:rsid w:val="00BF5F63"/>
    <w:rsid w:val="00BF5F7E"/>
    <w:rsid w:val="00BF7598"/>
    <w:rsid w:val="00C00031"/>
    <w:rsid w:val="00C027AB"/>
    <w:rsid w:val="00C02A7A"/>
    <w:rsid w:val="00C03E8D"/>
    <w:rsid w:val="00C04AEB"/>
    <w:rsid w:val="00C04B26"/>
    <w:rsid w:val="00C06950"/>
    <w:rsid w:val="00C06D0C"/>
    <w:rsid w:val="00C1358D"/>
    <w:rsid w:val="00C2263F"/>
    <w:rsid w:val="00C23531"/>
    <w:rsid w:val="00C26F65"/>
    <w:rsid w:val="00C31A32"/>
    <w:rsid w:val="00C32999"/>
    <w:rsid w:val="00C33467"/>
    <w:rsid w:val="00C35386"/>
    <w:rsid w:val="00C40643"/>
    <w:rsid w:val="00C415DA"/>
    <w:rsid w:val="00C42C30"/>
    <w:rsid w:val="00C43438"/>
    <w:rsid w:val="00C46169"/>
    <w:rsid w:val="00C46F5C"/>
    <w:rsid w:val="00C52262"/>
    <w:rsid w:val="00C52B62"/>
    <w:rsid w:val="00C624B7"/>
    <w:rsid w:val="00C62536"/>
    <w:rsid w:val="00C64E76"/>
    <w:rsid w:val="00C654ED"/>
    <w:rsid w:val="00C70B01"/>
    <w:rsid w:val="00C70C83"/>
    <w:rsid w:val="00C71E53"/>
    <w:rsid w:val="00C74385"/>
    <w:rsid w:val="00C8076F"/>
    <w:rsid w:val="00C83206"/>
    <w:rsid w:val="00C8557D"/>
    <w:rsid w:val="00C94937"/>
    <w:rsid w:val="00C95E26"/>
    <w:rsid w:val="00C9765C"/>
    <w:rsid w:val="00C97FE3"/>
    <w:rsid w:val="00CA23FC"/>
    <w:rsid w:val="00CA3A2C"/>
    <w:rsid w:val="00CA3D09"/>
    <w:rsid w:val="00CA7F25"/>
    <w:rsid w:val="00CB1A05"/>
    <w:rsid w:val="00CB1C27"/>
    <w:rsid w:val="00CB5E0D"/>
    <w:rsid w:val="00CB6B17"/>
    <w:rsid w:val="00CC0569"/>
    <w:rsid w:val="00CC071A"/>
    <w:rsid w:val="00CC1A58"/>
    <w:rsid w:val="00CC3914"/>
    <w:rsid w:val="00CC41EB"/>
    <w:rsid w:val="00CC73EB"/>
    <w:rsid w:val="00CC7F92"/>
    <w:rsid w:val="00CD5FA8"/>
    <w:rsid w:val="00CD6993"/>
    <w:rsid w:val="00CE0177"/>
    <w:rsid w:val="00CE42CB"/>
    <w:rsid w:val="00CE4834"/>
    <w:rsid w:val="00CF672A"/>
    <w:rsid w:val="00CF6BB5"/>
    <w:rsid w:val="00CF7D23"/>
    <w:rsid w:val="00D001CC"/>
    <w:rsid w:val="00D03700"/>
    <w:rsid w:val="00D0640C"/>
    <w:rsid w:val="00D104C7"/>
    <w:rsid w:val="00D10C6C"/>
    <w:rsid w:val="00D114AF"/>
    <w:rsid w:val="00D13078"/>
    <w:rsid w:val="00D144BE"/>
    <w:rsid w:val="00D156A3"/>
    <w:rsid w:val="00D15ECB"/>
    <w:rsid w:val="00D21775"/>
    <w:rsid w:val="00D21DD3"/>
    <w:rsid w:val="00D26292"/>
    <w:rsid w:val="00D26DE6"/>
    <w:rsid w:val="00D30365"/>
    <w:rsid w:val="00D309C4"/>
    <w:rsid w:val="00D31F59"/>
    <w:rsid w:val="00D32F9E"/>
    <w:rsid w:val="00D3737C"/>
    <w:rsid w:val="00D42273"/>
    <w:rsid w:val="00D46F44"/>
    <w:rsid w:val="00D47106"/>
    <w:rsid w:val="00D52251"/>
    <w:rsid w:val="00D539E5"/>
    <w:rsid w:val="00D62A79"/>
    <w:rsid w:val="00D63B3F"/>
    <w:rsid w:val="00D64C6F"/>
    <w:rsid w:val="00D6521A"/>
    <w:rsid w:val="00D665C2"/>
    <w:rsid w:val="00D667D7"/>
    <w:rsid w:val="00D71A40"/>
    <w:rsid w:val="00D74455"/>
    <w:rsid w:val="00D754A9"/>
    <w:rsid w:val="00D7604F"/>
    <w:rsid w:val="00D77B34"/>
    <w:rsid w:val="00D82A35"/>
    <w:rsid w:val="00D82F6F"/>
    <w:rsid w:val="00D841A0"/>
    <w:rsid w:val="00D85BAA"/>
    <w:rsid w:val="00D85D31"/>
    <w:rsid w:val="00D87FB7"/>
    <w:rsid w:val="00D9134A"/>
    <w:rsid w:val="00D948A2"/>
    <w:rsid w:val="00D96C4C"/>
    <w:rsid w:val="00DA2259"/>
    <w:rsid w:val="00DA4A0D"/>
    <w:rsid w:val="00DB0303"/>
    <w:rsid w:val="00DB0674"/>
    <w:rsid w:val="00DB6049"/>
    <w:rsid w:val="00DB63E4"/>
    <w:rsid w:val="00DC1F7A"/>
    <w:rsid w:val="00DC3854"/>
    <w:rsid w:val="00DC643A"/>
    <w:rsid w:val="00DD515A"/>
    <w:rsid w:val="00DE2B65"/>
    <w:rsid w:val="00DE6E4B"/>
    <w:rsid w:val="00DF08EB"/>
    <w:rsid w:val="00DF37BE"/>
    <w:rsid w:val="00E00032"/>
    <w:rsid w:val="00E02D62"/>
    <w:rsid w:val="00E03F40"/>
    <w:rsid w:val="00E04397"/>
    <w:rsid w:val="00E06268"/>
    <w:rsid w:val="00E1035D"/>
    <w:rsid w:val="00E105FF"/>
    <w:rsid w:val="00E11523"/>
    <w:rsid w:val="00E130A6"/>
    <w:rsid w:val="00E146EE"/>
    <w:rsid w:val="00E14CD4"/>
    <w:rsid w:val="00E14D23"/>
    <w:rsid w:val="00E16089"/>
    <w:rsid w:val="00E20086"/>
    <w:rsid w:val="00E21438"/>
    <w:rsid w:val="00E22119"/>
    <w:rsid w:val="00E27C00"/>
    <w:rsid w:val="00E30F1B"/>
    <w:rsid w:val="00E33AEE"/>
    <w:rsid w:val="00E367E5"/>
    <w:rsid w:val="00E36A5D"/>
    <w:rsid w:val="00E36DD0"/>
    <w:rsid w:val="00E4101D"/>
    <w:rsid w:val="00E413AF"/>
    <w:rsid w:val="00E41B9E"/>
    <w:rsid w:val="00E457E4"/>
    <w:rsid w:val="00E46CDB"/>
    <w:rsid w:val="00E472CD"/>
    <w:rsid w:val="00E523FE"/>
    <w:rsid w:val="00E52622"/>
    <w:rsid w:val="00E526BA"/>
    <w:rsid w:val="00E53225"/>
    <w:rsid w:val="00E55F3D"/>
    <w:rsid w:val="00E600C0"/>
    <w:rsid w:val="00E62266"/>
    <w:rsid w:val="00E631E6"/>
    <w:rsid w:val="00E6338E"/>
    <w:rsid w:val="00E63918"/>
    <w:rsid w:val="00E63A00"/>
    <w:rsid w:val="00E65D1A"/>
    <w:rsid w:val="00E6750A"/>
    <w:rsid w:val="00E67C15"/>
    <w:rsid w:val="00E747C6"/>
    <w:rsid w:val="00E75FF3"/>
    <w:rsid w:val="00E8021A"/>
    <w:rsid w:val="00E83898"/>
    <w:rsid w:val="00E86CFC"/>
    <w:rsid w:val="00E87214"/>
    <w:rsid w:val="00E900CD"/>
    <w:rsid w:val="00E92162"/>
    <w:rsid w:val="00E92702"/>
    <w:rsid w:val="00E92718"/>
    <w:rsid w:val="00E932D7"/>
    <w:rsid w:val="00E93FF5"/>
    <w:rsid w:val="00E94C9D"/>
    <w:rsid w:val="00E95308"/>
    <w:rsid w:val="00E95A24"/>
    <w:rsid w:val="00EA1C49"/>
    <w:rsid w:val="00EA45B5"/>
    <w:rsid w:val="00EA52CA"/>
    <w:rsid w:val="00EA71BF"/>
    <w:rsid w:val="00EB7708"/>
    <w:rsid w:val="00EC0D57"/>
    <w:rsid w:val="00EC3F51"/>
    <w:rsid w:val="00EC4D6C"/>
    <w:rsid w:val="00EC6ACC"/>
    <w:rsid w:val="00ED20A6"/>
    <w:rsid w:val="00ED35DC"/>
    <w:rsid w:val="00ED4473"/>
    <w:rsid w:val="00ED61E9"/>
    <w:rsid w:val="00ED7186"/>
    <w:rsid w:val="00EE099F"/>
    <w:rsid w:val="00EE63B1"/>
    <w:rsid w:val="00EF11FE"/>
    <w:rsid w:val="00EF36CA"/>
    <w:rsid w:val="00EF6173"/>
    <w:rsid w:val="00F00924"/>
    <w:rsid w:val="00F00A73"/>
    <w:rsid w:val="00F014DF"/>
    <w:rsid w:val="00F03625"/>
    <w:rsid w:val="00F0554E"/>
    <w:rsid w:val="00F07B32"/>
    <w:rsid w:val="00F07E7A"/>
    <w:rsid w:val="00F12894"/>
    <w:rsid w:val="00F17AF5"/>
    <w:rsid w:val="00F214A2"/>
    <w:rsid w:val="00F31B12"/>
    <w:rsid w:val="00F34132"/>
    <w:rsid w:val="00F3511C"/>
    <w:rsid w:val="00F40139"/>
    <w:rsid w:val="00F405BF"/>
    <w:rsid w:val="00F40ADF"/>
    <w:rsid w:val="00F44CA1"/>
    <w:rsid w:val="00F47494"/>
    <w:rsid w:val="00F524BD"/>
    <w:rsid w:val="00F52693"/>
    <w:rsid w:val="00F53D32"/>
    <w:rsid w:val="00F60438"/>
    <w:rsid w:val="00F60FDA"/>
    <w:rsid w:val="00F617FA"/>
    <w:rsid w:val="00F6334A"/>
    <w:rsid w:val="00F71F07"/>
    <w:rsid w:val="00F761D0"/>
    <w:rsid w:val="00F826BC"/>
    <w:rsid w:val="00F83DC3"/>
    <w:rsid w:val="00F870CC"/>
    <w:rsid w:val="00F87477"/>
    <w:rsid w:val="00F90040"/>
    <w:rsid w:val="00F90144"/>
    <w:rsid w:val="00F97F50"/>
    <w:rsid w:val="00FA069A"/>
    <w:rsid w:val="00FA142C"/>
    <w:rsid w:val="00FA2C58"/>
    <w:rsid w:val="00FA2FC8"/>
    <w:rsid w:val="00FA3129"/>
    <w:rsid w:val="00FA322B"/>
    <w:rsid w:val="00FA47D8"/>
    <w:rsid w:val="00FA62C2"/>
    <w:rsid w:val="00FB045F"/>
    <w:rsid w:val="00FB258B"/>
    <w:rsid w:val="00FB4C7D"/>
    <w:rsid w:val="00FB6F44"/>
    <w:rsid w:val="00FB773B"/>
    <w:rsid w:val="00FC11A5"/>
    <w:rsid w:val="00FC25C6"/>
    <w:rsid w:val="00FC5681"/>
    <w:rsid w:val="00FC72E4"/>
    <w:rsid w:val="00FC7723"/>
    <w:rsid w:val="00FD0781"/>
    <w:rsid w:val="00FD3709"/>
    <w:rsid w:val="00FD3ED1"/>
    <w:rsid w:val="00FE03DB"/>
    <w:rsid w:val="00FE0AF1"/>
    <w:rsid w:val="00FE11EE"/>
    <w:rsid w:val="00FE4AA0"/>
    <w:rsid w:val="00FE60E3"/>
    <w:rsid w:val="00FE7342"/>
    <w:rsid w:val="00FE740C"/>
    <w:rsid w:val="00FF01D5"/>
    <w:rsid w:val="00FF25C9"/>
    <w:rsid w:val="00FF2FE5"/>
    <w:rsid w:val="00FF3185"/>
    <w:rsid w:val="00FF367A"/>
    <w:rsid w:val="00FF3B57"/>
    <w:rsid w:val="00FF49D6"/>
    <w:rsid w:val="00FF5E03"/>
    <w:rsid w:val="018F1CFF"/>
    <w:rsid w:val="03C06631"/>
    <w:rsid w:val="050E1C4C"/>
    <w:rsid w:val="056158C5"/>
    <w:rsid w:val="06012C69"/>
    <w:rsid w:val="06F36E73"/>
    <w:rsid w:val="097A2E73"/>
    <w:rsid w:val="09B869F3"/>
    <w:rsid w:val="0D4A5CDA"/>
    <w:rsid w:val="0E9436E8"/>
    <w:rsid w:val="0F156355"/>
    <w:rsid w:val="10042CED"/>
    <w:rsid w:val="112A0791"/>
    <w:rsid w:val="1271154E"/>
    <w:rsid w:val="130354DD"/>
    <w:rsid w:val="196E4FA7"/>
    <w:rsid w:val="1A4671B5"/>
    <w:rsid w:val="1DC03706"/>
    <w:rsid w:val="1DF91481"/>
    <w:rsid w:val="21CF7629"/>
    <w:rsid w:val="25A300D6"/>
    <w:rsid w:val="26013AF1"/>
    <w:rsid w:val="26F42156"/>
    <w:rsid w:val="272607E2"/>
    <w:rsid w:val="27680F35"/>
    <w:rsid w:val="2AAE2812"/>
    <w:rsid w:val="2DE03B3C"/>
    <w:rsid w:val="2E0A53A6"/>
    <w:rsid w:val="2E7D7A9A"/>
    <w:rsid w:val="2E9615FD"/>
    <w:rsid w:val="301A0444"/>
    <w:rsid w:val="30A77088"/>
    <w:rsid w:val="322B2502"/>
    <w:rsid w:val="329214E9"/>
    <w:rsid w:val="35CF70E1"/>
    <w:rsid w:val="368E679B"/>
    <w:rsid w:val="373D6DE8"/>
    <w:rsid w:val="37D93CF4"/>
    <w:rsid w:val="393B0C7E"/>
    <w:rsid w:val="399E61B0"/>
    <w:rsid w:val="39A210F2"/>
    <w:rsid w:val="3AB74EEB"/>
    <w:rsid w:val="3D012E13"/>
    <w:rsid w:val="3D0655A4"/>
    <w:rsid w:val="3E2C32F6"/>
    <w:rsid w:val="3E3E45AC"/>
    <w:rsid w:val="3ECB5DA9"/>
    <w:rsid w:val="3FCD4EF1"/>
    <w:rsid w:val="40A418B8"/>
    <w:rsid w:val="40AF5497"/>
    <w:rsid w:val="43D21641"/>
    <w:rsid w:val="43F023B9"/>
    <w:rsid w:val="44E35A2E"/>
    <w:rsid w:val="4873250F"/>
    <w:rsid w:val="487E6FDA"/>
    <w:rsid w:val="4A2319E6"/>
    <w:rsid w:val="4A71301D"/>
    <w:rsid w:val="4ADC4775"/>
    <w:rsid w:val="4CDE1E57"/>
    <w:rsid w:val="4F1A3B10"/>
    <w:rsid w:val="4F304989"/>
    <w:rsid w:val="502F1A86"/>
    <w:rsid w:val="50C569C4"/>
    <w:rsid w:val="51273DF5"/>
    <w:rsid w:val="52471845"/>
    <w:rsid w:val="546928AB"/>
    <w:rsid w:val="569C008C"/>
    <w:rsid w:val="5AAC5B65"/>
    <w:rsid w:val="5ABE295D"/>
    <w:rsid w:val="5AF35146"/>
    <w:rsid w:val="5B960105"/>
    <w:rsid w:val="5BA75C7E"/>
    <w:rsid w:val="5C7A216C"/>
    <w:rsid w:val="5CA248B3"/>
    <w:rsid w:val="5D5D7927"/>
    <w:rsid w:val="5FD80CDC"/>
    <w:rsid w:val="631522F7"/>
    <w:rsid w:val="64E9779D"/>
    <w:rsid w:val="64F120F3"/>
    <w:rsid w:val="65040DA3"/>
    <w:rsid w:val="65515CC9"/>
    <w:rsid w:val="67D5446A"/>
    <w:rsid w:val="6805556D"/>
    <w:rsid w:val="6F1D4553"/>
    <w:rsid w:val="71C86975"/>
    <w:rsid w:val="73061CBA"/>
    <w:rsid w:val="73110325"/>
    <w:rsid w:val="74BA6911"/>
    <w:rsid w:val="7501759A"/>
    <w:rsid w:val="7CB05F18"/>
    <w:rsid w:val="7D220FB5"/>
    <w:rsid w:val="7D225A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0" w:name="footnote reference"/>
    <w:lsdException w:qFormat="1" w:uiPriority="0" w:name="annotation reference"/>
    <w:lsdException w:qFormat="1" w:uiPriority="0" w:name="line number"/>
    <w:lsdException w:uiPriority="0" w:name="page number"/>
    <w:lsdException w:qFormat="1" w:uiPriority="0" w:name="endnote reference"/>
    <w:lsdException w:qFormat="1"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iPriority="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0"/>
    <w:pPr>
      <w:spacing w:line="640" w:lineRule="exact"/>
      <w:ind w:firstLine="640" w:firstLineChars="200"/>
      <w:outlineLvl w:val="0"/>
    </w:pPr>
    <w:rPr>
      <w:rFonts w:eastAsia="黑体"/>
      <w:sz w:val="32"/>
      <w:szCs w:val="32"/>
    </w:rPr>
  </w:style>
  <w:style w:type="paragraph" w:styleId="3">
    <w:name w:val="heading 2"/>
    <w:basedOn w:val="1"/>
    <w:next w:val="1"/>
    <w:link w:val="26"/>
    <w:unhideWhenUsed/>
    <w:qFormat/>
    <w:uiPriority w:val="0"/>
    <w:pPr>
      <w:spacing w:line="360" w:lineRule="auto"/>
      <w:ind w:firstLine="640" w:firstLineChars="200"/>
      <w:outlineLvl w:val="1"/>
    </w:pPr>
    <w:rPr>
      <w:rFonts w:ascii="楷体_GB2312" w:hAnsi="宋体" w:eastAsia="楷体_GB2312" w:cs="宋体"/>
      <w:bCs/>
      <w:kern w:val="0"/>
      <w:sz w:val="32"/>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27"/>
    <w:qFormat/>
    <w:uiPriority w:val="0"/>
    <w:rPr>
      <w:rFonts w:ascii="宋体"/>
      <w:sz w:val="18"/>
      <w:szCs w:val="18"/>
    </w:rPr>
  </w:style>
  <w:style w:type="paragraph" w:styleId="6">
    <w:name w:val="annotation text"/>
    <w:basedOn w:val="1"/>
    <w:link w:val="31"/>
    <w:semiHidden/>
    <w:unhideWhenUsed/>
    <w:qFormat/>
    <w:uiPriority w:val="0"/>
    <w:pPr>
      <w:jc w:val="left"/>
    </w:pPr>
  </w:style>
  <w:style w:type="paragraph" w:styleId="7">
    <w:name w:val="Body Text"/>
    <w:basedOn w:val="1"/>
    <w:semiHidden/>
    <w:qFormat/>
    <w:uiPriority w:val="0"/>
    <w:rPr>
      <w:rFonts w:ascii="宋体" w:hAnsi="宋体" w:cs="宋体"/>
      <w:sz w:val="24"/>
      <w:lang w:eastAsia="en-US"/>
    </w:rPr>
  </w:style>
  <w:style w:type="paragraph" w:styleId="8">
    <w:name w:val="endnote text"/>
    <w:basedOn w:val="1"/>
    <w:link w:val="33"/>
    <w:semiHidden/>
    <w:unhideWhenUsed/>
    <w:qFormat/>
    <w:uiPriority w:val="0"/>
    <w:pPr>
      <w:snapToGrid w:val="0"/>
      <w:jc w:val="left"/>
    </w:pPr>
  </w:style>
  <w:style w:type="paragraph" w:styleId="9">
    <w:name w:val="Balloon Text"/>
    <w:basedOn w:val="1"/>
    <w:link w:val="30"/>
    <w:semiHidden/>
    <w:unhideWhenUsed/>
    <w:qFormat/>
    <w:uiPriority w:val="0"/>
    <w:rPr>
      <w:sz w:val="18"/>
      <w:szCs w:val="18"/>
    </w:rPr>
  </w:style>
  <w:style w:type="paragraph" w:styleId="10">
    <w:name w:val="footer"/>
    <w:basedOn w:val="1"/>
    <w:link w:val="25"/>
    <w:qFormat/>
    <w:uiPriority w:val="99"/>
    <w:pPr>
      <w:tabs>
        <w:tab w:val="center" w:pos="4153"/>
        <w:tab w:val="right" w:pos="8306"/>
      </w:tabs>
      <w:snapToGrid w:val="0"/>
      <w:jc w:val="left"/>
    </w:pPr>
    <w:rPr>
      <w:sz w:val="18"/>
      <w:szCs w:val="18"/>
    </w:rPr>
  </w:style>
  <w:style w:type="paragraph" w:styleId="11">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12">
    <w:name w:val="footnote text"/>
    <w:basedOn w:val="1"/>
    <w:link w:val="34"/>
    <w:semiHidden/>
    <w:unhideWhenUsed/>
    <w:qFormat/>
    <w:uiPriority w:val="0"/>
    <w:pPr>
      <w:snapToGrid w:val="0"/>
      <w:jc w:val="left"/>
    </w:pPr>
    <w:rPr>
      <w:sz w:val="18"/>
      <w:szCs w:val="18"/>
    </w:rPr>
  </w:style>
  <w:style w:type="paragraph" w:styleId="13">
    <w:name w:val="Normal (Web)"/>
    <w:basedOn w:val="1"/>
    <w:semiHidden/>
    <w:unhideWhenUsed/>
    <w:qFormat/>
    <w:uiPriority w:val="0"/>
    <w:pPr>
      <w:spacing w:beforeAutospacing="1" w:afterAutospacing="1"/>
      <w:jc w:val="left"/>
    </w:pPr>
    <w:rPr>
      <w:kern w:val="0"/>
      <w:sz w:val="24"/>
    </w:rPr>
  </w:style>
  <w:style w:type="paragraph" w:styleId="14">
    <w:name w:val="annotation subject"/>
    <w:basedOn w:val="6"/>
    <w:next w:val="6"/>
    <w:link w:val="32"/>
    <w:semiHidden/>
    <w:unhideWhenUsed/>
    <w:qFormat/>
    <w:uiPriority w:val="0"/>
    <w:rPr>
      <w:b/>
      <w:bCs/>
    </w:rPr>
  </w:style>
  <w:style w:type="character" w:styleId="17">
    <w:name w:val="Strong"/>
    <w:basedOn w:val="16"/>
    <w:qFormat/>
    <w:uiPriority w:val="0"/>
    <w:rPr>
      <w:b/>
    </w:rPr>
  </w:style>
  <w:style w:type="character" w:styleId="18">
    <w:name w:val="endnote reference"/>
    <w:basedOn w:val="16"/>
    <w:semiHidden/>
    <w:unhideWhenUsed/>
    <w:qFormat/>
    <w:uiPriority w:val="0"/>
    <w:rPr>
      <w:vertAlign w:val="superscript"/>
    </w:rPr>
  </w:style>
  <w:style w:type="character" w:styleId="19">
    <w:name w:val="line number"/>
    <w:basedOn w:val="16"/>
    <w:semiHidden/>
    <w:unhideWhenUsed/>
    <w:qFormat/>
    <w:uiPriority w:val="0"/>
  </w:style>
  <w:style w:type="character" w:styleId="20">
    <w:name w:val="Hyperlink"/>
    <w:basedOn w:val="16"/>
    <w:semiHidden/>
    <w:unhideWhenUsed/>
    <w:qFormat/>
    <w:uiPriority w:val="0"/>
    <w:rPr>
      <w:color w:val="0000FF"/>
      <w:u w:val="single"/>
    </w:rPr>
  </w:style>
  <w:style w:type="character" w:styleId="21">
    <w:name w:val="annotation reference"/>
    <w:basedOn w:val="16"/>
    <w:semiHidden/>
    <w:unhideWhenUsed/>
    <w:qFormat/>
    <w:uiPriority w:val="0"/>
    <w:rPr>
      <w:sz w:val="21"/>
      <w:szCs w:val="21"/>
    </w:rPr>
  </w:style>
  <w:style w:type="character" w:styleId="22">
    <w:name w:val="footnote reference"/>
    <w:basedOn w:val="16"/>
    <w:semiHidden/>
    <w:unhideWhenUsed/>
    <w:qFormat/>
    <w:uiPriority w:val="0"/>
    <w:rPr>
      <w:vertAlign w:val="superscript"/>
    </w:rPr>
  </w:style>
  <w:style w:type="paragraph" w:styleId="23">
    <w:name w:val="List Paragraph"/>
    <w:basedOn w:val="1"/>
    <w:qFormat/>
    <w:uiPriority w:val="99"/>
    <w:pPr>
      <w:ind w:firstLine="420" w:firstLineChars="200"/>
    </w:pPr>
  </w:style>
  <w:style w:type="character" w:customStyle="1" w:styleId="24">
    <w:name w:val="页眉 字符"/>
    <w:basedOn w:val="16"/>
    <w:link w:val="11"/>
    <w:qFormat/>
    <w:uiPriority w:val="0"/>
    <w:rPr>
      <w:rFonts w:ascii="Times New Roman" w:hAnsi="Times New Roman" w:eastAsia="宋体" w:cs="Times New Roman"/>
      <w:kern w:val="2"/>
      <w:sz w:val="18"/>
      <w:szCs w:val="18"/>
    </w:rPr>
  </w:style>
  <w:style w:type="character" w:customStyle="1" w:styleId="25">
    <w:name w:val="页脚 字符"/>
    <w:basedOn w:val="16"/>
    <w:link w:val="10"/>
    <w:qFormat/>
    <w:uiPriority w:val="99"/>
    <w:rPr>
      <w:rFonts w:ascii="Times New Roman" w:hAnsi="Times New Roman" w:eastAsia="宋体" w:cs="Times New Roman"/>
      <w:kern w:val="2"/>
      <w:sz w:val="18"/>
      <w:szCs w:val="18"/>
    </w:rPr>
  </w:style>
  <w:style w:type="character" w:customStyle="1" w:styleId="26">
    <w:name w:val="标题 2 字符"/>
    <w:basedOn w:val="16"/>
    <w:link w:val="3"/>
    <w:qFormat/>
    <w:uiPriority w:val="0"/>
    <w:rPr>
      <w:rFonts w:ascii="楷体_GB2312" w:hAnsi="宋体" w:eastAsia="楷体_GB2312" w:cs="宋体"/>
      <w:bCs/>
      <w:sz w:val="32"/>
      <w:szCs w:val="24"/>
    </w:rPr>
  </w:style>
  <w:style w:type="character" w:customStyle="1" w:styleId="27">
    <w:name w:val="文档结构图 字符"/>
    <w:basedOn w:val="16"/>
    <w:link w:val="5"/>
    <w:qFormat/>
    <w:uiPriority w:val="0"/>
    <w:rPr>
      <w:rFonts w:ascii="宋体" w:hAnsi="Times New Roman" w:eastAsia="宋体" w:cs="Times New Roman"/>
      <w:kern w:val="2"/>
      <w:sz w:val="18"/>
      <w:szCs w:val="18"/>
    </w:rPr>
  </w:style>
  <w:style w:type="paragraph" w:customStyle="1" w:styleId="28">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29">
    <w:name w:val="标题 1 字符"/>
    <w:link w:val="2"/>
    <w:qFormat/>
    <w:locked/>
    <w:uiPriority w:val="0"/>
    <w:rPr>
      <w:rFonts w:ascii="Times New Roman" w:hAnsi="Times New Roman" w:eastAsia="黑体" w:cs="Times New Roman"/>
      <w:kern w:val="2"/>
      <w:sz w:val="32"/>
      <w:szCs w:val="32"/>
    </w:rPr>
  </w:style>
  <w:style w:type="character" w:customStyle="1" w:styleId="30">
    <w:name w:val="批注框文本 字符"/>
    <w:basedOn w:val="16"/>
    <w:link w:val="9"/>
    <w:semiHidden/>
    <w:qFormat/>
    <w:uiPriority w:val="0"/>
    <w:rPr>
      <w:rFonts w:ascii="Times New Roman" w:hAnsi="Times New Roman" w:eastAsia="宋体" w:cs="Times New Roman"/>
      <w:kern w:val="2"/>
      <w:sz w:val="18"/>
      <w:szCs w:val="18"/>
    </w:rPr>
  </w:style>
  <w:style w:type="character" w:customStyle="1" w:styleId="31">
    <w:name w:val="批注文字 字符"/>
    <w:basedOn w:val="16"/>
    <w:link w:val="6"/>
    <w:semiHidden/>
    <w:qFormat/>
    <w:uiPriority w:val="0"/>
    <w:rPr>
      <w:rFonts w:ascii="Times New Roman" w:hAnsi="Times New Roman" w:eastAsia="宋体" w:cs="Times New Roman"/>
      <w:kern w:val="2"/>
      <w:sz w:val="21"/>
      <w:szCs w:val="24"/>
    </w:rPr>
  </w:style>
  <w:style w:type="character" w:customStyle="1" w:styleId="32">
    <w:name w:val="批注主题 字符"/>
    <w:basedOn w:val="31"/>
    <w:link w:val="14"/>
    <w:semiHidden/>
    <w:qFormat/>
    <w:uiPriority w:val="0"/>
    <w:rPr>
      <w:rFonts w:ascii="Times New Roman" w:hAnsi="Times New Roman" w:eastAsia="宋体" w:cs="Times New Roman"/>
      <w:b/>
      <w:bCs/>
      <w:kern w:val="2"/>
      <w:sz w:val="21"/>
      <w:szCs w:val="24"/>
    </w:rPr>
  </w:style>
  <w:style w:type="character" w:customStyle="1" w:styleId="33">
    <w:name w:val="尾注文本 字符"/>
    <w:basedOn w:val="16"/>
    <w:link w:val="8"/>
    <w:semiHidden/>
    <w:qFormat/>
    <w:uiPriority w:val="0"/>
    <w:rPr>
      <w:rFonts w:ascii="Times New Roman" w:hAnsi="Times New Roman" w:eastAsia="宋体" w:cs="Times New Roman"/>
      <w:kern w:val="2"/>
      <w:sz w:val="21"/>
      <w:szCs w:val="24"/>
    </w:rPr>
  </w:style>
  <w:style w:type="character" w:customStyle="1" w:styleId="34">
    <w:name w:val="脚注文本 字符"/>
    <w:basedOn w:val="16"/>
    <w:link w:val="12"/>
    <w:semiHidden/>
    <w:qFormat/>
    <w:uiPriority w:val="0"/>
    <w:rPr>
      <w:rFonts w:ascii="Times New Roman" w:hAnsi="Times New Roman" w:eastAsia="宋体" w:cs="Times New Roman"/>
      <w:kern w:val="2"/>
      <w:sz w:val="18"/>
      <w:szCs w:val="18"/>
    </w:rPr>
  </w:style>
  <w:style w:type="paragraph" w:styleId="35">
    <w:name w:val="No Spacing"/>
    <w:qFormat/>
    <w:uiPriority w:val="1"/>
    <w:pPr>
      <w:jc w:val="both"/>
    </w:pPr>
    <w:rPr>
      <w:rFonts w:ascii="Arial" w:hAnsi="Arial" w:eastAsia="宋体" w:cs="Arial"/>
      <w:sz w:val="18"/>
      <w:szCs w:val="18"/>
      <w:lang w:val="en-US" w:eastAsia="zh-CN" w:bidi="ar-SA"/>
    </w:rPr>
  </w:style>
  <w:style w:type="paragraph" w:customStyle="1" w:styleId="36">
    <w:name w:val="msonospacing"/>
    <w:basedOn w:val="1"/>
    <w:qFormat/>
    <w:uiPriority w:val="0"/>
    <w:pPr>
      <w:widowControl/>
    </w:pPr>
    <w:rPr>
      <w:rFonts w:ascii="Arial" w:hAnsi="Arial"/>
      <w:kern w:val="0"/>
      <w:sz w:val="18"/>
      <w:szCs w:val="18"/>
    </w:rPr>
  </w:style>
  <w:style w:type="paragraph" w:customStyle="1" w:styleId="37">
    <w:name w:val="王奕，内文"/>
    <w:basedOn w:val="13"/>
    <w:qFormat/>
    <w:uiPriority w:val="0"/>
    <w:pPr>
      <w:spacing w:beforeAutospacing="0" w:afterAutospacing="0" w:line="360" w:lineRule="auto"/>
      <w:ind w:firstLine="200" w:firstLineChars="200"/>
      <w:jc w:val="both"/>
    </w:pPr>
    <w:rPr>
      <w:color w:val="000000"/>
      <w:kern w:val="2"/>
    </w:rPr>
  </w:style>
  <w:style w:type="paragraph" w:customStyle="1" w:styleId="38">
    <w:name w:val="Table Text"/>
    <w:basedOn w:val="1"/>
    <w:semiHidden/>
    <w:qFormat/>
    <w:uiPriority w:val="0"/>
    <w:rPr>
      <w:rFonts w:ascii="宋体" w:hAnsi="宋体" w:cs="宋体"/>
      <w:sz w:val="22"/>
      <w:szCs w:val="22"/>
      <w:lang w:eastAsia="en-US"/>
    </w:rPr>
  </w:style>
  <w:style w:type="table" w:customStyle="1" w:styleId="3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C5E906-EA5E-4206-8C2C-B4B3076070C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23</Pages>
  <Words>10814</Words>
  <Characters>11579</Characters>
  <Lines>84</Lines>
  <Paragraphs>23</Paragraphs>
  <TotalTime>24</TotalTime>
  <ScaleCrop>false</ScaleCrop>
  <LinksUpToDate>false</LinksUpToDate>
  <CharactersWithSpaces>11665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2023-09-28T05:43:00Z</dcterms:created>
  <dc:creator>李元霸</dc:creator>
  <cp:lastModifiedBy>晴天</cp:lastModifiedBy>
  <dcterms:modified xsi:type="dcterms:W3CDTF">2026-07-24T08:30:41Z</dcterms:modified>
  <cp:revision>298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A749E531A28546DFA39BD194B557A89F_13</vt:lpwstr>
  </property>
  <property fmtid="{D5CDD505-2E9C-101B-9397-08002B2CF9AE}" pid="4" name="KSOTemplateDocerSaveRecord">
    <vt:lpwstr>eyJoZGlkIjoiMWI2NWNiYzdiMmVmZWI2N2VkMDc4NWJlNTkwYjJhYTgiLCJ1c2VySWQiOiIyNzE5NzMyMjAifQ==</vt:lpwstr>
  </property>
</Properties>
</file>