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7E9FA">
      <w:pPr>
        <w:spacing w:line="520" w:lineRule="exact"/>
        <w:ind w:right="-67" w:rightChars="-32"/>
        <w:jc w:val="center"/>
        <w:outlineLvl w:val="0"/>
        <w:rPr>
          <w:rFonts w:eastAsia="方正小标宋简体"/>
          <w:bCs/>
          <w:sz w:val="44"/>
          <w:szCs w:val="44"/>
        </w:rPr>
      </w:pPr>
      <w:r>
        <w:rPr>
          <w:rFonts w:hint="eastAsia" w:eastAsia="方正小标宋简体"/>
          <w:bCs/>
          <w:sz w:val="44"/>
          <w:szCs w:val="44"/>
        </w:rPr>
        <w:t>生物芯片分析仪</w:t>
      </w:r>
      <w:r>
        <w:rPr>
          <w:rFonts w:eastAsia="方正小标宋简体"/>
          <w:bCs/>
          <w:sz w:val="44"/>
          <w:szCs w:val="44"/>
        </w:rPr>
        <w:t>注册审查指导原则</w:t>
      </w:r>
    </w:p>
    <w:p w14:paraId="6AA1B469">
      <w:pPr>
        <w:spacing w:line="520" w:lineRule="exact"/>
        <w:ind w:right="-67" w:rightChars="-32"/>
        <w:jc w:val="center"/>
        <w:outlineLvl w:val="0"/>
        <w:rPr>
          <w:rFonts w:eastAsia="方正小标宋简体"/>
          <w:bCs/>
          <w:sz w:val="44"/>
          <w:szCs w:val="44"/>
        </w:rPr>
      </w:pPr>
      <w:bookmarkStart w:id="4" w:name="_GoBack"/>
      <w:bookmarkEnd w:id="4"/>
      <w:r>
        <w:rPr>
          <w:rFonts w:hint="eastAsia" w:eastAsia="方正小标宋简体"/>
          <w:bCs/>
          <w:sz w:val="44"/>
          <w:szCs w:val="44"/>
        </w:rPr>
        <w:t>（征求意见稿）</w:t>
      </w:r>
    </w:p>
    <w:p w14:paraId="54F6DBBA">
      <w:pPr>
        <w:spacing w:line="520" w:lineRule="exact"/>
        <w:jc w:val="center"/>
        <w:rPr>
          <w:rFonts w:eastAsia="仿宋"/>
          <w:bCs/>
          <w:sz w:val="44"/>
          <w:szCs w:val="44"/>
        </w:rPr>
      </w:pPr>
    </w:p>
    <w:p w14:paraId="1A90773D">
      <w:pPr>
        <w:spacing w:line="520" w:lineRule="exact"/>
        <w:ind w:firstLine="640" w:firstLineChars="200"/>
        <w:rPr>
          <w:rFonts w:eastAsia="仿宋"/>
          <w:bCs/>
          <w:sz w:val="32"/>
          <w:szCs w:val="32"/>
        </w:rPr>
      </w:pPr>
      <w:r>
        <w:rPr>
          <w:rFonts w:eastAsia="仿宋"/>
          <w:bCs/>
          <w:sz w:val="32"/>
          <w:szCs w:val="32"/>
        </w:rPr>
        <w:t>本指导原则旨在指导注册申请人（以下简称申请人）对</w:t>
      </w:r>
      <w:r>
        <w:rPr>
          <w:rFonts w:hint="eastAsia" w:eastAsia="仿宋"/>
          <w:bCs/>
          <w:sz w:val="32"/>
          <w:szCs w:val="32"/>
        </w:rPr>
        <w:t>生物芯片分析仪</w:t>
      </w:r>
      <w:r>
        <w:rPr>
          <w:rFonts w:eastAsia="仿宋"/>
          <w:bCs/>
          <w:sz w:val="32"/>
          <w:szCs w:val="32"/>
        </w:rPr>
        <w:t>注册申报资料的准备及撰写，同时也为技术审评部门审评注册申报资料提供参考。</w:t>
      </w:r>
    </w:p>
    <w:p w14:paraId="24DD654E">
      <w:pPr>
        <w:spacing w:line="520" w:lineRule="exact"/>
        <w:ind w:firstLine="640" w:firstLineChars="200"/>
        <w:rPr>
          <w:rFonts w:eastAsia="仿宋"/>
          <w:bCs/>
          <w:sz w:val="32"/>
          <w:szCs w:val="32"/>
        </w:rPr>
      </w:pPr>
      <w:r>
        <w:rPr>
          <w:rFonts w:eastAsia="仿宋"/>
          <w:bCs/>
          <w:sz w:val="32"/>
          <w:szCs w:val="32"/>
        </w:rPr>
        <w:t>本指导原则是对</w:t>
      </w:r>
      <w:r>
        <w:rPr>
          <w:rFonts w:hint="eastAsia" w:eastAsia="仿宋"/>
          <w:bCs/>
          <w:sz w:val="32"/>
          <w:szCs w:val="32"/>
        </w:rPr>
        <w:t>生物芯片分析仪</w:t>
      </w:r>
      <w:r>
        <w:rPr>
          <w:rFonts w:eastAsia="仿宋"/>
          <w:bCs/>
          <w:sz w:val="32"/>
          <w:szCs w:val="32"/>
        </w:rPr>
        <w:t>的一般要求，申请人应依据产品的具体特性确定其中内容是否适用。若不适用，需具体阐述理由及相应的科学依据，并依据产品的具体特性对注册申报资料的内容进行充实和细化。</w:t>
      </w:r>
    </w:p>
    <w:p w14:paraId="230EB42B">
      <w:pPr>
        <w:overflowPunct w:val="0"/>
        <w:autoSpaceDE w:val="0"/>
        <w:autoSpaceDN w:val="0"/>
        <w:spacing w:line="520" w:lineRule="exact"/>
        <w:ind w:firstLine="640" w:firstLineChars="200"/>
        <w:rPr>
          <w:rFonts w:eastAsia="仿宋_GB2312" w:cs="仿宋_GB2312"/>
          <w:snapToGrid w:val="0"/>
          <w:kern w:val="0"/>
          <w:sz w:val="32"/>
          <w:szCs w:val="32"/>
        </w:rPr>
      </w:pPr>
      <w:r>
        <w:rPr>
          <w:rFonts w:hint="eastAsia" w:eastAsia="仿宋_GB2312" w:cs="仿宋_GB2312"/>
          <w:snapToGrid w:val="0"/>
          <w:kern w:val="0"/>
          <w:sz w:val="32"/>
          <w:szCs w:val="32"/>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14:paraId="704B5895">
      <w:pPr>
        <w:spacing w:line="520" w:lineRule="exact"/>
        <w:ind w:firstLine="640" w:firstLineChars="200"/>
        <w:rPr>
          <w:rFonts w:eastAsia="仿宋"/>
          <w:bCs/>
          <w:sz w:val="32"/>
          <w:szCs w:val="32"/>
        </w:rPr>
      </w:pPr>
      <w:r>
        <w:rPr>
          <w:rFonts w:eastAsia="仿宋"/>
          <w:bCs/>
          <w:sz w:val="32"/>
          <w:szCs w:val="32"/>
        </w:rPr>
        <w:t>本指导原则是在现行法规、标准体系及当前认知水平下制定的，随着法规、标准体系的不断完善和科学技术的不断发展，本指导原则相关内容也将适时进行调整。</w:t>
      </w:r>
    </w:p>
    <w:p w14:paraId="2A5961D9">
      <w:pPr>
        <w:spacing w:line="520" w:lineRule="exact"/>
        <w:ind w:firstLine="640" w:firstLineChars="200"/>
        <w:outlineLvl w:val="0"/>
        <w:rPr>
          <w:rFonts w:eastAsia="黑体"/>
          <w:bCs/>
          <w:sz w:val="32"/>
          <w:szCs w:val="32"/>
        </w:rPr>
      </w:pPr>
      <w:bookmarkStart w:id="0" w:name="_Hlk69042049"/>
      <w:r>
        <w:rPr>
          <w:rFonts w:eastAsia="黑体"/>
          <w:bCs/>
          <w:sz w:val="32"/>
          <w:szCs w:val="32"/>
        </w:rPr>
        <w:t>一、适用范围</w:t>
      </w:r>
    </w:p>
    <w:bookmarkEnd w:id="0"/>
    <w:p w14:paraId="4FABC4F3">
      <w:pPr>
        <w:spacing w:line="520" w:lineRule="exact"/>
        <w:ind w:firstLine="640" w:firstLineChars="200"/>
        <w:rPr>
          <w:rFonts w:eastAsia="仿宋"/>
          <w:bCs/>
          <w:sz w:val="32"/>
          <w:szCs w:val="32"/>
        </w:rPr>
      </w:pPr>
      <w:r>
        <w:rPr>
          <w:rFonts w:hint="eastAsia" w:eastAsia="仿宋_GB2312" w:cs="仿宋_GB2312"/>
          <w:snapToGrid w:val="0"/>
          <w:kern w:val="0"/>
          <w:sz w:val="32"/>
          <w:szCs w:val="32"/>
        </w:rPr>
        <w:t>本指导</w:t>
      </w:r>
      <w:r>
        <w:rPr>
          <w:rFonts w:eastAsia="仿宋_GB2312" w:cs="仿宋_GB2312"/>
          <w:snapToGrid w:val="0"/>
          <w:kern w:val="0"/>
          <w:sz w:val="32"/>
          <w:szCs w:val="32"/>
        </w:rPr>
        <w:t>原则</w:t>
      </w:r>
      <w:r>
        <w:rPr>
          <w:rFonts w:hint="eastAsia" w:eastAsia="仿宋_GB2312" w:cs="仿宋_GB2312"/>
          <w:snapToGrid w:val="0"/>
          <w:kern w:val="0"/>
          <w:sz w:val="32"/>
          <w:szCs w:val="32"/>
        </w:rPr>
        <w:t>适用于</w:t>
      </w:r>
      <w:r>
        <w:rPr>
          <w:rFonts w:hint="eastAsia" w:eastAsia="仿宋"/>
          <w:bCs/>
          <w:sz w:val="32"/>
          <w:szCs w:val="32"/>
        </w:rPr>
        <w:t>生物芯片分析仪</w:t>
      </w:r>
      <w:r>
        <w:rPr>
          <w:rFonts w:hint="eastAsia" w:eastAsia="仿宋_GB2312" w:cs="仿宋_GB2312"/>
          <w:snapToGrid w:val="0"/>
          <w:kern w:val="0"/>
          <w:sz w:val="32"/>
          <w:szCs w:val="32"/>
        </w:rPr>
        <w:t>的产品注册。适用于</w:t>
      </w:r>
      <w:r>
        <w:rPr>
          <w:rFonts w:eastAsia="仿宋"/>
          <w:bCs/>
          <w:sz w:val="32"/>
          <w:szCs w:val="32"/>
        </w:rPr>
        <w:t>通过采集生物分子点阵芯片上的光信号，软件分析实现样本定性检测，或与校准品比对实现样本半定量、定量分析的</w:t>
      </w:r>
      <w:r>
        <w:rPr>
          <w:rFonts w:hint="eastAsia" w:eastAsia="仿宋"/>
          <w:bCs/>
          <w:sz w:val="32"/>
          <w:szCs w:val="32"/>
        </w:rPr>
        <w:t>生物芯片分析仪</w:t>
      </w:r>
      <w:r>
        <w:rPr>
          <w:rFonts w:eastAsia="仿宋"/>
          <w:bCs/>
          <w:sz w:val="32"/>
          <w:szCs w:val="32"/>
        </w:rPr>
        <w:t>。</w:t>
      </w:r>
    </w:p>
    <w:p w14:paraId="54F26A79">
      <w:pPr>
        <w:spacing w:line="520" w:lineRule="exact"/>
        <w:ind w:firstLine="640" w:firstLineChars="200"/>
        <w:rPr>
          <w:rFonts w:eastAsia="仿宋"/>
          <w:bCs/>
          <w:sz w:val="32"/>
          <w:szCs w:val="32"/>
        </w:rPr>
      </w:pPr>
      <w:r>
        <w:rPr>
          <w:rFonts w:hint="eastAsia" w:eastAsia="仿宋_GB2312"/>
          <w:sz w:val="32"/>
          <w:szCs w:val="32"/>
        </w:rPr>
        <w:t>本指导原则</w:t>
      </w:r>
      <w:r>
        <w:rPr>
          <w:rFonts w:hint="eastAsia" w:eastAsia="仿宋"/>
          <w:bCs/>
          <w:sz w:val="32"/>
          <w:szCs w:val="32"/>
        </w:rPr>
        <w:t>不适用于基因测序仪器、核酸扩增分析仪器相关组件。</w:t>
      </w:r>
    </w:p>
    <w:p w14:paraId="2721894E">
      <w:pPr>
        <w:spacing w:line="520" w:lineRule="exact"/>
        <w:ind w:firstLine="640" w:firstLineChars="200"/>
        <w:outlineLvl w:val="0"/>
        <w:rPr>
          <w:rFonts w:eastAsia="黑体" w:cs="宋体"/>
          <w:bCs/>
          <w:kern w:val="0"/>
          <w:sz w:val="32"/>
          <w:szCs w:val="32"/>
        </w:rPr>
      </w:pPr>
      <w:r>
        <w:rPr>
          <w:rFonts w:eastAsia="黑体" w:cs="宋体"/>
          <w:bCs/>
          <w:kern w:val="0"/>
          <w:sz w:val="32"/>
          <w:szCs w:val="32"/>
        </w:rPr>
        <w:t>二、注册审查要点</w:t>
      </w:r>
    </w:p>
    <w:p w14:paraId="0BE0FAD3">
      <w:pPr>
        <w:overflowPunct w:val="0"/>
        <w:autoSpaceDE w:val="0"/>
        <w:autoSpaceDN w:val="0"/>
        <w:spacing w:line="520" w:lineRule="exact"/>
        <w:ind w:left="221" w:firstLine="640" w:firstLineChars="200"/>
        <w:outlineLvl w:val="1"/>
        <w:rPr>
          <w:rFonts w:eastAsia="楷体_GB2312"/>
          <w:color w:val="000000"/>
          <w:sz w:val="32"/>
          <w:szCs w:val="32"/>
        </w:rPr>
      </w:pPr>
      <w:r>
        <w:rPr>
          <w:rFonts w:hint="eastAsia" w:eastAsia="楷体_GB2312"/>
          <w:color w:val="000000"/>
          <w:sz w:val="32"/>
          <w:szCs w:val="32"/>
        </w:rPr>
        <w:t>（一）监管信息</w:t>
      </w:r>
    </w:p>
    <w:p w14:paraId="5668B2B8">
      <w:pPr>
        <w:spacing w:line="520" w:lineRule="exact"/>
        <w:ind w:firstLine="640" w:firstLineChars="200"/>
        <w:outlineLvl w:val="2"/>
        <w:rPr>
          <w:rFonts w:eastAsia="仿宋"/>
          <w:bCs/>
          <w:sz w:val="32"/>
          <w:szCs w:val="32"/>
        </w:rPr>
      </w:pPr>
      <w:r>
        <w:rPr>
          <w:rFonts w:eastAsia="仿宋"/>
          <w:bCs/>
          <w:sz w:val="32"/>
          <w:szCs w:val="32"/>
        </w:rPr>
        <w:t>1.产品名称</w:t>
      </w:r>
    </w:p>
    <w:p w14:paraId="7A9D7101">
      <w:pPr>
        <w:spacing w:line="520" w:lineRule="exact"/>
        <w:ind w:firstLine="640" w:firstLineChars="200"/>
        <w:rPr>
          <w:rFonts w:eastAsia="仿宋"/>
          <w:bCs/>
          <w:sz w:val="32"/>
          <w:szCs w:val="32"/>
        </w:rPr>
      </w:pPr>
      <w:r>
        <w:rPr>
          <w:rFonts w:hint="eastAsia" w:eastAsia="仿宋_GB2312"/>
          <w:bCs/>
          <w:snapToGrid w:val="0"/>
          <w:kern w:val="0"/>
          <w:sz w:val="32"/>
          <w:szCs w:val="32"/>
        </w:rPr>
        <w:t>产品命名需符合《医疗器械通用名称命名规则》的要求</w:t>
      </w:r>
      <w:r>
        <w:rPr>
          <w:rFonts w:eastAsia="仿宋"/>
          <w:bCs/>
          <w:sz w:val="32"/>
          <w:szCs w:val="32"/>
        </w:rPr>
        <w:t>。产品名称通常由一个核心词和不超过三个的特征词组成，并以体现产品技术结构特征、功能属性以及自动化程度为基本准则</w:t>
      </w:r>
      <w:r>
        <w:rPr>
          <w:rFonts w:hint="eastAsia" w:eastAsia="仿宋"/>
          <w:bCs/>
          <w:sz w:val="32"/>
          <w:szCs w:val="32"/>
        </w:rPr>
        <w:t>，</w:t>
      </w:r>
      <w:r>
        <w:rPr>
          <w:rFonts w:hint="eastAsia" w:eastAsia="仿宋_GB2312"/>
          <w:bCs/>
          <w:sz w:val="32"/>
          <w:szCs w:val="32"/>
        </w:rPr>
        <w:t>例如：生物芯片分析仪、全自动生物芯片分析仪、生物芯片阅读仪、微阵列芯片扫描仪</w:t>
      </w:r>
      <w:r>
        <w:rPr>
          <w:rFonts w:eastAsia="仿宋"/>
          <w:bCs/>
          <w:sz w:val="32"/>
          <w:szCs w:val="32"/>
        </w:rPr>
        <w:t>。</w:t>
      </w:r>
    </w:p>
    <w:p w14:paraId="1CA2067D">
      <w:pPr>
        <w:spacing w:line="520" w:lineRule="exact"/>
        <w:ind w:firstLine="640" w:firstLineChars="200"/>
        <w:outlineLvl w:val="2"/>
        <w:rPr>
          <w:rFonts w:eastAsia="仿宋"/>
          <w:bCs/>
          <w:sz w:val="32"/>
          <w:szCs w:val="32"/>
        </w:rPr>
      </w:pPr>
      <w:r>
        <w:rPr>
          <w:rFonts w:eastAsia="仿宋"/>
          <w:bCs/>
          <w:sz w:val="32"/>
          <w:szCs w:val="32"/>
        </w:rPr>
        <w:t>2.分类编码</w:t>
      </w:r>
    </w:p>
    <w:p w14:paraId="3B9297A6">
      <w:pPr>
        <w:spacing w:line="520" w:lineRule="exact"/>
        <w:ind w:firstLine="640" w:firstLineChars="200"/>
        <w:rPr>
          <w:rFonts w:eastAsia="仿宋"/>
          <w:bCs/>
          <w:sz w:val="32"/>
          <w:szCs w:val="32"/>
        </w:rPr>
      </w:pPr>
      <w:r>
        <w:rPr>
          <w:rFonts w:eastAsia="仿宋"/>
          <w:bCs/>
          <w:sz w:val="32"/>
          <w:szCs w:val="32"/>
        </w:rPr>
        <w:t>按照《医疗器械分类目录》，产品的管理类别为Ⅱ类，产品分类编码为22-</w:t>
      </w:r>
      <w:r>
        <w:rPr>
          <w:rFonts w:hint="eastAsia" w:eastAsia="仿宋"/>
          <w:bCs/>
          <w:sz w:val="32"/>
          <w:szCs w:val="32"/>
        </w:rPr>
        <w:t>10</w:t>
      </w:r>
      <w:r>
        <w:rPr>
          <w:rFonts w:eastAsia="仿宋"/>
          <w:bCs/>
          <w:sz w:val="32"/>
          <w:szCs w:val="32"/>
        </w:rPr>
        <w:t>-0</w:t>
      </w:r>
      <w:r>
        <w:rPr>
          <w:rFonts w:hint="eastAsia" w:eastAsia="仿宋"/>
          <w:bCs/>
          <w:sz w:val="32"/>
          <w:szCs w:val="32"/>
        </w:rPr>
        <w:t>8</w:t>
      </w:r>
      <w:r>
        <w:rPr>
          <w:rFonts w:eastAsia="仿宋"/>
          <w:bCs/>
          <w:sz w:val="32"/>
          <w:szCs w:val="32"/>
        </w:rPr>
        <w:t>。</w:t>
      </w:r>
    </w:p>
    <w:p w14:paraId="45656CFD">
      <w:pPr>
        <w:spacing w:line="520" w:lineRule="exact"/>
        <w:ind w:firstLine="640" w:firstLineChars="200"/>
        <w:outlineLvl w:val="2"/>
        <w:rPr>
          <w:rFonts w:eastAsia="仿宋"/>
          <w:bCs/>
          <w:sz w:val="32"/>
          <w:szCs w:val="32"/>
        </w:rPr>
      </w:pPr>
      <w:r>
        <w:rPr>
          <w:rFonts w:eastAsia="仿宋"/>
          <w:bCs/>
          <w:sz w:val="32"/>
          <w:szCs w:val="32"/>
        </w:rPr>
        <w:t>3.注册单元划分的原则和实例</w:t>
      </w:r>
    </w:p>
    <w:p w14:paraId="4365FA5A">
      <w:pPr>
        <w:spacing w:line="520" w:lineRule="exact"/>
        <w:ind w:firstLine="640" w:firstLineChars="200"/>
        <w:rPr>
          <w:rFonts w:eastAsia="仿宋"/>
          <w:bCs/>
          <w:sz w:val="32"/>
          <w:szCs w:val="32"/>
        </w:rPr>
      </w:pPr>
      <w:r>
        <w:rPr>
          <w:rFonts w:eastAsia="仿宋"/>
          <w:bCs/>
          <w:sz w:val="32"/>
          <w:szCs w:val="32"/>
        </w:rPr>
        <w:t>参照《医疗器械注册单元划分指导原则》</w:t>
      </w:r>
      <w:r>
        <w:rPr>
          <w:rFonts w:eastAsia="仿宋"/>
          <w:bCs/>
          <w:kern w:val="0"/>
          <w:sz w:val="32"/>
          <w:szCs w:val="32"/>
        </w:rPr>
        <w:t>中有源医疗器械注册单元划分的基本原则进行划分。</w:t>
      </w:r>
      <w:r>
        <w:rPr>
          <w:rFonts w:eastAsia="仿宋"/>
          <w:bCs/>
          <w:sz w:val="32"/>
          <w:szCs w:val="32"/>
        </w:rPr>
        <w:t>注册单元划分原则上以产品的技术原理、结构组成、性能指标和适用范围为划分依据，</w:t>
      </w:r>
      <w:r>
        <w:rPr>
          <w:rFonts w:eastAsia="仿宋"/>
          <w:bCs/>
          <w:kern w:val="0"/>
          <w:sz w:val="32"/>
          <w:szCs w:val="32"/>
        </w:rPr>
        <w:t>同一注册单元</w:t>
      </w:r>
      <w:r>
        <w:rPr>
          <w:rFonts w:hint="eastAsia" w:eastAsia="仿宋"/>
          <w:bCs/>
          <w:kern w:val="0"/>
          <w:sz w:val="32"/>
          <w:szCs w:val="32"/>
        </w:rPr>
        <w:t>生物芯片分析仪</w:t>
      </w:r>
      <w:r>
        <w:rPr>
          <w:rFonts w:eastAsia="仿宋"/>
          <w:bCs/>
          <w:kern w:val="0"/>
          <w:sz w:val="32"/>
          <w:szCs w:val="32"/>
        </w:rPr>
        <w:t>的技术原理、结构组成、性能指标和适用范围应基本一致</w:t>
      </w:r>
      <w:r>
        <w:rPr>
          <w:rFonts w:eastAsia="仿宋"/>
          <w:bCs/>
          <w:sz w:val="32"/>
          <w:szCs w:val="32"/>
        </w:rPr>
        <w:t>。</w:t>
      </w:r>
      <w:r>
        <w:rPr>
          <w:rFonts w:hint="eastAsia" w:eastAsia="仿宋"/>
          <w:bCs/>
          <w:sz w:val="32"/>
          <w:szCs w:val="32"/>
        </w:rPr>
        <w:t>生物芯片分析仪</w:t>
      </w:r>
      <w:r>
        <w:rPr>
          <w:rFonts w:eastAsia="仿宋"/>
          <w:bCs/>
          <w:sz w:val="32"/>
          <w:szCs w:val="32"/>
        </w:rPr>
        <w:t>注册单元划分建议重点关注以下方面。</w:t>
      </w:r>
    </w:p>
    <w:p w14:paraId="784A1AF0">
      <w:pPr>
        <w:spacing w:line="520" w:lineRule="exact"/>
        <w:ind w:firstLine="640" w:firstLineChars="200"/>
        <w:outlineLvl w:val="3"/>
        <w:rPr>
          <w:rFonts w:eastAsia="仿宋"/>
          <w:bCs/>
          <w:sz w:val="32"/>
          <w:szCs w:val="32"/>
        </w:rPr>
      </w:pPr>
      <w:r>
        <w:rPr>
          <w:rFonts w:eastAsia="仿宋"/>
          <w:bCs/>
          <w:sz w:val="32"/>
          <w:szCs w:val="32"/>
        </w:rPr>
        <w:t>3.1技术原理</w:t>
      </w:r>
      <w:r>
        <w:rPr>
          <w:rFonts w:hint="eastAsia" w:eastAsia="仿宋"/>
          <w:bCs/>
          <w:sz w:val="32"/>
          <w:szCs w:val="32"/>
        </w:rPr>
        <w:t xml:space="preserve"> </w:t>
      </w:r>
    </w:p>
    <w:p w14:paraId="6781A207">
      <w:pPr>
        <w:spacing w:line="520" w:lineRule="exact"/>
        <w:ind w:firstLine="640" w:firstLineChars="200"/>
        <w:rPr>
          <w:rFonts w:eastAsia="仿宋"/>
          <w:bCs/>
          <w:sz w:val="32"/>
          <w:szCs w:val="32"/>
        </w:rPr>
      </w:pPr>
      <w:r>
        <w:rPr>
          <w:rFonts w:hint="eastAsia" w:eastAsia="仿宋"/>
          <w:bCs/>
          <w:sz w:val="32"/>
          <w:szCs w:val="32"/>
        </w:rPr>
        <w:t>采用不同反应原理的产品，如</w:t>
      </w:r>
      <w:r>
        <w:rPr>
          <w:rFonts w:eastAsia="仿宋"/>
          <w:bCs/>
          <w:sz w:val="32"/>
          <w:szCs w:val="32"/>
        </w:rPr>
        <w:t>核酸杂交、免疫反应</w:t>
      </w:r>
      <w:r>
        <w:rPr>
          <w:rFonts w:hint="eastAsia" w:eastAsia="仿宋"/>
          <w:bCs/>
          <w:sz w:val="32"/>
          <w:szCs w:val="32"/>
        </w:rPr>
        <w:t>产品，应划分为不同注册单元</w:t>
      </w:r>
      <w:r>
        <w:rPr>
          <w:rFonts w:eastAsia="仿宋"/>
          <w:bCs/>
          <w:sz w:val="32"/>
          <w:szCs w:val="32"/>
        </w:rPr>
        <w:t>。</w:t>
      </w:r>
    </w:p>
    <w:p w14:paraId="4BEE08D4">
      <w:pPr>
        <w:spacing w:line="520" w:lineRule="exact"/>
        <w:ind w:firstLine="640" w:firstLineChars="200"/>
        <w:outlineLvl w:val="3"/>
        <w:rPr>
          <w:rFonts w:eastAsia="仿宋"/>
          <w:bCs/>
          <w:sz w:val="32"/>
          <w:szCs w:val="32"/>
        </w:rPr>
      </w:pPr>
      <w:r>
        <w:rPr>
          <w:rFonts w:hint="eastAsia" w:eastAsia="仿宋"/>
          <w:bCs/>
          <w:sz w:val="32"/>
          <w:szCs w:val="32"/>
        </w:rPr>
        <w:t>3.2光检测装置</w:t>
      </w:r>
    </w:p>
    <w:p w14:paraId="20D3DB20">
      <w:pPr>
        <w:spacing w:line="520" w:lineRule="exact"/>
        <w:ind w:firstLine="640" w:firstLineChars="200"/>
        <w:rPr>
          <w:rFonts w:eastAsia="仿宋"/>
          <w:bCs/>
          <w:sz w:val="32"/>
          <w:szCs w:val="32"/>
        </w:rPr>
      </w:pPr>
      <w:r>
        <w:rPr>
          <w:rFonts w:hint="eastAsia" w:eastAsia="仿宋"/>
          <w:bCs/>
          <w:sz w:val="32"/>
          <w:szCs w:val="32"/>
        </w:rPr>
        <w:t>采用不同原理的光检测装置的产品，</w:t>
      </w:r>
      <w:r>
        <w:rPr>
          <w:rFonts w:eastAsia="仿宋"/>
          <w:bCs/>
          <w:sz w:val="32"/>
          <w:szCs w:val="32"/>
        </w:rPr>
        <w:t>建议划分为不同的注册单元</w:t>
      </w:r>
      <w:r>
        <w:rPr>
          <w:rFonts w:hint="eastAsia" w:eastAsia="仿宋"/>
          <w:bCs/>
          <w:sz w:val="32"/>
          <w:szCs w:val="32"/>
        </w:rPr>
        <w:t>，如光电倍增管(PMT)、CMOS/CCD相机</w:t>
      </w:r>
      <w:r>
        <w:rPr>
          <w:rFonts w:eastAsia="仿宋"/>
          <w:bCs/>
          <w:sz w:val="32"/>
          <w:szCs w:val="32"/>
        </w:rPr>
        <w:t>。</w:t>
      </w:r>
    </w:p>
    <w:p w14:paraId="084E356D">
      <w:pPr>
        <w:overflowPunct w:val="0"/>
        <w:autoSpaceDE w:val="0"/>
        <w:autoSpaceDN w:val="0"/>
        <w:spacing w:line="520" w:lineRule="exact"/>
        <w:ind w:left="221" w:firstLine="640" w:firstLineChars="200"/>
        <w:outlineLvl w:val="1"/>
        <w:rPr>
          <w:rFonts w:eastAsia="楷体_GB2312"/>
          <w:color w:val="000000"/>
          <w:sz w:val="32"/>
          <w:szCs w:val="32"/>
        </w:rPr>
      </w:pPr>
      <w:r>
        <w:rPr>
          <w:rFonts w:hint="eastAsia" w:eastAsia="楷体_GB2312"/>
          <w:color w:val="000000"/>
          <w:sz w:val="32"/>
          <w:szCs w:val="32"/>
        </w:rPr>
        <w:t>（二）综述资料</w:t>
      </w:r>
    </w:p>
    <w:p w14:paraId="511669DD">
      <w:pPr>
        <w:pStyle w:val="37"/>
        <w:overflowPunct w:val="0"/>
        <w:autoSpaceDE w:val="0"/>
        <w:autoSpaceDN w:val="0"/>
        <w:spacing w:line="520" w:lineRule="exact"/>
        <w:ind w:right="210" w:firstLine="640"/>
        <w:outlineLvl w:val="2"/>
        <w:rPr>
          <w:rFonts w:ascii="Times New Roman" w:hAnsi="Times New Roman" w:eastAsia="楷体_GB2312"/>
          <w:color w:val="000000"/>
          <w:sz w:val="32"/>
          <w:szCs w:val="32"/>
        </w:rPr>
      </w:pPr>
      <w:r>
        <w:rPr>
          <w:rFonts w:hint="eastAsia" w:ascii="Times New Roman" w:hAnsi="Times New Roman" w:eastAsia="楷体_GB2312"/>
          <w:color w:val="000000"/>
          <w:sz w:val="32"/>
          <w:szCs w:val="32"/>
        </w:rPr>
        <w:t>1.</w:t>
      </w:r>
      <w:r>
        <w:rPr>
          <w:rFonts w:hint="eastAsia" w:ascii="Times New Roman" w:hAnsi="Times New Roman" w:eastAsia="仿宋_GB2312"/>
          <w:color w:val="000000"/>
          <w:sz w:val="32"/>
          <w:szCs w:val="32"/>
        </w:rPr>
        <w:t>产品描述</w:t>
      </w:r>
    </w:p>
    <w:p w14:paraId="63E82118">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1.1器械及操作原理描述</w:t>
      </w:r>
    </w:p>
    <w:p w14:paraId="665CAC42">
      <w:pPr>
        <w:pStyle w:val="37"/>
        <w:overflowPunct w:val="0"/>
        <w:autoSpaceDE w:val="0"/>
        <w:autoSpaceDN w:val="0"/>
        <w:spacing w:line="520" w:lineRule="exact"/>
        <w:ind w:right="210" w:firstLine="640"/>
        <w:outlineLvl w:val="4"/>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1.1.1</w:t>
      </w:r>
      <w:r>
        <w:rPr>
          <w:rFonts w:ascii="Times New Roman" w:hAnsi="Times New Roman" w:eastAsia="仿宋_GB2312"/>
          <w:snapToGrid w:val="0"/>
          <w:kern w:val="0"/>
          <w:sz w:val="32"/>
          <w:szCs w:val="32"/>
        </w:rPr>
        <w:t>工作原理</w:t>
      </w:r>
    </w:p>
    <w:p w14:paraId="5DDA21C0">
      <w:pPr>
        <w:spacing w:line="520" w:lineRule="exact"/>
        <w:ind w:firstLine="640" w:firstLineChars="200"/>
        <w:rPr>
          <w:rFonts w:eastAsia="仿宋"/>
          <w:bCs/>
          <w:sz w:val="32"/>
          <w:szCs w:val="32"/>
        </w:rPr>
      </w:pPr>
      <w:r>
        <w:rPr>
          <w:rFonts w:hint="eastAsia" w:eastAsia="仿宋"/>
          <w:bCs/>
          <w:sz w:val="32"/>
          <w:szCs w:val="32"/>
        </w:rPr>
        <w:t>用于核酸检测的分析仪原理为将核酸样本靶标特异性固着于经修饰的玻片、硅片、凝胶、膜等固相基质上，</w:t>
      </w:r>
      <w:r>
        <w:rPr>
          <w:rFonts w:eastAsia="仿宋"/>
          <w:bCs/>
          <w:sz w:val="32"/>
          <w:szCs w:val="32"/>
        </w:rPr>
        <w:t>基于</w:t>
      </w:r>
      <w:r>
        <w:rPr>
          <w:rFonts w:hint="eastAsia" w:eastAsia="仿宋"/>
          <w:bCs/>
          <w:sz w:val="32"/>
          <w:szCs w:val="32"/>
        </w:rPr>
        <w:t>荧光检测</w:t>
      </w:r>
      <w:r>
        <w:rPr>
          <w:rFonts w:eastAsia="仿宋"/>
          <w:bCs/>
          <w:sz w:val="32"/>
          <w:szCs w:val="32"/>
        </w:rPr>
        <w:t>原理</w:t>
      </w:r>
      <w:r>
        <w:rPr>
          <w:rFonts w:hint="eastAsia" w:eastAsia="仿宋"/>
          <w:bCs/>
          <w:sz w:val="32"/>
          <w:szCs w:val="32"/>
        </w:rPr>
        <w:t>，激光光束通过激发</w:t>
      </w:r>
      <w:r>
        <w:rPr>
          <w:rFonts w:eastAsia="仿宋"/>
          <w:bCs/>
          <w:sz w:val="32"/>
          <w:szCs w:val="32"/>
        </w:rPr>
        <w:t>光路系统</w:t>
      </w:r>
      <w:r>
        <w:rPr>
          <w:rFonts w:hint="eastAsia" w:eastAsia="仿宋"/>
          <w:bCs/>
          <w:sz w:val="32"/>
          <w:szCs w:val="32"/>
        </w:rPr>
        <w:t>由物镜聚焦至生物芯片表面，激发样本产生荧光。荧光通过接收光路系统收集，由光电探测器完成光电信号转换上传数据形成图像，或由相机拍摄成像，由随机</w:t>
      </w:r>
      <w:r>
        <w:rPr>
          <w:rFonts w:eastAsia="仿宋"/>
          <w:bCs/>
          <w:sz w:val="32"/>
          <w:szCs w:val="32"/>
        </w:rPr>
        <w:t>软件分析实现样本检测</w:t>
      </w:r>
      <w:r>
        <w:rPr>
          <w:rFonts w:hint="eastAsia" w:eastAsia="仿宋"/>
          <w:bCs/>
          <w:sz w:val="32"/>
          <w:szCs w:val="32"/>
        </w:rPr>
        <w:t xml:space="preserve">。 </w:t>
      </w:r>
    </w:p>
    <w:p w14:paraId="44F5AF6C">
      <w:pPr>
        <w:spacing w:line="520" w:lineRule="exact"/>
        <w:ind w:firstLine="640" w:firstLineChars="200"/>
        <w:rPr>
          <w:rFonts w:eastAsia="仿宋_GB2312"/>
          <w:bCs/>
          <w:sz w:val="32"/>
          <w:szCs w:val="32"/>
        </w:rPr>
      </w:pPr>
      <w:r>
        <w:rPr>
          <w:rFonts w:hint="eastAsia" w:eastAsia="仿宋"/>
          <w:bCs/>
          <w:sz w:val="32"/>
          <w:szCs w:val="32"/>
        </w:rPr>
        <w:t>用于蛋白检测的</w:t>
      </w:r>
      <w:r>
        <w:rPr>
          <w:rFonts w:eastAsia="仿宋"/>
          <w:bCs/>
          <w:sz w:val="32"/>
          <w:szCs w:val="32"/>
        </w:rPr>
        <w:t>分析仪</w:t>
      </w:r>
      <w:r>
        <w:rPr>
          <w:rFonts w:hint="eastAsia" w:eastAsia="仿宋"/>
          <w:bCs/>
          <w:sz w:val="32"/>
          <w:szCs w:val="32"/>
        </w:rPr>
        <w:t>原理为将蛋白样本靶标特异性固着于经修饰的玻片、硅片、凝胶、膜等等固相基质上，</w:t>
      </w:r>
      <w:r>
        <w:rPr>
          <w:rFonts w:eastAsia="仿宋"/>
          <w:bCs/>
          <w:sz w:val="32"/>
          <w:szCs w:val="32"/>
        </w:rPr>
        <w:t>通过</w:t>
      </w:r>
      <w:r>
        <w:rPr>
          <w:rFonts w:hint="eastAsia" w:eastAsia="仿宋"/>
          <w:bCs/>
          <w:sz w:val="32"/>
          <w:szCs w:val="32"/>
        </w:rPr>
        <w:t>分子相互作用，</w:t>
      </w:r>
      <w:r>
        <w:rPr>
          <w:rFonts w:eastAsia="仿宋_GB2312"/>
          <w:bCs/>
          <w:kern w:val="0"/>
          <w:sz w:val="32"/>
          <w:szCs w:val="32"/>
        </w:rPr>
        <w:t>根据反应的模式不同，可分为夹心法、竞争法、捕获法等。</w:t>
      </w:r>
      <w:r>
        <w:rPr>
          <w:rFonts w:hint="eastAsia" w:eastAsia="仿宋"/>
          <w:bCs/>
          <w:sz w:val="32"/>
          <w:szCs w:val="32"/>
        </w:rPr>
        <w:t>将示踪物直接标记在抗原或抗体上</w:t>
      </w:r>
      <w:r>
        <w:rPr>
          <w:rFonts w:eastAsia="仿宋_GB2312"/>
          <w:bCs/>
          <w:sz w:val="32"/>
          <w:szCs w:val="32"/>
        </w:rPr>
        <w:t>，产生的光信号的强度与待测物的浓度可成比例。</w:t>
      </w:r>
      <w:r>
        <w:rPr>
          <w:rFonts w:eastAsia="仿宋_GB2312"/>
          <w:bCs/>
          <w:kern w:val="0"/>
          <w:sz w:val="32"/>
          <w:szCs w:val="32"/>
        </w:rPr>
        <w:t>无论基于何种免疫反应模式，其最终结果均需要通过</w:t>
      </w:r>
      <w:r>
        <w:rPr>
          <w:rFonts w:hint="eastAsia" w:eastAsia="仿宋"/>
          <w:bCs/>
          <w:sz w:val="32"/>
          <w:szCs w:val="32"/>
        </w:rPr>
        <w:t>光电信号采集模块采集生物芯片的光信号</w:t>
      </w:r>
      <w:r>
        <w:rPr>
          <w:rFonts w:eastAsia="仿宋_GB2312"/>
          <w:bCs/>
          <w:kern w:val="0"/>
          <w:sz w:val="32"/>
          <w:szCs w:val="32"/>
        </w:rPr>
        <w:t>，</w:t>
      </w:r>
      <w:r>
        <w:rPr>
          <w:rFonts w:hint="eastAsia" w:eastAsia="仿宋"/>
          <w:bCs/>
          <w:sz w:val="32"/>
          <w:szCs w:val="32"/>
        </w:rPr>
        <w:t>通过软件进行分析，由分析软件信号强度（RLU值）代入校准曲线方程中计算出被测样本中被分析物的浓度。目前，生物芯片分析仪器中核心探测器件为光电倍增管（PMT）、CMOS/CCD相机或其他高灵敏度传感器，将光信号转换成数字信号，并由数据处理软件进行分析计算，得出被分析物的浓度值。</w:t>
      </w:r>
    </w:p>
    <w:p w14:paraId="505CAC7F">
      <w:pPr>
        <w:spacing w:line="520" w:lineRule="exact"/>
        <w:ind w:firstLine="640" w:firstLineChars="200"/>
        <w:rPr>
          <w:rFonts w:eastAsia="仿宋"/>
          <w:bCs/>
          <w:sz w:val="32"/>
          <w:szCs w:val="32"/>
        </w:rPr>
      </w:pPr>
      <w:r>
        <w:rPr>
          <w:rFonts w:eastAsia="仿宋_GB2312"/>
          <w:bCs/>
          <w:kern w:val="0"/>
          <w:sz w:val="32"/>
          <w:szCs w:val="32"/>
        </w:rPr>
        <w:t>申请人应当根据申报产品的设计要求按照反应步骤写明工作原理，重点对免疫反应及光检测装置进行描述，可采用文字加图示的方式对上述装置的工作原理和结构组成进行详细描述，对申报产品能够进行的试验项目类型进行描述。</w:t>
      </w:r>
    </w:p>
    <w:p w14:paraId="6E9D5D7C">
      <w:pPr>
        <w:pStyle w:val="37"/>
        <w:overflowPunct w:val="0"/>
        <w:autoSpaceDE w:val="0"/>
        <w:autoSpaceDN w:val="0"/>
        <w:spacing w:line="520" w:lineRule="exact"/>
        <w:ind w:left="431" w:right="210" w:firstLine="200" w:firstLineChars="0"/>
        <w:outlineLvl w:val="4"/>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1.1.2</w:t>
      </w:r>
      <w:r>
        <w:rPr>
          <w:rFonts w:ascii="Times New Roman" w:hAnsi="Times New Roman" w:eastAsia="仿宋_GB2312"/>
          <w:snapToGrid w:val="0"/>
          <w:kern w:val="0"/>
          <w:sz w:val="32"/>
          <w:szCs w:val="32"/>
        </w:rPr>
        <w:t>结构</w:t>
      </w:r>
      <w:r>
        <w:rPr>
          <w:rFonts w:hint="eastAsia" w:ascii="Times New Roman" w:hAnsi="Times New Roman" w:eastAsia="仿宋_GB2312"/>
          <w:snapToGrid w:val="0"/>
          <w:kern w:val="0"/>
          <w:sz w:val="32"/>
          <w:szCs w:val="32"/>
        </w:rPr>
        <w:t>及</w:t>
      </w:r>
      <w:r>
        <w:rPr>
          <w:rFonts w:ascii="Times New Roman" w:hAnsi="Times New Roman" w:eastAsia="仿宋_GB2312"/>
          <w:snapToGrid w:val="0"/>
          <w:kern w:val="0"/>
          <w:sz w:val="32"/>
          <w:szCs w:val="32"/>
        </w:rPr>
        <w:t>组成</w:t>
      </w:r>
    </w:p>
    <w:p w14:paraId="6F4052E0">
      <w:pPr>
        <w:widowControl/>
        <w:spacing w:line="520" w:lineRule="exact"/>
        <w:ind w:right="-67" w:rightChars="-32" w:firstLine="640" w:firstLineChars="200"/>
        <w:rPr>
          <w:rFonts w:eastAsia="仿宋"/>
          <w:bCs/>
          <w:sz w:val="32"/>
          <w:szCs w:val="32"/>
        </w:rPr>
      </w:pPr>
      <w:r>
        <w:rPr>
          <w:rFonts w:eastAsia="仿宋"/>
          <w:bCs/>
          <w:sz w:val="32"/>
          <w:szCs w:val="32"/>
        </w:rPr>
        <w:t>申请人可根据拟申报产品的具体特征，详细描述结构组成（</w:t>
      </w:r>
      <w:r>
        <w:rPr>
          <w:rFonts w:hint="eastAsia" w:eastAsia="仿宋"/>
          <w:bCs/>
          <w:sz w:val="32"/>
          <w:szCs w:val="32"/>
        </w:rPr>
        <w:t>包括</w:t>
      </w:r>
      <w:r>
        <w:rPr>
          <w:rFonts w:eastAsia="仿宋"/>
          <w:bCs/>
          <w:sz w:val="32"/>
          <w:szCs w:val="32"/>
        </w:rPr>
        <w:t>软件组件以及配合使用的附件）、各模块的具体组成、产品的主要功能及各组成模块的功能、产品图示（如硬件结构图、产品工程图、关键组件工程图等）。</w:t>
      </w:r>
    </w:p>
    <w:p w14:paraId="0A7AA32A">
      <w:pPr>
        <w:widowControl/>
        <w:spacing w:line="520" w:lineRule="exact"/>
        <w:ind w:right="-67" w:rightChars="-32" w:firstLine="640" w:firstLineChars="200"/>
        <w:rPr>
          <w:rFonts w:eastAsia="仿宋"/>
          <w:bCs/>
          <w:sz w:val="32"/>
          <w:szCs w:val="32"/>
        </w:rPr>
      </w:pPr>
      <w:r>
        <w:rPr>
          <w:rFonts w:hint="eastAsia" w:eastAsia="仿宋"/>
          <w:bCs/>
          <w:sz w:val="32"/>
          <w:szCs w:val="32"/>
        </w:rPr>
        <w:t>用于核酸检测的分析仪通常由</w:t>
      </w:r>
      <w:r>
        <w:rPr>
          <w:rFonts w:eastAsia="仿宋"/>
          <w:bCs/>
          <w:sz w:val="32"/>
          <w:szCs w:val="32"/>
        </w:rPr>
        <w:t>光路系统、运动平台、调焦组件、电源模块、框架和外壳组件、软件</w:t>
      </w:r>
      <w:r>
        <w:rPr>
          <w:rFonts w:hint="eastAsia" w:eastAsia="仿宋"/>
          <w:bCs/>
          <w:sz w:val="32"/>
          <w:szCs w:val="32"/>
        </w:rPr>
        <w:t>组件等</w:t>
      </w:r>
      <w:r>
        <w:rPr>
          <w:rFonts w:eastAsia="仿宋"/>
          <w:bCs/>
          <w:sz w:val="32"/>
          <w:szCs w:val="32"/>
        </w:rPr>
        <w:t>组成。</w:t>
      </w:r>
    </w:p>
    <w:p w14:paraId="760B4A02">
      <w:pPr>
        <w:spacing w:line="520" w:lineRule="exact"/>
        <w:ind w:firstLine="640" w:firstLineChars="200"/>
        <w:rPr>
          <w:rFonts w:eastAsia="仿宋"/>
          <w:bCs/>
          <w:sz w:val="32"/>
          <w:szCs w:val="32"/>
        </w:rPr>
      </w:pPr>
      <w:bookmarkStart w:id="1" w:name="_Hlk69140517"/>
      <w:bookmarkStart w:id="2" w:name="_Hlk69049698"/>
      <w:r>
        <w:rPr>
          <w:rFonts w:hint="eastAsia" w:eastAsia="仿宋"/>
          <w:bCs/>
          <w:sz w:val="32"/>
          <w:szCs w:val="32"/>
        </w:rPr>
        <w:t>用于蛋白检测的</w:t>
      </w:r>
      <w:r>
        <w:rPr>
          <w:rFonts w:eastAsia="仿宋"/>
          <w:bCs/>
          <w:sz w:val="32"/>
          <w:szCs w:val="32"/>
        </w:rPr>
        <w:t>分析仪由芯片加载模块、进样模块</w:t>
      </w:r>
      <w:r>
        <w:rPr>
          <w:rFonts w:hint="eastAsia" w:eastAsia="仿宋"/>
          <w:bCs/>
          <w:sz w:val="32"/>
          <w:szCs w:val="32"/>
        </w:rPr>
        <w:t>（如适用）</w:t>
      </w:r>
      <w:r>
        <w:rPr>
          <w:rFonts w:eastAsia="仿宋"/>
          <w:bCs/>
          <w:sz w:val="32"/>
          <w:szCs w:val="32"/>
        </w:rPr>
        <w:t>、试剂模块、</w:t>
      </w:r>
      <w:r>
        <w:rPr>
          <w:rFonts w:hint="eastAsia" w:eastAsia="仿宋"/>
          <w:bCs/>
          <w:sz w:val="32"/>
          <w:szCs w:val="32"/>
        </w:rPr>
        <w:t>温度控制模块</w:t>
      </w:r>
      <w:r>
        <w:rPr>
          <w:rFonts w:eastAsia="仿宋"/>
          <w:bCs/>
          <w:sz w:val="32"/>
          <w:szCs w:val="32"/>
        </w:rPr>
        <w:t>、清洗分离模块、</w:t>
      </w:r>
      <w:r>
        <w:rPr>
          <w:rFonts w:eastAsia="仿宋_GB2312"/>
          <w:bCs/>
          <w:kern w:val="0"/>
          <w:sz w:val="32"/>
          <w:szCs w:val="32"/>
        </w:rPr>
        <w:t>光路检测模块</w:t>
      </w:r>
      <w:r>
        <w:rPr>
          <w:rFonts w:eastAsia="仿宋"/>
          <w:bCs/>
          <w:sz w:val="32"/>
          <w:szCs w:val="32"/>
        </w:rPr>
        <w:t>、</w:t>
      </w:r>
      <w:r>
        <w:rPr>
          <w:rFonts w:hint="eastAsia" w:eastAsia="仿宋"/>
          <w:bCs/>
          <w:sz w:val="32"/>
          <w:szCs w:val="32"/>
        </w:rPr>
        <w:t>电路控制模块、</w:t>
      </w:r>
      <w:r>
        <w:rPr>
          <w:rFonts w:eastAsia="仿宋"/>
          <w:bCs/>
          <w:sz w:val="32"/>
          <w:szCs w:val="32"/>
        </w:rPr>
        <w:t>软件组件</w:t>
      </w:r>
      <w:r>
        <w:rPr>
          <w:rFonts w:hint="eastAsia" w:eastAsia="仿宋"/>
          <w:bCs/>
          <w:sz w:val="32"/>
          <w:szCs w:val="32"/>
        </w:rPr>
        <w:t>等</w:t>
      </w:r>
      <w:r>
        <w:rPr>
          <w:rFonts w:eastAsia="仿宋"/>
          <w:bCs/>
          <w:sz w:val="32"/>
          <w:szCs w:val="32"/>
        </w:rPr>
        <w:t>组成</w:t>
      </w:r>
      <w:r>
        <w:rPr>
          <w:rFonts w:hint="eastAsia" w:eastAsia="仿宋"/>
          <w:bCs/>
          <w:sz w:val="32"/>
          <w:szCs w:val="32"/>
        </w:rPr>
        <w:t>。</w:t>
      </w:r>
    </w:p>
    <w:p w14:paraId="7F23A299">
      <w:pPr>
        <w:spacing w:line="520" w:lineRule="exact"/>
        <w:ind w:firstLine="640" w:firstLineChars="200"/>
        <w:rPr>
          <w:rFonts w:eastAsia="仿宋"/>
          <w:bCs/>
          <w:sz w:val="32"/>
          <w:szCs w:val="32"/>
        </w:rPr>
      </w:pPr>
      <w:r>
        <w:rPr>
          <w:rFonts w:hint="eastAsia" w:eastAsia="仿宋"/>
          <w:bCs/>
          <w:sz w:val="32"/>
          <w:szCs w:val="32"/>
        </w:rPr>
        <w:t>软件组件需描述软件名称、型号规格（若适用）、发布版本号</w:t>
      </w:r>
      <w:r>
        <w:rPr>
          <w:rFonts w:eastAsia="仿宋"/>
          <w:bCs/>
          <w:sz w:val="32"/>
          <w:szCs w:val="32"/>
        </w:rPr>
        <w:t>。</w:t>
      </w:r>
    </w:p>
    <w:p w14:paraId="269AB902">
      <w:pPr>
        <w:spacing w:line="520" w:lineRule="exact"/>
        <w:ind w:firstLine="640" w:firstLineChars="200"/>
        <w:rPr>
          <w:rFonts w:eastAsia="仿宋"/>
          <w:bCs/>
          <w:sz w:val="32"/>
          <w:szCs w:val="32"/>
        </w:rPr>
      </w:pPr>
      <w:r>
        <w:rPr>
          <w:rFonts w:eastAsia="仿宋"/>
          <w:bCs/>
          <w:sz w:val="32"/>
          <w:szCs w:val="32"/>
        </w:rPr>
        <w:t>不同生产企业的产品，在结构上可能存在一定差异，申请人应当根据拟申报产品的具体特征详细描述各组成模块、各模块的具体组成部分以及各关键元器件/部件的名称、生产企业和质量标准，并详细描述申报产品的主要功能及各组成模块的功能，可以采用图示结合文字描述的形式给予明确说明。</w:t>
      </w:r>
    </w:p>
    <w:p w14:paraId="2DC236F4">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1</w:t>
      </w:r>
      <w:r>
        <w:rPr>
          <w:rFonts w:ascii="Times New Roman" w:hAnsi="Times New Roman" w:eastAsia="仿宋_GB2312"/>
          <w:snapToGrid w:val="0"/>
          <w:kern w:val="0"/>
          <w:sz w:val="32"/>
          <w:szCs w:val="32"/>
        </w:rPr>
        <w:t>.2型号规格</w:t>
      </w:r>
    </w:p>
    <w:p w14:paraId="0185F0B9">
      <w:pPr>
        <w:pStyle w:val="32"/>
        <w:ind w:firstLine="640"/>
        <w:rPr>
          <w:rFonts w:eastAsia="仿宋"/>
          <w:bCs/>
          <w:sz w:val="32"/>
          <w:szCs w:val="32"/>
        </w:rPr>
      </w:pPr>
      <w:r>
        <w:rPr>
          <w:rFonts w:eastAsia="仿宋"/>
          <w:bCs/>
          <w:sz w:val="32"/>
          <w:szCs w:val="32"/>
        </w:rPr>
        <w:t>对于同一注册单元申报产品存在多种型号规格的，应当明确各型号规格之间的区别，应当采用表格加说明性文字的图片、图表，对各型号规格的结构组成（或配置）、功能、产品特征和运行模式、技术参数、性能指标等方面的差异进行描述。</w:t>
      </w:r>
    </w:p>
    <w:bookmarkEnd w:id="1"/>
    <w:bookmarkEnd w:id="2"/>
    <w:p w14:paraId="3EBE7074">
      <w:pPr>
        <w:spacing w:line="520" w:lineRule="exact"/>
        <w:ind w:firstLine="640" w:firstLineChars="200"/>
        <w:outlineLvl w:val="2"/>
        <w:rPr>
          <w:rFonts w:eastAsia="仿宋_GB2312"/>
        </w:rPr>
      </w:pPr>
      <w:r>
        <w:rPr>
          <w:rFonts w:hint="eastAsia" w:eastAsia="仿宋_GB2312"/>
          <w:color w:val="000000"/>
          <w:sz w:val="32"/>
          <w:szCs w:val="32"/>
        </w:rPr>
        <w:t>2.适用范围和禁忌证</w:t>
      </w:r>
    </w:p>
    <w:p w14:paraId="2AECDC9F">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2.1</w:t>
      </w:r>
      <w:r>
        <w:rPr>
          <w:rFonts w:ascii="Times New Roman" w:hAnsi="Times New Roman" w:eastAsia="仿宋_GB2312"/>
          <w:snapToGrid w:val="0"/>
          <w:kern w:val="0"/>
          <w:sz w:val="32"/>
          <w:szCs w:val="32"/>
        </w:rPr>
        <w:t>适用范围</w:t>
      </w:r>
    </w:p>
    <w:p w14:paraId="3E6A60A5">
      <w:pPr>
        <w:spacing w:line="520" w:lineRule="exact"/>
        <w:ind w:firstLine="640" w:firstLineChars="200"/>
        <w:rPr>
          <w:rFonts w:eastAsia="仿宋"/>
          <w:bCs/>
          <w:sz w:val="32"/>
          <w:szCs w:val="32"/>
        </w:rPr>
      </w:pPr>
      <w:r>
        <w:rPr>
          <w:rFonts w:hint="eastAsia" w:eastAsia="仿宋"/>
          <w:bCs/>
          <w:sz w:val="32"/>
          <w:szCs w:val="32"/>
        </w:rPr>
        <w:t>2</w:t>
      </w:r>
      <w:r>
        <w:rPr>
          <w:rFonts w:eastAsia="仿宋"/>
          <w:bCs/>
          <w:sz w:val="32"/>
          <w:szCs w:val="32"/>
        </w:rPr>
        <w:t>.1.1产品适用范围应与申报产品的产品功能保持一致。适用范围一般可描述为：与适配试剂盒、仪器配合使用，用于核酸</w:t>
      </w:r>
      <w:r>
        <w:rPr>
          <w:rFonts w:hint="eastAsia" w:eastAsia="仿宋"/>
          <w:bCs/>
          <w:sz w:val="32"/>
          <w:szCs w:val="32"/>
        </w:rPr>
        <w:t>/</w:t>
      </w:r>
      <w:r>
        <w:rPr>
          <w:rFonts w:eastAsia="仿宋"/>
          <w:bCs/>
          <w:sz w:val="32"/>
          <w:szCs w:val="32"/>
        </w:rPr>
        <w:t>蛋白等样本的定性、半定量或定量检测。不用于基因测序、实时定量PCR、数字PCR类核酸分析。</w:t>
      </w:r>
    </w:p>
    <w:p w14:paraId="3BC2D09A">
      <w:pPr>
        <w:spacing w:line="520" w:lineRule="exact"/>
        <w:ind w:firstLine="640" w:firstLineChars="200"/>
        <w:rPr>
          <w:rFonts w:eastAsia="仿宋"/>
          <w:bCs/>
          <w:sz w:val="32"/>
          <w:szCs w:val="32"/>
        </w:rPr>
      </w:pPr>
      <w:r>
        <w:rPr>
          <w:rFonts w:hint="eastAsia" w:eastAsia="仿宋"/>
          <w:bCs/>
          <w:sz w:val="32"/>
          <w:szCs w:val="32"/>
        </w:rPr>
        <w:t>2</w:t>
      </w:r>
      <w:r>
        <w:rPr>
          <w:rFonts w:eastAsia="仿宋"/>
          <w:bCs/>
          <w:sz w:val="32"/>
          <w:szCs w:val="32"/>
        </w:rPr>
        <w:t>.1.2明确写明目标用户为经专业培训的医疗卫生机构的检验人员，并写明相关人员操作申报产品应当具备的基本能力要求。</w:t>
      </w:r>
    </w:p>
    <w:p w14:paraId="2C521C64">
      <w:pPr>
        <w:spacing w:line="520" w:lineRule="exact"/>
        <w:ind w:right="-67" w:rightChars="-32" w:firstLine="640" w:firstLineChars="200"/>
        <w:outlineLvl w:val="3"/>
        <w:rPr>
          <w:rFonts w:eastAsia="仿宋"/>
          <w:bCs/>
          <w:sz w:val="32"/>
          <w:szCs w:val="32"/>
        </w:rPr>
      </w:pPr>
      <w:r>
        <w:rPr>
          <w:rFonts w:hint="eastAsia" w:eastAsia="仿宋"/>
          <w:bCs/>
          <w:sz w:val="32"/>
          <w:szCs w:val="32"/>
        </w:rPr>
        <w:t>2</w:t>
      </w:r>
      <w:r>
        <w:rPr>
          <w:rFonts w:eastAsia="仿宋"/>
          <w:bCs/>
          <w:sz w:val="32"/>
          <w:szCs w:val="32"/>
        </w:rPr>
        <w:t>.2预期使用环境</w:t>
      </w:r>
    </w:p>
    <w:p w14:paraId="03FF8755">
      <w:pPr>
        <w:spacing w:line="520" w:lineRule="exact"/>
        <w:ind w:firstLine="640" w:firstLineChars="200"/>
        <w:rPr>
          <w:rFonts w:eastAsia="仿宋"/>
          <w:bCs/>
          <w:sz w:val="32"/>
          <w:szCs w:val="32"/>
        </w:rPr>
      </w:pPr>
      <w:r>
        <w:rPr>
          <w:rFonts w:hint="eastAsia" w:eastAsia="仿宋"/>
          <w:bCs/>
          <w:sz w:val="32"/>
          <w:szCs w:val="32"/>
        </w:rPr>
        <w:t>2</w:t>
      </w:r>
      <w:r>
        <w:rPr>
          <w:rFonts w:eastAsia="仿宋"/>
          <w:bCs/>
          <w:sz w:val="32"/>
          <w:szCs w:val="32"/>
        </w:rPr>
        <w:t>.2.1明确申报产品预期使用的地点，如医疗卫生机构检验科。</w:t>
      </w:r>
    </w:p>
    <w:p w14:paraId="7CAA810E">
      <w:pPr>
        <w:spacing w:line="520" w:lineRule="exact"/>
        <w:ind w:firstLine="640" w:firstLineChars="200"/>
        <w:rPr>
          <w:rFonts w:eastAsia="仿宋"/>
          <w:bCs/>
          <w:sz w:val="32"/>
          <w:szCs w:val="32"/>
        </w:rPr>
      </w:pPr>
      <w:r>
        <w:rPr>
          <w:rFonts w:hint="eastAsia" w:eastAsia="仿宋"/>
          <w:bCs/>
          <w:sz w:val="32"/>
          <w:szCs w:val="32"/>
        </w:rPr>
        <w:t>2</w:t>
      </w:r>
      <w:r>
        <w:rPr>
          <w:rFonts w:eastAsia="仿宋"/>
          <w:bCs/>
          <w:sz w:val="32"/>
          <w:szCs w:val="32"/>
        </w:rPr>
        <w:t>.2.2明确可能会影响申报产品安全性和有效性的环境条件，即申报产品的正常工作条件，包括温度、湿度、海拔高度、大气压、电源要求等，对每一条件均应给出具体的指标要求，如温度范围在10℃～30℃。</w:t>
      </w:r>
    </w:p>
    <w:p w14:paraId="0FA552E0">
      <w:pPr>
        <w:spacing w:line="520" w:lineRule="exact"/>
        <w:ind w:right="-67" w:rightChars="-32" w:firstLine="640" w:firstLineChars="200"/>
        <w:outlineLvl w:val="3"/>
        <w:rPr>
          <w:rFonts w:eastAsia="仿宋"/>
          <w:bCs/>
          <w:sz w:val="32"/>
          <w:szCs w:val="32"/>
        </w:rPr>
      </w:pPr>
      <w:r>
        <w:rPr>
          <w:rFonts w:hint="eastAsia" w:eastAsia="仿宋"/>
          <w:bCs/>
          <w:sz w:val="32"/>
          <w:szCs w:val="32"/>
        </w:rPr>
        <w:t>2</w:t>
      </w:r>
      <w:r>
        <w:rPr>
          <w:rFonts w:eastAsia="仿宋"/>
          <w:bCs/>
          <w:sz w:val="32"/>
          <w:szCs w:val="32"/>
        </w:rPr>
        <w:t>.3禁忌证</w:t>
      </w:r>
    </w:p>
    <w:p w14:paraId="788B05C6">
      <w:pPr>
        <w:spacing w:line="520" w:lineRule="exact"/>
        <w:ind w:firstLine="640" w:firstLineChars="200"/>
        <w:rPr>
          <w:rFonts w:eastAsia="仿宋"/>
          <w:bCs/>
          <w:sz w:val="32"/>
          <w:szCs w:val="32"/>
        </w:rPr>
      </w:pPr>
      <w:r>
        <w:rPr>
          <w:rFonts w:eastAsia="仿宋"/>
          <w:bCs/>
          <w:sz w:val="32"/>
          <w:szCs w:val="32"/>
        </w:rPr>
        <w:t>目前尚无研究资料或研究结果表明此产品的禁忌证，如申报产品具有相关禁忌证，请详述。</w:t>
      </w:r>
    </w:p>
    <w:p w14:paraId="26B81272">
      <w:pPr>
        <w:spacing w:line="520" w:lineRule="exact"/>
        <w:ind w:firstLine="640" w:firstLineChars="200"/>
        <w:outlineLvl w:val="2"/>
        <w:rPr>
          <w:rFonts w:eastAsia="仿宋"/>
          <w:bCs/>
          <w:sz w:val="32"/>
          <w:szCs w:val="32"/>
        </w:rPr>
      </w:pPr>
      <w:r>
        <w:rPr>
          <w:rFonts w:hint="eastAsia" w:eastAsia="仿宋"/>
          <w:bCs/>
          <w:sz w:val="32"/>
          <w:szCs w:val="32"/>
        </w:rPr>
        <w:t>3</w:t>
      </w:r>
      <w:r>
        <w:rPr>
          <w:rFonts w:eastAsia="仿宋"/>
          <w:bCs/>
          <w:sz w:val="32"/>
          <w:szCs w:val="32"/>
        </w:rPr>
        <w:t>.参考的同类产品或前代产品的情况</w:t>
      </w:r>
    </w:p>
    <w:p w14:paraId="52BA6A33">
      <w:pPr>
        <w:widowControl/>
        <w:spacing w:line="520" w:lineRule="exact"/>
        <w:ind w:firstLine="640" w:firstLineChars="200"/>
        <w:rPr>
          <w:rFonts w:eastAsia="仿宋"/>
          <w:bCs/>
          <w:sz w:val="32"/>
          <w:szCs w:val="32"/>
        </w:rPr>
      </w:pPr>
      <w:r>
        <w:rPr>
          <w:rFonts w:eastAsia="仿宋"/>
          <w:bCs/>
          <w:sz w:val="32"/>
          <w:szCs w:val="32"/>
        </w:rPr>
        <w:t>应当提供同类产品（国内外已上市）或前代产品的信息，阐述申请注册产品的研发背景和目的。对于同类产品，应当说明选择其作为研发参考的原因。同时列表说明申请注册产品与参考产品（同类产品或前代产品）在工作原理、结构组成、性能指标以及预期用途等方面的异同，必要时提供图示。</w:t>
      </w:r>
    </w:p>
    <w:p w14:paraId="795C7964">
      <w:pPr>
        <w:spacing w:line="520" w:lineRule="exact"/>
        <w:ind w:firstLine="640" w:firstLineChars="200"/>
        <w:outlineLvl w:val="2"/>
        <w:rPr>
          <w:rFonts w:eastAsia="仿宋_GB2312"/>
          <w:bCs/>
          <w:sz w:val="32"/>
          <w:szCs w:val="32"/>
        </w:rPr>
      </w:pPr>
      <w:r>
        <w:rPr>
          <w:rFonts w:hint="eastAsia" w:eastAsia="仿宋"/>
          <w:bCs/>
          <w:sz w:val="32"/>
          <w:szCs w:val="32"/>
        </w:rPr>
        <w:t>4.</w:t>
      </w:r>
      <w:r>
        <w:rPr>
          <w:rFonts w:eastAsia="仿宋_GB2312"/>
          <w:bCs/>
          <w:sz w:val="32"/>
          <w:szCs w:val="32"/>
        </w:rPr>
        <w:t>其他需说明的内容</w:t>
      </w:r>
    </w:p>
    <w:p w14:paraId="08EC7F02">
      <w:pPr>
        <w:widowControl/>
        <w:spacing w:line="560" w:lineRule="exact"/>
        <w:ind w:firstLine="640" w:firstLineChars="200"/>
        <w:rPr>
          <w:rFonts w:eastAsia="仿宋"/>
          <w:bCs/>
          <w:sz w:val="32"/>
          <w:szCs w:val="32"/>
        </w:rPr>
      </w:pPr>
      <w:r>
        <w:rPr>
          <w:rFonts w:eastAsia="仿宋_GB2312"/>
          <w:bCs/>
          <w:sz w:val="32"/>
          <w:szCs w:val="32"/>
        </w:rPr>
        <w:t>该产品与配套的</w:t>
      </w:r>
      <w:r>
        <w:rPr>
          <w:rFonts w:hint="eastAsia" w:eastAsia="仿宋_GB2312"/>
          <w:bCs/>
          <w:sz w:val="32"/>
          <w:szCs w:val="32"/>
        </w:rPr>
        <w:t>试剂盒和仪器</w:t>
      </w:r>
      <w:r>
        <w:rPr>
          <w:rFonts w:eastAsia="仿宋_GB2312"/>
          <w:bCs/>
          <w:sz w:val="32"/>
          <w:szCs w:val="32"/>
        </w:rPr>
        <w:t>配合使用</w:t>
      </w:r>
      <w:r>
        <w:rPr>
          <w:rFonts w:hint="eastAsia" w:eastAsia="仿宋_GB2312"/>
          <w:bCs/>
          <w:sz w:val="32"/>
          <w:szCs w:val="32"/>
        </w:rPr>
        <w:t>，</w:t>
      </w:r>
      <w:r>
        <w:rPr>
          <w:rFonts w:eastAsia="仿宋_GB2312"/>
          <w:bCs/>
          <w:sz w:val="32"/>
          <w:szCs w:val="32"/>
        </w:rPr>
        <w:t>明确与申报产品联合使用实现预期用途的其他产品的详细信息。对于已获得批准的部件或配合使用的附件，应当提供注册证编号和国家药监局官方网站公布的注册证信息</w:t>
      </w:r>
      <w:r>
        <w:rPr>
          <w:rFonts w:hint="eastAsia" w:eastAsia="仿宋_GB2312"/>
          <w:bCs/>
          <w:sz w:val="32"/>
          <w:szCs w:val="32"/>
        </w:rPr>
        <w:t>。</w:t>
      </w:r>
    </w:p>
    <w:p w14:paraId="54D360AE">
      <w:pPr>
        <w:overflowPunct w:val="0"/>
        <w:autoSpaceDE w:val="0"/>
        <w:autoSpaceDN w:val="0"/>
        <w:spacing w:line="520" w:lineRule="exact"/>
        <w:ind w:left="221" w:firstLine="640" w:firstLineChars="200"/>
        <w:outlineLvl w:val="1"/>
        <w:rPr>
          <w:rFonts w:eastAsia="楷体_GB2312"/>
          <w:color w:val="000000"/>
          <w:sz w:val="32"/>
          <w:szCs w:val="32"/>
        </w:rPr>
      </w:pPr>
      <w:r>
        <w:rPr>
          <w:rFonts w:hint="eastAsia" w:eastAsia="楷体_GB2312"/>
          <w:color w:val="000000"/>
          <w:sz w:val="32"/>
          <w:szCs w:val="32"/>
        </w:rPr>
        <w:t>（三）非临床资料</w:t>
      </w:r>
    </w:p>
    <w:p w14:paraId="09333BE6">
      <w:pPr>
        <w:overflowPunct w:val="0"/>
        <w:autoSpaceDE w:val="0"/>
        <w:autoSpaceDN w:val="0"/>
        <w:spacing w:line="520" w:lineRule="exact"/>
        <w:ind w:firstLine="640" w:firstLineChars="200"/>
        <w:outlineLvl w:val="2"/>
        <w:rPr>
          <w:rFonts w:eastAsia="仿宋_GB2312"/>
          <w:snapToGrid w:val="0"/>
          <w:kern w:val="0"/>
          <w:sz w:val="32"/>
          <w:szCs w:val="32"/>
        </w:rPr>
      </w:pPr>
      <w:r>
        <w:rPr>
          <w:rFonts w:hint="eastAsia" w:eastAsia="仿宋_GB2312"/>
          <w:snapToGrid w:val="0"/>
          <w:kern w:val="0"/>
          <w:sz w:val="32"/>
          <w:szCs w:val="32"/>
        </w:rPr>
        <w:t>1.产品风险管理资料</w:t>
      </w:r>
    </w:p>
    <w:p w14:paraId="4A3F4711">
      <w:pPr>
        <w:spacing w:line="520" w:lineRule="exact"/>
        <w:ind w:firstLine="640" w:firstLineChars="200"/>
        <w:rPr>
          <w:rFonts w:eastAsia="仿宋"/>
          <w:bCs/>
          <w:sz w:val="32"/>
          <w:szCs w:val="32"/>
        </w:rPr>
      </w:pPr>
      <w:r>
        <w:rPr>
          <w:rFonts w:eastAsia="仿宋"/>
          <w:bCs/>
          <w:sz w:val="32"/>
          <w:szCs w:val="32"/>
        </w:rPr>
        <w:t>应按照GB/T 42062《医疗器械 风险管理对医疗器械的应用》规定的过程和方法，对产品生命周期内每种可能涉及的危险识别评估（YY/T 1437），为降低风险所执行风险控制，剩余风险的可接受性评定，产品受益-风险综合评价，并形成风险管理报告，控制这些风险并监视控制的有效性，充分保证产品的安全性和有效性。</w:t>
      </w:r>
    </w:p>
    <w:p w14:paraId="701F5177">
      <w:pPr>
        <w:spacing w:line="520" w:lineRule="exact"/>
        <w:ind w:firstLine="640" w:firstLineChars="200"/>
        <w:outlineLvl w:val="3"/>
        <w:rPr>
          <w:rFonts w:eastAsia="仿宋"/>
          <w:bCs/>
          <w:sz w:val="32"/>
          <w:szCs w:val="32"/>
        </w:rPr>
      </w:pPr>
      <w:r>
        <w:rPr>
          <w:rFonts w:eastAsia="仿宋"/>
          <w:bCs/>
          <w:sz w:val="32"/>
          <w:szCs w:val="32"/>
        </w:rPr>
        <w:t>1.1产品的主要危险</w:t>
      </w:r>
    </w:p>
    <w:p w14:paraId="2CF7E35B">
      <w:pPr>
        <w:spacing w:line="520" w:lineRule="exact"/>
        <w:ind w:firstLine="640" w:firstLineChars="200"/>
        <w:rPr>
          <w:rFonts w:eastAsia="仿宋"/>
          <w:bCs/>
          <w:sz w:val="32"/>
          <w:szCs w:val="32"/>
        </w:rPr>
      </w:pPr>
      <w:r>
        <w:rPr>
          <w:rFonts w:eastAsia="仿宋"/>
          <w:bCs/>
          <w:sz w:val="32"/>
          <w:szCs w:val="32"/>
        </w:rPr>
        <w:t>申报产品的主要危险大致可包括五个方面，即：能量危险、生物学和化学危险、操作危险、信息危险、软件危险。</w:t>
      </w:r>
    </w:p>
    <w:p w14:paraId="3E8B3016">
      <w:pPr>
        <w:spacing w:line="520" w:lineRule="exact"/>
        <w:ind w:firstLine="640" w:firstLineChars="200"/>
        <w:outlineLvl w:val="4"/>
        <w:rPr>
          <w:rFonts w:eastAsia="仿宋"/>
          <w:bCs/>
          <w:sz w:val="32"/>
          <w:szCs w:val="32"/>
        </w:rPr>
      </w:pPr>
      <w:r>
        <w:rPr>
          <w:rFonts w:eastAsia="仿宋"/>
          <w:bCs/>
          <w:sz w:val="32"/>
          <w:szCs w:val="32"/>
        </w:rPr>
        <w:t>1.1.1能量危险</w:t>
      </w:r>
    </w:p>
    <w:p w14:paraId="154B92E0">
      <w:pPr>
        <w:spacing w:line="520" w:lineRule="exact"/>
        <w:ind w:firstLine="640" w:firstLineChars="200"/>
        <w:rPr>
          <w:rFonts w:eastAsia="仿宋"/>
          <w:bCs/>
          <w:sz w:val="32"/>
          <w:szCs w:val="32"/>
        </w:rPr>
      </w:pPr>
      <w:r>
        <w:rPr>
          <w:rFonts w:eastAsia="仿宋"/>
          <w:bCs/>
          <w:sz w:val="32"/>
          <w:szCs w:val="32"/>
        </w:rPr>
        <w:t>电磁能：漏电流对使用者造成电击伤，可能共同使用的设备（移动电话、离心机、生化分析仪等）对申报产品的电磁干扰，静电放电对申报产品产生的干扰，申报产品正常工作中产生的电磁场对可能共同使用的其他设备的影响等引发的危险。</w:t>
      </w:r>
    </w:p>
    <w:p w14:paraId="4F6CEC4D">
      <w:pPr>
        <w:spacing w:line="520" w:lineRule="exact"/>
        <w:ind w:firstLine="640" w:firstLineChars="200"/>
        <w:rPr>
          <w:rFonts w:eastAsia="仿宋"/>
          <w:bCs/>
          <w:sz w:val="32"/>
          <w:szCs w:val="32"/>
        </w:rPr>
      </w:pPr>
      <w:r>
        <w:rPr>
          <w:rFonts w:eastAsia="仿宋"/>
          <w:bCs/>
          <w:sz w:val="32"/>
          <w:szCs w:val="32"/>
        </w:rPr>
        <w:t>机械能：坠落导致机械部件松动，导致测量错误、误差过大或显示异常；压力传感器损坏或校准偏差导致测量结果不准确。</w:t>
      </w:r>
    </w:p>
    <w:p w14:paraId="0D4AC5D7">
      <w:pPr>
        <w:spacing w:line="520" w:lineRule="exact"/>
        <w:ind w:firstLine="640" w:firstLineChars="200"/>
        <w:outlineLvl w:val="4"/>
        <w:rPr>
          <w:rFonts w:eastAsia="仿宋"/>
          <w:bCs/>
          <w:sz w:val="32"/>
          <w:szCs w:val="32"/>
        </w:rPr>
      </w:pPr>
      <w:r>
        <w:rPr>
          <w:rFonts w:eastAsia="仿宋"/>
          <w:bCs/>
          <w:sz w:val="32"/>
          <w:szCs w:val="32"/>
        </w:rPr>
        <w:t>1.1.2生物学和化学危险</w:t>
      </w:r>
    </w:p>
    <w:p w14:paraId="613EDAE3">
      <w:pPr>
        <w:spacing w:line="520" w:lineRule="exact"/>
        <w:ind w:firstLine="640" w:firstLineChars="200"/>
        <w:rPr>
          <w:rFonts w:eastAsia="仿宋"/>
          <w:bCs/>
          <w:sz w:val="32"/>
          <w:szCs w:val="32"/>
        </w:rPr>
      </w:pPr>
      <w:r>
        <w:rPr>
          <w:rFonts w:eastAsia="仿宋"/>
          <w:bCs/>
          <w:sz w:val="32"/>
          <w:szCs w:val="32"/>
        </w:rPr>
        <w:t>生物学：检测完成后剩余样本、试剂和废弃物处理不当引起的环境污染、交叉感染。</w:t>
      </w:r>
    </w:p>
    <w:p w14:paraId="359E57F6">
      <w:pPr>
        <w:spacing w:line="520" w:lineRule="exact"/>
        <w:ind w:firstLine="640" w:firstLineChars="200"/>
        <w:rPr>
          <w:rFonts w:eastAsia="仿宋"/>
          <w:bCs/>
          <w:sz w:val="32"/>
          <w:szCs w:val="32"/>
        </w:rPr>
      </w:pPr>
      <w:r>
        <w:rPr>
          <w:rFonts w:eastAsia="仿宋"/>
          <w:bCs/>
          <w:sz w:val="32"/>
          <w:szCs w:val="32"/>
        </w:rPr>
        <w:t>化学：使用的清洁剂、消毒剂残留引发的危险；酸性反应液泄漏可能对操作人员造成伤害。</w:t>
      </w:r>
    </w:p>
    <w:p w14:paraId="5C147ABA">
      <w:pPr>
        <w:spacing w:line="520" w:lineRule="exact"/>
        <w:ind w:firstLine="640" w:firstLineChars="200"/>
        <w:outlineLvl w:val="4"/>
        <w:rPr>
          <w:rFonts w:eastAsia="仿宋"/>
          <w:bCs/>
          <w:sz w:val="32"/>
          <w:szCs w:val="32"/>
        </w:rPr>
      </w:pPr>
      <w:r>
        <w:rPr>
          <w:rFonts w:eastAsia="仿宋"/>
          <w:bCs/>
          <w:sz w:val="32"/>
          <w:szCs w:val="32"/>
        </w:rPr>
        <w:t>1.1.3操作危险</w:t>
      </w:r>
    </w:p>
    <w:p w14:paraId="0BD5E157">
      <w:pPr>
        <w:spacing w:line="520" w:lineRule="exact"/>
        <w:ind w:firstLine="640" w:firstLineChars="200"/>
        <w:rPr>
          <w:rFonts w:eastAsia="仿宋"/>
          <w:bCs/>
          <w:sz w:val="32"/>
          <w:szCs w:val="32"/>
        </w:rPr>
      </w:pPr>
      <w:r>
        <w:rPr>
          <w:rFonts w:eastAsia="仿宋"/>
          <w:bCs/>
          <w:sz w:val="32"/>
          <w:szCs w:val="32"/>
        </w:rPr>
        <w:t>由不熟练/未经训练的人员使用，未对使用者进行培训或者使用者未按说明书中的要求进行操作，造成的检测失败、检测结果不准确。</w:t>
      </w:r>
    </w:p>
    <w:p w14:paraId="7B03D330">
      <w:pPr>
        <w:spacing w:line="520" w:lineRule="exact"/>
        <w:ind w:firstLine="640" w:firstLineChars="200"/>
        <w:rPr>
          <w:rFonts w:eastAsia="仿宋"/>
          <w:bCs/>
          <w:sz w:val="32"/>
          <w:szCs w:val="32"/>
        </w:rPr>
      </w:pPr>
      <w:r>
        <w:rPr>
          <w:rFonts w:eastAsia="仿宋"/>
          <w:bCs/>
          <w:sz w:val="32"/>
          <w:szCs w:val="32"/>
        </w:rPr>
        <w:t>使用不同厂家的或与分析仪不相匹配的试剂，造成的检测失败、检测结果不准确。</w:t>
      </w:r>
    </w:p>
    <w:p w14:paraId="4A002203">
      <w:pPr>
        <w:spacing w:line="520" w:lineRule="exact"/>
        <w:ind w:firstLine="640" w:firstLineChars="200"/>
        <w:rPr>
          <w:rFonts w:eastAsia="仿宋"/>
          <w:bCs/>
          <w:sz w:val="32"/>
          <w:szCs w:val="32"/>
        </w:rPr>
      </w:pPr>
      <w:r>
        <w:rPr>
          <w:rFonts w:eastAsia="仿宋"/>
          <w:bCs/>
          <w:sz w:val="32"/>
          <w:szCs w:val="32"/>
        </w:rPr>
        <w:t>产品的检测装置超过寿命或长时间未经校准，导致检测结果不准确。</w:t>
      </w:r>
    </w:p>
    <w:p w14:paraId="45CAA703">
      <w:pPr>
        <w:spacing w:line="520" w:lineRule="exact"/>
        <w:ind w:firstLine="640" w:firstLineChars="200"/>
        <w:rPr>
          <w:rFonts w:eastAsia="仿宋"/>
          <w:bCs/>
          <w:sz w:val="32"/>
          <w:szCs w:val="32"/>
        </w:rPr>
      </w:pPr>
      <w:r>
        <w:rPr>
          <w:rFonts w:eastAsia="仿宋"/>
          <w:bCs/>
          <w:sz w:val="32"/>
          <w:szCs w:val="32"/>
        </w:rPr>
        <w:t>未在制造商规定的使用环境条件下使用产品，可能造成检测结果不准确，产品寿命降低。</w:t>
      </w:r>
    </w:p>
    <w:p w14:paraId="25F64D30">
      <w:pPr>
        <w:spacing w:line="520" w:lineRule="exact"/>
        <w:ind w:firstLine="640" w:firstLineChars="200"/>
        <w:rPr>
          <w:rFonts w:eastAsia="仿宋"/>
          <w:bCs/>
          <w:sz w:val="32"/>
          <w:szCs w:val="32"/>
        </w:rPr>
      </w:pPr>
      <w:r>
        <w:rPr>
          <w:rFonts w:eastAsia="仿宋"/>
          <w:bCs/>
          <w:sz w:val="32"/>
          <w:szCs w:val="32"/>
        </w:rPr>
        <w:t>未按产品说明书的规定对申报产品进行保养、未按产品说明书的规定及时更换元器件，造成的产品工作不正常。</w:t>
      </w:r>
    </w:p>
    <w:p w14:paraId="1F88D2ED">
      <w:pPr>
        <w:spacing w:line="520" w:lineRule="exact"/>
        <w:ind w:firstLine="640" w:firstLineChars="200"/>
        <w:outlineLvl w:val="4"/>
        <w:rPr>
          <w:rFonts w:eastAsia="仿宋"/>
          <w:bCs/>
          <w:sz w:val="32"/>
          <w:szCs w:val="32"/>
        </w:rPr>
      </w:pPr>
      <w:r>
        <w:rPr>
          <w:rFonts w:eastAsia="仿宋"/>
          <w:bCs/>
          <w:sz w:val="32"/>
          <w:szCs w:val="32"/>
        </w:rPr>
        <w:t>1.1.4信息危险</w:t>
      </w:r>
    </w:p>
    <w:p w14:paraId="23F9919D">
      <w:pPr>
        <w:spacing w:line="520" w:lineRule="exact"/>
        <w:ind w:firstLine="640" w:firstLineChars="200"/>
        <w:rPr>
          <w:rFonts w:eastAsia="仿宋"/>
          <w:bCs/>
          <w:sz w:val="32"/>
          <w:szCs w:val="32"/>
        </w:rPr>
      </w:pPr>
      <w:r>
        <w:rPr>
          <w:rFonts w:eastAsia="仿宋"/>
          <w:bCs/>
          <w:sz w:val="32"/>
          <w:szCs w:val="32"/>
        </w:rPr>
        <w:t>包括标记缺少或不正确，标记的位置不正确，不能被正确的识别，不能永久贴牢和清晰可辨，不能耐受温度、摩擦及正常使用时可能遇到的溶剂和试剂的影响。</w:t>
      </w:r>
    </w:p>
    <w:p w14:paraId="0402652D">
      <w:pPr>
        <w:spacing w:line="520" w:lineRule="exact"/>
        <w:ind w:firstLine="640" w:firstLineChars="200"/>
        <w:rPr>
          <w:rFonts w:eastAsia="仿宋"/>
          <w:bCs/>
          <w:sz w:val="32"/>
          <w:szCs w:val="32"/>
        </w:rPr>
      </w:pPr>
      <w:r>
        <w:rPr>
          <w:rFonts w:eastAsia="仿宋"/>
          <w:bCs/>
          <w:sz w:val="32"/>
          <w:szCs w:val="32"/>
        </w:rPr>
        <w:t>不符合法规及标准规定的产品说明书，包括产品说明书中未对限制充分告知，未对不正确的操作、与其他设备共同使用时易产生的危险进行警告，未正确标示包装储运条件、消毒方法、维护信息、对所有标识警告符号的阐述，未对因长期使用产生功能丧失而可能引发的危险进行警告，未对合理可预见的误用进行警告等引发的危险。</w:t>
      </w:r>
    </w:p>
    <w:p w14:paraId="01CDB08E">
      <w:pPr>
        <w:spacing w:line="520" w:lineRule="exact"/>
        <w:ind w:firstLine="640" w:firstLineChars="200"/>
        <w:outlineLvl w:val="4"/>
        <w:rPr>
          <w:rFonts w:eastAsia="仿宋"/>
          <w:bCs/>
          <w:sz w:val="32"/>
          <w:szCs w:val="32"/>
        </w:rPr>
      </w:pPr>
      <w:r>
        <w:rPr>
          <w:rFonts w:eastAsia="仿宋"/>
          <w:bCs/>
          <w:sz w:val="32"/>
          <w:szCs w:val="32"/>
        </w:rPr>
        <w:t>1.1.5软件危险</w:t>
      </w:r>
    </w:p>
    <w:p w14:paraId="732B10EB">
      <w:pPr>
        <w:spacing w:line="520" w:lineRule="exact"/>
        <w:ind w:firstLine="640" w:firstLineChars="200"/>
        <w:rPr>
          <w:rFonts w:eastAsia="仿宋"/>
          <w:bCs/>
          <w:sz w:val="32"/>
          <w:szCs w:val="32"/>
        </w:rPr>
      </w:pPr>
      <w:r>
        <w:rPr>
          <w:rFonts w:eastAsia="仿宋"/>
          <w:bCs/>
          <w:sz w:val="32"/>
          <w:szCs w:val="32"/>
        </w:rPr>
        <w:t>数据交换时医疗器械相关数据未设计授权访问、修改、删除，无法保证数据的保密性、完整性和可得性。</w:t>
      </w:r>
    </w:p>
    <w:p w14:paraId="16FBB204">
      <w:pPr>
        <w:overflowPunct w:val="0"/>
        <w:autoSpaceDE w:val="0"/>
        <w:autoSpaceDN w:val="0"/>
        <w:spacing w:line="520" w:lineRule="exact"/>
        <w:ind w:firstLine="640" w:firstLineChars="200"/>
        <w:outlineLvl w:val="2"/>
        <w:rPr>
          <w:rFonts w:eastAsia="仿宋_GB2312" w:cs="仿宋_GB2312"/>
          <w:snapToGrid w:val="0"/>
          <w:kern w:val="0"/>
          <w:sz w:val="32"/>
          <w:szCs w:val="32"/>
        </w:rPr>
      </w:pPr>
      <w:bookmarkStart w:id="3" w:name="_Toc432753650"/>
      <w:r>
        <w:rPr>
          <w:rFonts w:hint="eastAsia" w:eastAsia="仿宋"/>
          <w:sz w:val="32"/>
          <w:szCs w:val="32"/>
        </w:rPr>
        <w:t>2.</w:t>
      </w:r>
      <w:r>
        <w:rPr>
          <w:rFonts w:hint="eastAsia" w:eastAsia="仿宋_GB2312" w:cs="仿宋_GB2312"/>
          <w:snapToGrid w:val="0"/>
          <w:kern w:val="0"/>
          <w:sz w:val="32"/>
          <w:szCs w:val="32"/>
        </w:rPr>
        <w:t>产品技术要求</w:t>
      </w:r>
      <w:bookmarkEnd w:id="3"/>
      <w:r>
        <w:rPr>
          <w:rFonts w:hint="eastAsia" w:eastAsia="仿宋_GB2312" w:cs="仿宋_GB2312"/>
          <w:snapToGrid w:val="0"/>
          <w:kern w:val="0"/>
          <w:sz w:val="32"/>
          <w:szCs w:val="32"/>
        </w:rPr>
        <w:t>及</w:t>
      </w:r>
      <w:r>
        <w:rPr>
          <w:rFonts w:eastAsia="仿宋_GB2312" w:cs="仿宋_GB2312"/>
          <w:snapToGrid w:val="0"/>
          <w:kern w:val="0"/>
          <w:sz w:val="32"/>
          <w:szCs w:val="32"/>
        </w:rPr>
        <w:t>检</w:t>
      </w:r>
      <w:r>
        <w:rPr>
          <w:rFonts w:hint="eastAsia" w:eastAsia="仿宋_GB2312" w:cs="仿宋_GB2312"/>
          <w:snapToGrid w:val="0"/>
          <w:kern w:val="0"/>
          <w:sz w:val="32"/>
          <w:szCs w:val="32"/>
        </w:rPr>
        <w:t>验</w:t>
      </w:r>
      <w:r>
        <w:rPr>
          <w:rFonts w:eastAsia="仿宋_GB2312" w:cs="仿宋_GB2312"/>
          <w:snapToGrid w:val="0"/>
          <w:kern w:val="0"/>
          <w:sz w:val="32"/>
          <w:szCs w:val="32"/>
        </w:rPr>
        <w:t>报告</w:t>
      </w:r>
    </w:p>
    <w:p w14:paraId="553D9688">
      <w:pPr>
        <w:spacing w:line="520" w:lineRule="exact"/>
        <w:ind w:firstLine="640" w:firstLineChars="200"/>
        <w:outlineLvl w:val="3"/>
        <w:rPr>
          <w:rFonts w:eastAsia="仿宋"/>
          <w:bCs/>
          <w:sz w:val="32"/>
          <w:szCs w:val="32"/>
        </w:rPr>
      </w:pPr>
      <w:r>
        <w:rPr>
          <w:rFonts w:eastAsia="仿宋"/>
          <w:bCs/>
          <w:sz w:val="32"/>
          <w:szCs w:val="32"/>
        </w:rPr>
        <w:t>2.</w:t>
      </w:r>
      <w:r>
        <w:rPr>
          <w:rFonts w:hint="eastAsia" w:eastAsia="仿宋"/>
          <w:bCs/>
          <w:sz w:val="32"/>
          <w:szCs w:val="32"/>
        </w:rPr>
        <w:t>1</w:t>
      </w:r>
      <w:r>
        <w:rPr>
          <w:rFonts w:eastAsia="仿宋"/>
          <w:bCs/>
          <w:sz w:val="32"/>
          <w:szCs w:val="32"/>
        </w:rPr>
        <w:t>产品技术要求</w:t>
      </w:r>
    </w:p>
    <w:p w14:paraId="1ED31BF9">
      <w:pPr>
        <w:spacing w:line="520" w:lineRule="exact"/>
        <w:ind w:firstLine="640" w:firstLineChars="200"/>
        <w:rPr>
          <w:rFonts w:eastAsia="仿宋"/>
          <w:bCs/>
          <w:sz w:val="32"/>
          <w:szCs w:val="32"/>
        </w:rPr>
      </w:pPr>
      <w:r>
        <w:rPr>
          <w:rFonts w:eastAsia="仿宋"/>
          <w:bCs/>
          <w:kern w:val="0"/>
          <w:sz w:val="32"/>
          <w:szCs w:val="32"/>
        </w:rPr>
        <w:t>申请人应当</w:t>
      </w:r>
      <w:r>
        <w:rPr>
          <w:rFonts w:eastAsia="仿宋"/>
          <w:bCs/>
          <w:sz w:val="32"/>
          <w:szCs w:val="32"/>
        </w:rPr>
        <w:t>根据《医疗器械产品技术要求编写指导原则》的要求</w:t>
      </w:r>
      <w:r>
        <w:rPr>
          <w:rFonts w:eastAsia="仿宋"/>
          <w:bCs/>
          <w:kern w:val="0"/>
          <w:sz w:val="32"/>
          <w:szCs w:val="32"/>
        </w:rPr>
        <w:t>编制</w:t>
      </w:r>
      <w:r>
        <w:rPr>
          <w:rFonts w:eastAsia="仿宋"/>
          <w:bCs/>
          <w:sz w:val="32"/>
          <w:szCs w:val="32"/>
        </w:rPr>
        <w:t>，产品技术要求应包含产品名称、产品型号/规格及其划分说明、性能指标和检验方法。</w:t>
      </w:r>
    </w:p>
    <w:p w14:paraId="4AC21ED2">
      <w:pPr>
        <w:spacing w:line="520" w:lineRule="exact"/>
        <w:ind w:firstLine="640" w:firstLineChars="200"/>
        <w:outlineLvl w:val="4"/>
        <w:rPr>
          <w:rFonts w:eastAsia="仿宋"/>
          <w:bCs/>
          <w:sz w:val="32"/>
          <w:szCs w:val="32"/>
        </w:rPr>
      </w:pPr>
      <w:r>
        <w:rPr>
          <w:rFonts w:eastAsia="仿宋"/>
          <w:bCs/>
          <w:sz w:val="32"/>
          <w:szCs w:val="32"/>
        </w:rPr>
        <w:t>2.</w:t>
      </w:r>
      <w:r>
        <w:rPr>
          <w:rFonts w:hint="eastAsia" w:eastAsia="仿宋"/>
          <w:bCs/>
          <w:sz w:val="32"/>
          <w:szCs w:val="32"/>
        </w:rPr>
        <w:t>1</w:t>
      </w:r>
      <w:r>
        <w:rPr>
          <w:rFonts w:eastAsia="仿宋"/>
          <w:bCs/>
          <w:sz w:val="32"/>
          <w:szCs w:val="32"/>
        </w:rPr>
        <w:t>.1产品名称、产品型号/规格及其划分说明</w:t>
      </w:r>
    </w:p>
    <w:p w14:paraId="3363E850">
      <w:pPr>
        <w:spacing w:line="520" w:lineRule="exact"/>
        <w:ind w:firstLine="640" w:firstLineChars="200"/>
        <w:rPr>
          <w:rFonts w:eastAsia="仿宋"/>
          <w:bCs/>
          <w:sz w:val="32"/>
          <w:szCs w:val="32"/>
        </w:rPr>
      </w:pPr>
      <w:r>
        <w:rPr>
          <w:rFonts w:eastAsia="仿宋"/>
          <w:bCs/>
          <w:sz w:val="32"/>
          <w:szCs w:val="32"/>
        </w:rPr>
        <w:t>产品名称、型号/规格应与综述资料的相应内容保持一致。</w:t>
      </w:r>
      <w:r>
        <w:rPr>
          <w:rFonts w:hint="eastAsia" w:eastAsia="仿宋_GB2312"/>
          <w:bCs/>
          <w:snapToGrid w:val="0"/>
          <w:kern w:val="0"/>
          <w:sz w:val="32"/>
          <w:szCs w:val="32"/>
        </w:rPr>
        <w:t>列表说明产品的型号、规格，明确产品型号、规格的划分说明，明确不同</w:t>
      </w:r>
      <w:r>
        <w:rPr>
          <w:rFonts w:eastAsia="仿宋_GB2312"/>
          <w:bCs/>
          <w:snapToGrid w:val="0"/>
          <w:kern w:val="0"/>
          <w:sz w:val="32"/>
          <w:szCs w:val="32"/>
        </w:rPr>
        <w:t>型号</w:t>
      </w:r>
      <w:r>
        <w:rPr>
          <w:rFonts w:hint="eastAsia" w:eastAsia="仿宋_GB2312"/>
          <w:bCs/>
          <w:snapToGrid w:val="0"/>
          <w:kern w:val="0"/>
          <w:sz w:val="32"/>
          <w:szCs w:val="32"/>
        </w:rPr>
        <w:t>间产品</w:t>
      </w:r>
      <w:r>
        <w:rPr>
          <w:rFonts w:eastAsia="仿宋_GB2312"/>
          <w:bCs/>
          <w:snapToGrid w:val="0"/>
          <w:kern w:val="0"/>
          <w:sz w:val="32"/>
          <w:szCs w:val="32"/>
        </w:rPr>
        <w:t>差异</w:t>
      </w:r>
      <w:r>
        <w:rPr>
          <w:rFonts w:hint="eastAsia" w:eastAsia="仿宋_GB2312"/>
          <w:bCs/>
          <w:snapToGrid w:val="0"/>
          <w:kern w:val="0"/>
          <w:sz w:val="32"/>
          <w:szCs w:val="32"/>
        </w:rPr>
        <w:t>。</w:t>
      </w:r>
    </w:p>
    <w:p w14:paraId="008B74FD">
      <w:pPr>
        <w:spacing w:line="520" w:lineRule="exact"/>
        <w:ind w:firstLine="640" w:firstLineChars="200"/>
        <w:rPr>
          <w:rFonts w:eastAsia="仿宋"/>
          <w:bCs/>
          <w:sz w:val="32"/>
          <w:szCs w:val="32"/>
        </w:rPr>
      </w:pPr>
      <w:r>
        <w:rPr>
          <w:rFonts w:hint="eastAsia" w:eastAsia="仿宋_GB2312"/>
          <w:bCs/>
          <w:sz w:val="32"/>
          <w:szCs w:val="32"/>
        </w:rPr>
        <w:t>明确软件的名称、型号规格（若适用）、发布版本、版本</w:t>
      </w:r>
      <w:r>
        <w:rPr>
          <w:rFonts w:hint="eastAsia" w:eastAsia="仿宋_GB2312"/>
          <w:bCs/>
          <w:snapToGrid w:val="0"/>
          <w:kern w:val="0"/>
          <w:sz w:val="32"/>
          <w:szCs w:val="32"/>
        </w:rPr>
        <w:t>命名规则，</w:t>
      </w:r>
      <w:r>
        <w:rPr>
          <w:rFonts w:eastAsia="仿宋_GB2312"/>
          <w:bCs/>
          <w:snapToGrid w:val="0"/>
          <w:kern w:val="0"/>
          <w:sz w:val="32"/>
          <w:szCs w:val="32"/>
        </w:rPr>
        <w:t>明确软件版本的全部字段及每个字段的含义。</w:t>
      </w:r>
      <w:r>
        <w:rPr>
          <w:rFonts w:hint="eastAsia" w:eastAsia="仿宋_GB2312"/>
          <w:bCs/>
          <w:snapToGrid w:val="0"/>
          <w:kern w:val="0"/>
          <w:sz w:val="32"/>
          <w:szCs w:val="32"/>
        </w:rPr>
        <w:t>软件模块（含医用中间件）若有单独的版本、版本命名规则均需说</w:t>
      </w:r>
      <w:r>
        <w:rPr>
          <w:rFonts w:hint="eastAsia" w:eastAsia="仿宋_GB2312"/>
          <w:bCs/>
          <w:sz w:val="32"/>
          <w:szCs w:val="32"/>
        </w:rPr>
        <w:t>明。</w:t>
      </w:r>
    </w:p>
    <w:p w14:paraId="4838550A">
      <w:pPr>
        <w:spacing w:line="520" w:lineRule="exact"/>
        <w:ind w:firstLine="640" w:firstLineChars="200"/>
        <w:outlineLvl w:val="4"/>
        <w:rPr>
          <w:rFonts w:eastAsia="仿宋"/>
          <w:bCs/>
          <w:sz w:val="32"/>
          <w:szCs w:val="32"/>
        </w:rPr>
      </w:pPr>
      <w:r>
        <w:rPr>
          <w:rFonts w:eastAsia="仿宋"/>
          <w:bCs/>
          <w:sz w:val="32"/>
          <w:szCs w:val="32"/>
        </w:rPr>
        <w:t>2.</w:t>
      </w:r>
      <w:r>
        <w:rPr>
          <w:rFonts w:hint="eastAsia" w:eastAsia="仿宋"/>
          <w:bCs/>
          <w:sz w:val="32"/>
          <w:szCs w:val="32"/>
        </w:rPr>
        <w:t>1</w:t>
      </w:r>
      <w:r>
        <w:rPr>
          <w:rFonts w:eastAsia="仿宋"/>
          <w:bCs/>
          <w:sz w:val="32"/>
          <w:szCs w:val="32"/>
        </w:rPr>
        <w:t>.2</w:t>
      </w:r>
      <w:r>
        <w:rPr>
          <w:rFonts w:hint="eastAsia" w:eastAsia="仿宋"/>
          <w:bCs/>
          <w:sz w:val="32"/>
          <w:szCs w:val="32"/>
        </w:rPr>
        <w:t>性能指标</w:t>
      </w:r>
    </w:p>
    <w:p w14:paraId="6F8149AF">
      <w:pPr>
        <w:spacing w:line="520" w:lineRule="exact"/>
        <w:ind w:firstLine="640" w:firstLineChars="200"/>
        <w:rPr>
          <w:rFonts w:eastAsia="仿宋"/>
          <w:bCs/>
          <w:sz w:val="32"/>
          <w:szCs w:val="32"/>
        </w:rPr>
      </w:pPr>
      <w:r>
        <w:rPr>
          <w:rFonts w:hint="eastAsia" w:eastAsia="仿宋"/>
          <w:bCs/>
          <w:sz w:val="32"/>
          <w:szCs w:val="32"/>
        </w:rPr>
        <w:t>用于核酸检测的分析仪</w:t>
      </w:r>
      <w:r>
        <w:rPr>
          <w:rFonts w:eastAsia="仿宋_GB2312"/>
          <w:bCs/>
          <w:sz w:val="32"/>
          <w:szCs w:val="32"/>
        </w:rPr>
        <w:t>性能指标、检验方法可参考</w:t>
      </w:r>
      <w:r>
        <w:rPr>
          <w:rFonts w:hint="eastAsia" w:eastAsia="仿宋"/>
          <w:bCs/>
          <w:sz w:val="32"/>
          <w:szCs w:val="32"/>
        </w:rPr>
        <w:t>GB/T 33805《激光共聚焦生物芯片扫描仪技术要求》，至少</w:t>
      </w:r>
      <w:r>
        <w:rPr>
          <w:rFonts w:eastAsia="仿宋"/>
          <w:bCs/>
          <w:sz w:val="32"/>
          <w:szCs w:val="32"/>
        </w:rPr>
        <w:t>包括</w:t>
      </w:r>
      <w:r>
        <w:rPr>
          <w:rFonts w:hint="eastAsia" w:eastAsia="仿宋"/>
          <w:bCs/>
          <w:sz w:val="32"/>
          <w:szCs w:val="32"/>
        </w:rPr>
        <w:t>外观、分辨率、最低响应值、一致性</w:t>
      </w:r>
      <w:r>
        <w:rPr>
          <w:rFonts w:eastAsia="仿宋"/>
          <w:bCs/>
          <w:sz w:val="32"/>
          <w:szCs w:val="32"/>
        </w:rPr>
        <w:t>、</w:t>
      </w:r>
      <w:r>
        <w:rPr>
          <w:rFonts w:hint="eastAsia" w:eastAsia="仿宋"/>
          <w:bCs/>
          <w:sz w:val="32"/>
          <w:szCs w:val="32"/>
        </w:rPr>
        <w:t>重复性</w:t>
      </w:r>
      <w:r>
        <w:rPr>
          <w:rFonts w:eastAsia="仿宋"/>
          <w:bCs/>
          <w:sz w:val="32"/>
          <w:szCs w:val="32"/>
        </w:rPr>
        <w:t>、线性</w:t>
      </w:r>
      <w:r>
        <w:rPr>
          <w:rFonts w:hint="eastAsia" w:eastAsia="仿宋"/>
          <w:bCs/>
          <w:sz w:val="32"/>
          <w:szCs w:val="32"/>
        </w:rPr>
        <w:t>范围</w:t>
      </w:r>
      <w:r>
        <w:rPr>
          <w:rFonts w:eastAsia="仿宋"/>
          <w:bCs/>
          <w:sz w:val="32"/>
          <w:szCs w:val="32"/>
        </w:rPr>
        <w:t>、稳定性、软件</w:t>
      </w:r>
      <w:r>
        <w:rPr>
          <w:rFonts w:hint="eastAsia" w:eastAsia="仿宋"/>
          <w:bCs/>
          <w:sz w:val="32"/>
          <w:szCs w:val="32"/>
        </w:rPr>
        <w:t>性能</w:t>
      </w:r>
      <w:r>
        <w:rPr>
          <w:rFonts w:eastAsia="仿宋"/>
          <w:bCs/>
          <w:sz w:val="32"/>
          <w:szCs w:val="32"/>
        </w:rPr>
        <w:t>、安全要求、电磁兼容要求等。</w:t>
      </w:r>
    </w:p>
    <w:p w14:paraId="276A1FF4">
      <w:pPr>
        <w:spacing w:line="520" w:lineRule="exact"/>
        <w:ind w:firstLine="640" w:firstLineChars="200"/>
        <w:rPr>
          <w:rFonts w:eastAsia="仿宋"/>
          <w:bCs/>
          <w:sz w:val="32"/>
          <w:szCs w:val="32"/>
        </w:rPr>
      </w:pPr>
      <w:r>
        <w:rPr>
          <w:rFonts w:hint="eastAsia" w:eastAsia="仿宋"/>
          <w:bCs/>
          <w:sz w:val="32"/>
          <w:szCs w:val="32"/>
        </w:rPr>
        <w:t>用于蛋白检测的分析仪</w:t>
      </w:r>
      <w:r>
        <w:rPr>
          <w:rFonts w:eastAsia="仿宋_GB2312"/>
          <w:bCs/>
          <w:sz w:val="32"/>
          <w:szCs w:val="32"/>
        </w:rPr>
        <w:t xml:space="preserve">性能指标、检验方法可参考YY/T </w:t>
      </w:r>
      <w:r>
        <w:rPr>
          <w:rFonts w:hint="eastAsia" w:eastAsia="仿宋_GB2312"/>
          <w:bCs/>
          <w:sz w:val="32"/>
          <w:szCs w:val="32"/>
        </w:rPr>
        <w:t>1155</w:t>
      </w:r>
      <w:r>
        <w:rPr>
          <w:rFonts w:eastAsia="仿宋_GB2312"/>
          <w:bCs/>
          <w:sz w:val="32"/>
          <w:szCs w:val="32"/>
        </w:rPr>
        <w:t>《</w:t>
      </w:r>
      <w:r>
        <w:rPr>
          <w:rFonts w:hint="eastAsia" w:eastAsia="仿宋_GB2312"/>
          <w:bCs/>
          <w:sz w:val="32"/>
          <w:szCs w:val="32"/>
        </w:rPr>
        <w:t>全自动发光免疫分析仪</w:t>
      </w:r>
      <w:r>
        <w:rPr>
          <w:rFonts w:eastAsia="仿宋_GB2312"/>
          <w:bCs/>
          <w:sz w:val="32"/>
          <w:szCs w:val="32"/>
        </w:rPr>
        <w:t>》，至少包括</w:t>
      </w:r>
      <w:r>
        <w:rPr>
          <w:rFonts w:eastAsia="仿宋_GB2312"/>
          <w:bCs/>
          <w:kern w:val="0"/>
          <w:sz w:val="32"/>
          <w:szCs w:val="32"/>
        </w:rPr>
        <w:t>外观、</w:t>
      </w:r>
      <w:r>
        <w:rPr>
          <w:rFonts w:hint="eastAsia" w:eastAsia="仿宋_GB2312"/>
          <w:bCs/>
          <w:kern w:val="0"/>
          <w:sz w:val="32"/>
          <w:szCs w:val="32"/>
        </w:rPr>
        <w:t>反应区温度控制的正确度与波动度、仪器噪声、发光值的</w:t>
      </w:r>
      <w:r>
        <w:rPr>
          <w:rFonts w:eastAsia="仿宋_GB2312"/>
          <w:bCs/>
          <w:kern w:val="0"/>
          <w:sz w:val="32"/>
          <w:szCs w:val="32"/>
        </w:rPr>
        <w:t>重复性、</w:t>
      </w:r>
      <w:r>
        <w:rPr>
          <w:rFonts w:hint="eastAsia" w:eastAsia="仿宋_GB2312"/>
          <w:bCs/>
          <w:kern w:val="0"/>
          <w:sz w:val="32"/>
          <w:szCs w:val="32"/>
        </w:rPr>
        <w:t>发光值的</w:t>
      </w:r>
      <w:r>
        <w:rPr>
          <w:rFonts w:eastAsia="仿宋_GB2312"/>
          <w:bCs/>
          <w:kern w:val="0"/>
          <w:sz w:val="32"/>
          <w:szCs w:val="32"/>
        </w:rPr>
        <w:t>线性、</w:t>
      </w:r>
      <w:r>
        <w:rPr>
          <w:rFonts w:hint="eastAsia" w:eastAsia="仿宋_GB2312"/>
          <w:bCs/>
          <w:kern w:val="0"/>
          <w:sz w:val="32"/>
          <w:szCs w:val="32"/>
        </w:rPr>
        <w:t>发光值的</w:t>
      </w:r>
      <w:r>
        <w:rPr>
          <w:rFonts w:eastAsia="仿宋_GB2312"/>
          <w:bCs/>
          <w:kern w:val="0"/>
          <w:sz w:val="32"/>
          <w:szCs w:val="32"/>
        </w:rPr>
        <w:t>稳定性、</w:t>
      </w:r>
      <w:r>
        <w:rPr>
          <w:rFonts w:hint="eastAsia" w:eastAsia="仿宋_GB2312"/>
          <w:bCs/>
          <w:kern w:val="0"/>
          <w:sz w:val="32"/>
          <w:szCs w:val="32"/>
        </w:rPr>
        <w:t>携带污染率、临床项目的批内精密度、</w:t>
      </w:r>
      <w:r>
        <w:rPr>
          <w:rFonts w:eastAsia="仿宋_GB2312"/>
          <w:bCs/>
          <w:kern w:val="0"/>
          <w:sz w:val="32"/>
          <w:szCs w:val="32"/>
        </w:rPr>
        <w:t>通道一致性（如适用）、</w:t>
      </w:r>
      <w:r>
        <w:rPr>
          <w:rFonts w:hint="eastAsia" w:eastAsia="仿宋_GB2312"/>
          <w:bCs/>
          <w:kern w:val="0"/>
          <w:sz w:val="32"/>
          <w:szCs w:val="32"/>
        </w:rPr>
        <w:t>软件性能</w:t>
      </w:r>
      <w:r>
        <w:rPr>
          <w:rFonts w:eastAsia="仿宋_GB2312"/>
          <w:bCs/>
          <w:kern w:val="0"/>
          <w:sz w:val="32"/>
          <w:szCs w:val="32"/>
        </w:rPr>
        <w:t>、</w:t>
      </w:r>
      <w:r>
        <w:rPr>
          <w:rFonts w:eastAsia="仿宋_GB2312"/>
          <w:bCs/>
          <w:sz w:val="32"/>
          <w:szCs w:val="32"/>
        </w:rPr>
        <w:t>电气安全、电磁兼容</w:t>
      </w:r>
      <w:r>
        <w:rPr>
          <w:rFonts w:hint="eastAsia" w:eastAsia="仿宋_GB2312"/>
          <w:bCs/>
          <w:sz w:val="32"/>
          <w:szCs w:val="32"/>
        </w:rPr>
        <w:t>要求</w:t>
      </w:r>
      <w:r>
        <w:rPr>
          <w:rFonts w:eastAsia="仿宋_GB2312"/>
          <w:bCs/>
          <w:sz w:val="32"/>
          <w:szCs w:val="32"/>
        </w:rPr>
        <w:t>等。</w:t>
      </w:r>
      <w:r>
        <w:rPr>
          <w:rFonts w:eastAsia="仿宋_GB2312"/>
          <w:bCs/>
          <w:kern w:val="0"/>
          <w:sz w:val="32"/>
          <w:szCs w:val="32"/>
        </w:rPr>
        <w:t>如产品有额外模块实现额外功能，应增加相应评价指标要求。如为全自动仪器，应考虑对加样装置的功能性指标要求：加样准确度和重复性</w:t>
      </w:r>
      <w:r>
        <w:rPr>
          <w:rFonts w:hint="eastAsia" w:eastAsia="仿宋_GB2312"/>
          <w:bCs/>
          <w:kern w:val="0"/>
          <w:sz w:val="32"/>
          <w:szCs w:val="32"/>
        </w:rPr>
        <w:t>。</w:t>
      </w:r>
    </w:p>
    <w:p w14:paraId="16327E7A">
      <w:pPr>
        <w:spacing w:line="520" w:lineRule="exact"/>
        <w:ind w:firstLine="640" w:firstLineChars="200"/>
        <w:rPr>
          <w:rFonts w:eastAsia="仿宋_GB2312"/>
          <w:sz w:val="32"/>
          <w:szCs w:val="32"/>
        </w:rPr>
      </w:pPr>
      <w:r>
        <w:rPr>
          <w:rFonts w:hint="eastAsia" w:eastAsia="仿宋_GB2312"/>
          <w:sz w:val="32"/>
          <w:szCs w:val="32"/>
        </w:rPr>
        <w:t>安全要求：符合GB 4793、GB/T 42125.1、</w:t>
      </w:r>
      <w:r>
        <w:rPr>
          <w:rFonts w:hint="eastAsia" w:eastAsia="仿宋"/>
          <w:bCs/>
          <w:sz w:val="32"/>
          <w:szCs w:val="32"/>
        </w:rPr>
        <w:t>GB/T 42125.2（如适用）、</w:t>
      </w:r>
      <w:r>
        <w:rPr>
          <w:rFonts w:hint="eastAsia" w:eastAsia="仿宋_GB2312"/>
          <w:sz w:val="32"/>
          <w:szCs w:val="32"/>
        </w:rPr>
        <w:t>YY/T 0648中适用条款的要求。</w:t>
      </w:r>
    </w:p>
    <w:p w14:paraId="2A2AB97B">
      <w:pPr>
        <w:spacing w:line="520" w:lineRule="exact"/>
        <w:ind w:firstLine="640" w:firstLineChars="200"/>
        <w:rPr>
          <w:rFonts w:eastAsia="仿宋_GB2312"/>
          <w:sz w:val="32"/>
          <w:szCs w:val="32"/>
        </w:rPr>
      </w:pPr>
      <w:r>
        <w:rPr>
          <w:rFonts w:hint="eastAsia" w:eastAsia="仿宋_GB2312"/>
          <w:sz w:val="32"/>
          <w:szCs w:val="32"/>
        </w:rPr>
        <w:t>电磁兼容要求：符合GB/T 18268.1、GB/T 18268.26中适用条款的要求。</w:t>
      </w:r>
    </w:p>
    <w:p w14:paraId="441A6F23">
      <w:pPr>
        <w:spacing w:line="520" w:lineRule="exact"/>
        <w:ind w:firstLine="640" w:firstLineChars="200"/>
        <w:rPr>
          <w:rFonts w:eastAsia="仿宋_GB2312"/>
          <w:sz w:val="32"/>
          <w:szCs w:val="32"/>
        </w:rPr>
      </w:pPr>
      <w:r>
        <w:rPr>
          <w:rFonts w:hint="eastAsia" w:eastAsia="仿宋_GB2312"/>
          <w:sz w:val="32"/>
          <w:szCs w:val="32"/>
        </w:rPr>
        <w:t>软件性能要求：产品中包含软件组件，应参照《医疗器械软件注册审查指导原则（2022年修订版）》明确软件的功能、使用限制、接口、访问控制、运行环境（若适用）、性能效率（若适用）等要求。。</w:t>
      </w:r>
    </w:p>
    <w:p w14:paraId="562A756B">
      <w:pPr>
        <w:spacing w:line="520" w:lineRule="exact"/>
        <w:ind w:firstLine="640" w:firstLineChars="200"/>
        <w:outlineLvl w:val="3"/>
        <w:rPr>
          <w:rFonts w:eastAsia="仿宋"/>
          <w:bCs/>
          <w:sz w:val="32"/>
          <w:szCs w:val="32"/>
        </w:rPr>
      </w:pPr>
      <w:r>
        <w:rPr>
          <w:rFonts w:eastAsia="仿宋"/>
          <w:bCs/>
          <w:sz w:val="32"/>
          <w:szCs w:val="32"/>
        </w:rPr>
        <w:t>2.</w:t>
      </w:r>
      <w:r>
        <w:rPr>
          <w:rFonts w:hint="eastAsia" w:eastAsia="仿宋"/>
          <w:bCs/>
          <w:sz w:val="32"/>
          <w:szCs w:val="32"/>
        </w:rPr>
        <w:t>2</w:t>
      </w:r>
      <w:r>
        <w:rPr>
          <w:rFonts w:eastAsia="仿宋"/>
          <w:bCs/>
          <w:sz w:val="32"/>
          <w:szCs w:val="32"/>
        </w:rPr>
        <w:t>检验报告</w:t>
      </w:r>
    </w:p>
    <w:p w14:paraId="4EED5A82">
      <w:pPr>
        <w:spacing w:line="520" w:lineRule="exact"/>
        <w:ind w:firstLine="640" w:firstLineChars="200"/>
        <w:rPr>
          <w:rFonts w:eastAsia="仿宋"/>
          <w:bCs/>
          <w:sz w:val="32"/>
          <w:szCs w:val="32"/>
        </w:rPr>
      </w:pPr>
      <w:r>
        <w:rPr>
          <w:rFonts w:eastAsia="仿宋"/>
          <w:bCs/>
          <w:sz w:val="32"/>
          <w:szCs w:val="32"/>
        </w:rPr>
        <w:t>2.</w:t>
      </w:r>
      <w:r>
        <w:rPr>
          <w:rFonts w:hint="eastAsia" w:eastAsia="仿宋"/>
          <w:bCs/>
          <w:sz w:val="32"/>
          <w:szCs w:val="32"/>
        </w:rPr>
        <w:t>2</w:t>
      </w:r>
      <w:r>
        <w:rPr>
          <w:rFonts w:eastAsia="仿宋"/>
          <w:bCs/>
          <w:sz w:val="32"/>
          <w:szCs w:val="32"/>
        </w:rPr>
        <w:t>.1检验报告可以是申请人出具的自检报告，也可以是委托有资质的医疗器械检验机构出具的检验报告。如提交自检报告，应符合《医疗器械注册自检管理规定》相关要求。</w:t>
      </w:r>
    </w:p>
    <w:p w14:paraId="608423FE">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2.3同一注册单元内注册检验代表型号确定原则和实例</w:t>
      </w:r>
    </w:p>
    <w:p w14:paraId="0AA92F8F">
      <w:pPr>
        <w:spacing w:line="520" w:lineRule="exact"/>
        <w:ind w:firstLine="640" w:firstLineChars="200"/>
        <w:rPr>
          <w:rFonts w:eastAsia="仿宋_GB2312"/>
          <w:sz w:val="32"/>
          <w:szCs w:val="32"/>
        </w:rPr>
      </w:pPr>
      <w:r>
        <w:rPr>
          <w:rFonts w:hint="eastAsia" w:eastAsia="仿宋_GB2312"/>
          <w:sz w:val="32"/>
          <w:szCs w:val="32"/>
        </w:rPr>
        <w:t>同一注册单元内所检验的产品应当能够代表本注册单元内其他产品的安全性和有效性。对同一注册单元内代表产品的选取应关注技术原理、主要结构组成、不同型号的性能指标、适用范围等方面的差异，若差异较大，则应划分为不同的检测单元。对于典型性产品的选择，申请人应当提供相关资料予以证明。原则及举例如下：</w:t>
      </w:r>
    </w:p>
    <w:p w14:paraId="17923DA5">
      <w:pPr>
        <w:spacing w:line="520" w:lineRule="exact"/>
        <w:ind w:firstLine="640" w:firstLineChars="200"/>
        <w:rPr>
          <w:rFonts w:eastAsia="仿宋_GB2312"/>
          <w:sz w:val="32"/>
          <w:szCs w:val="32"/>
        </w:rPr>
      </w:pPr>
      <w:r>
        <w:rPr>
          <w:rFonts w:hint="eastAsia" w:eastAsia="仿宋_GB2312"/>
          <w:snapToGrid w:val="0"/>
          <w:kern w:val="0"/>
          <w:sz w:val="32"/>
          <w:szCs w:val="32"/>
        </w:rPr>
        <w:t>2.3.1</w:t>
      </w:r>
      <w:r>
        <w:rPr>
          <w:rFonts w:hint="eastAsia" w:eastAsia="仿宋_GB2312"/>
          <w:sz w:val="32"/>
          <w:szCs w:val="32"/>
        </w:rPr>
        <w:t>典型型号应是同一注册单元内能够代表本单元内其他型号安全性和有效性的产品。</w:t>
      </w:r>
    </w:p>
    <w:p w14:paraId="60539B5C">
      <w:pPr>
        <w:spacing w:line="520" w:lineRule="exact"/>
        <w:ind w:firstLine="640" w:firstLineChars="200"/>
        <w:rPr>
          <w:rFonts w:eastAsia="仿宋_GB2312"/>
          <w:sz w:val="32"/>
          <w:szCs w:val="32"/>
        </w:rPr>
      </w:pPr>
      <w:r>
        <w:rPr>
          <w:rFonts w:hint="eastAsia" w:eastAsia="仿宋_GB2312"/>
          <w:snapToGrid w:val="0"/>
          <w:kern w:val="0"/>
          <w:sz w:val="32"/>
          <w:szCs w:val="32"/>
        </w:rPr>
        <w:t>2.3.2</w:t>
      </w:r>
      <w:r>
        <w:rPr>
          <w:rFonts w:hint="eastAsia" w:eastAsia="仿宋_GB2312"/>
          <w:sz w:val="32"/>
          <w:szCs w:val="32"/>
        </w:rPr>
        <w:t>应考虑功能最齐全、结构最复杂、风险最高的型号。</w:t>
      </w:r>
    </w:p>
    <w:p w14:paraId="027C1003">
      <w:pPr>
        <w:spacing w:line="520" w:lineRule="exact"/>
        <w:ind w:firstLine="640" w:firstLineChars="200"/>
        <w:rPr>
          <w:rFonts w:eastAsia="仿宋_GB2312"/>
          <w:sz w:val="32"/>
          <w:szCs w:val="32"/>
        </w:rPr>
      </w:pPr>
      <w:r>
        <w:rPr>
          <w:rFonts w:hint="eastAsia" w:eastAsia="仿宋_GB2312"/>
          <w:snapToGrid w:val="0"/>
          <w:kern w:val="0"/>
          <w:sz w:val="32"/>
          <w:szCs w:val="32"/>
        </w:rPr>
        <w:t>2.3.3</w:t>
      </w:r>
      <w:r>
        <w:rPr>
          <w:rFonts w:hint="eastAsia" w:eastAsia="仿宋_GB2312"/>
          <w:sz w:val="32"/>
          <w:szCs w:val="32"/>
        </w:rPr>
        <w:t>注册单元内各种型号的主要安全指标、性能指标不能被某一型号全部涵盖时，则应选择涵盖安全指标、性能指标最多的型号作为典型型号，同时还应考虑其他型号中未被典型型号所涵盖的安全指标及性能指标。</w:t>
      </w:r>
    </w:p>
    <w:p w14:paraId="6C7EF2AB">
      <w:pPr>
        <w:spacing w:line="520" w:lineRule="exact"/>
        <w:ind w:firstLine="640" w:firstLineChars="200"/>
        <w:rPr>
          <w:rFonts w:eastAsia="仿宋_GB2312"/>
          <w:sz w:val="32"/>
          <w:szCs w:val="32"/>
        </w:rPr>
      </w:pPr>
      <w:r>
        <w:rPr>
          <w:rFonts w:hint="eastAsia" w:eastAsia="仿宋_GB2312"/>
          <w:snapToGrid w:val="0"/>
          <w:kern w:val="0"/>
          <w:sz w:val="32"/>
          <w:szCs w:val="32"/>
        </w:rPr>
        <w:t>2.3.4</w:t>
      </w:r>
      <w:r>
        <w:rPr>
          <w:rFonts w:hint="eastAsia" w:eastAsia="仿宋_GB2312"/>
          <w:sz w:val="32"/>
          <w:szCs w:val="32"/>
        </w:rPr>
        <w:t>应当按最不利的原则确定覆盖性，不能覆盖的差异性应分别检测。当没有充足证据能够证明同一注册单元内不同型号规格产品之间电气安全性能、电磁兼容性能可以覆盖时，应选取每一型号规格产品进行电气安全指标和电磁兼容项目检测。</w:t>
      </w:r>
    </w:p>
    <w:p w14:paraId="1ACEF8A9">
      <w:pPr>
        <w:widowControl/>
        <w:spacing w:line="520" w:lineRule="exact"/>
        <w:ind w:firstLine="640" w:firstLineChars="200"/>
        <w:outlineLvl w:val="2"/>
        <w:rPr>
          <w:rFonts w:eastAsia="仿宋"/>
          <w:bCs/>
          <w:sz w:val="32"/>
          <w:szCs w:val="32"/>
        </w:rPr>
      </w:pPr>
      <w:r>
        <w:rPr>
          <w:rFonts w:eastAsia="仿宋"/>
          <w:bCs/>
          <w:sz w:val="32"/>
          <w:szCs w:val="32"/>
        </w:rPr>
        <w:t>3.研究资料</w:t>
      </w:r>
    </w:p>
    <w:p w14:paraId="2FC99FBA">
      <w:pPr>
        <w:widowControl/>
        <w:spacing w:line="520" w:lineRule="exact"/>
        <w:ind w:firstLine="640" w:firstLineChars="200"/>
        <w:outlineLvl w:val="3"/>
        <w:rPr>
          <w:rFonts w:eastAsia="仿宋"/>
          <w:bCs/>
          <w:sz w:val="32"/>
          <w:szCs w:val="32"/>
        </w:rPr>
      </w:pPr>
      <w:r>
        <w:rPr>
          <w:rFonts w:eastAsia="仿宋"/>
          <w:bCs/>
          <w:sz w:val="32"/>
          <w:szCs w:val="32"/>
        </w:rPr>
        <w:t>3.1产品性能研究资料</w:t>
      </w:r>
    </w:p>
    <w:p w14:paraId="3881863E">
      <w:pPr>
        <w:widowControl/>
        <w:spacing w:line="520" w:lineRule="exact"/>
        <w:ind w:firstLine="640" w:firstLineChars="200"/>
        <w:outlineLvl w:val="4"/>
        <w:rPr>
          <w:rFonts w:eastAsia="仿宋"/>
          <w:bCs/>
          <w:sz w:val="32"/>
          <w:szCs w:val="32"/>
        </w:rPr>
      </w:pPr>
      <w:r>
        <w:rPr>
          <w:rFonts w:eastAsia="仿宋"/>
          <w:bCs/>
          <w:sz w:val="32"/>
          <w:szCs w:val="32"/>
        </w:rPr>
        <w:t>3.1.1</w:t>
      </w:r>
      <w:r>
        <w:rPr>
          <w:rFonts w:hint="eastAsia" w:eastAsia="仿宋_GB2312"/>
          <w:bCs/>
          <w:sz w:val="32"/>
          <w:szCs w:val="32"/>
        </w:rPr>
        <w:t>功能性指标</w:t>
      </w:r>
    </w:p>
    <w:p w14:paraId="444D8F7E">
      <w:pPr>
        <w:widowControl/>
        <w:spacing w:line="520" w:lineRule="exact"/>
        <w:ind w:firstLine="640" w:firstLineChars="200"/>
        <w:rPr>
          <w:rFonts w:eastAsia="仿宋"/>
          <w:bCs/>
          <w:sz w:val="32"/>
          <w:szCs w:val="32"/>
        </w:rPr>
      </w:pPr>
      <w:r>
        <w:rPr>
          <w:rFonts w:eastAsia="仿宋"/>
          <w:bCs/>
          <w:sz w:val="32"/>
          <w:szCs w:val="32"/>
        </w:rPr>
        <w:t>申报产品各组成模块性能的研究资料：应根据综述资料中有关申报产品结构组成和各主要组成模块的情况，提供详细的研究资料</w:t>
      </w:r>
      <w:r>
        <w:rPr>
          <w:rFonts w:hint="eastAsia" w:eastAsia="仿宋"/>
          <w:bCs/>
          <w:sz w:val="32"/>
          <w:szCs w:val="32"/>
        </w:rPr>
        <w:t>。</w:t>
      </w:r>
    </w:p>
    <w:p w14:paraId="49781F15">
      <w:pPr>
        <w:widowControl/>
        <w:spacing w:line="520" w:lineRule="exact"/>
        <w:ind w:firstLine="640" w:firstLineChars="200"/>
        <w:rPr>
          <w:rFonts w:eastAsia="仿宋"/>
          <w:bCs/>
          <w:sz w:val="32"/>
          <w:szCs w:val="32"/>
        </w:rPr>
      </w:pPr>
      <w:r>
        <w:rPr>
          <w:rFonts w:hint="eastAsia" w:eastAsia="仿宋"/>
          <w:bCs/>
          <w:sz w:val="32"/>
          <w:szCs w:val="32"/>
        </w:rPr>
        <w:t>适用于核酸检测的仪器通常应包括</w:t>
      </w:r>
      <w:r>
        <w:rPr>
          <w:rFonts w:eastAsia="仿宋"/>
          <w:bCs/>
          <w:sz w:val="32"/>
          <w:szCs w:val="32"/>
        </w:rPr>
        <w:t>光路系统</w:t>
      </w:r>
      <w:r>
        <w:rPr>
          <w:rFonts w:hint="eastAsia" w:eastAsia="仿宋"/>
          <w:bCs/>
          <w:sz w:val="32"/>
          <w:szCs w:val="32"/>
        </w:rPr>
        <w:t>和</w:t>
      </w:r>
      <w:r>
        <w:rPr>
          <w:rFonts w:eastAsia="仿宋"/>
          <w:bCs/>
          <w:sz w:val="32"/>
          <w:szCs w:val="32"/>
        </w:rPr>
        <w:t>调焦组件</w:t>
      </w:r>
      <w:r>
        <w:rPr>
          <w:rFonts w:hint="eastAsia" w:eastAsia="仿宋"/>
          <w:bCs/>
          <w:sz w:val="32"/>
          <w:szCs w:val="32"/>
        </w:rPr>
        <w:t>（分辨率、最低响应值、</w:t>
      </w:r>
      <w:r>
        <w:rPr>
          <w:rFonts w:eastAsia="仿宋"/>
          <w:bCs/>
          <w:sz w:val="32"/>
          <w:szCs w:val="32"/>
        </w:rPr>
        <w:t>线性</w:t>
      </w:r>
      <w:r>
        <w:rPr>
          <w:rFonts w:hint="eastAsia" w:eastAsia="仿宋"/>
          <w:bCs/>
          <w:sz w:val="32"/>
          <w:szCs w:val="32"/>
        </w:rPr>
        <w:t>范围）</w:t>
      </w:r>
      <w:r>
        <w:rPr>
          <w:rFonts w:eastAsia="仿宋"/>
          <w:bCs/>
          <w:sz w:val="32"/>
          <w:szCs w:val="32"/>
        </w:rPr>
        <w:t>、运动平台</w:t>
      </w:r>
      <w:r>
        <w:rPr>
          <w:rFonts w:hint="eastAsia" w:eastAsia="仿宋"/>
          <w:bCs/>
          <w:sz w:val="32"/>
          <w:szCs w:val="32"/>
        </w:rPr>
        <w:t>（一致性</w:t>
      </w:r>
      <w:r>
        <w:rPr>
          <w:rFonts w:eastAsia="仿宋"/>
          <w:bCs/>
          <w:sz w:val="32"/>
          <w:szCs w:val="32"/>
        </w:rPr>
        <w:t>、</w:t>
      </w:r>
      <w:r>
        <w:rPr>
          <w:rFonts w:hint="eastAsia" w:eastAsia="仿宋"/>
          <w:bCs/>
          <w:sz w:val="32"/>
          <w:szCs w:val="32"/>
        </w:rPr>
        <w:t>重复性</w:t>
      </w:r>
      <w:r>
        <w:rPr>
          <w:rFonts w:eastAsia="仿宋"/>
          <w:bCs/>
          <w:sz w:val="32"/>
          <w:szCs w:val="32"/>
        </w:rPr>
        <w:t>、稳定性</w:t>
      </w:r>
      <w:r>
        <w:rPr>
          <w:rFonts w:hint="eastAsia" w:eastAsia="仿宋"/>
          <w:bCs/>
          <w:sz w:val="32"/>
          <w:szCs w:val="32"/>
        </w:rPr>
        <w:t>）</w:t>
      </w:r>
      <w:r>
        <w:rPr>
          <w:rFonts w:eastAsia="仿宋"/>
          <w:bCs/>
          <w:sz w:val="32"/>
          <w:szCs w:val="32"/>
        </w:rPr>
        <w:t>功能性指标或者模块中主要元器件功能性指标及质量控制指标的研究资料。</w:t>
      </w:r>
    </w:p>
    <w:p w14:paraId="33430E56">
      <w:pPr>
        <w:widowControl/>
        <w:spacing w:line="520" w:lineRule="exact"/>
        <w:ind w:firstLine="640" w:firstLineChars="200"/>
        <w:rPr>
          <w:rFonts w:eastAsia="仿宋"/>
          <w:bCs/>
          <w:sz w:val="32"/>
          <w:szCs w:val="32"/>
        </w:rPr>
      </w:pPr>
      <w:r>
        <w:rPr>
          <w:rFonts w:hint="eastAsia" w:eastAsia="仿宋"/>
          <w:bCs/>
          <w:sz w:val="32"/>
          <w:szCs w:val="32"/>
        </w:rPr>
        <w:t>适用于蛋白检测的仪器通常应包括</w:t>
      </w:r>
      <w:r>
        <w:rPr>
          <w:rFonts w:eastAsia="仿宋"/>
          <w:bCs/>
          <w:sz w:val="32"/>
          <w:szCs w:val="32"/>
        </w:rPr>
        <w:t>芯片加载模块</w:t>
      </w:r>
      <w:r>
        <w:rPr>
          <w:rFonts w:hint="eastAsia" w:eastAsia="仿宋"/>
          <w:bCs/>
          <w:sz w:val="32"/>
          <w:szCs w:val="32"/>
        </w:rPr>
        <w:t>（仪器噪声）</w:t>
      </w:r>
      <w:r>
        <w:rPr>
          <w:rFonts w:eastAsia="仿宋"/>
          <w:bCs/>
          <w:sz w:val="32"/>
          <w:szCs w:val="32"/>
        </w:rPr>
        <w:t>、进样模块</w:t>
      </w:r>
      <w:r>
        <w:rPr>
          <w:rFonts w:hint="eastAsia" w:eastAsia="仿宋"/>
          <w:bCs/>
          <w:sz w:val="32"/>
          <w:szCs w:val="32"/>
        </w:rPr>
        <w:t>（</w:t>
      </w:r>
      <w:r>
        <w:rPr>
          <w:rFonts w:eastAsia="仿宋_GB2312"/>
          <w:bCs/>
          <w:kern w:val="0"/>
          <w:sz w:val="32"/>
          <w:szCs w:val="32"/>
        </w:rPr>
        <w:t>加样准确度和重复性</w:t>
      </w:r>
      <w:r>
        <w:rPr>
          <w:rFonts w:hint="eastAsia" w:eastAsia="仿宋"/>
          <w:bCs/>
          <w:sz w:val="32"/>
          <w:szCs w:val="32"/>
        </w:rPr>
        <w:t>）（如适用）</w:t>
      </w:r>
      <w:r>
        <w:rPr>
          <w:rFonts w:eastAsia="仿宋"/>
          <w:bCs/>
          <w:sz w:val="32"/>
          <w:szCs w:val="32"/>
        </w:rPr>
        <w:t>、试剂模块</w:t>
      </w:r>
      <w:r>
        <w:rPr>
          <w:rFonts w:hint="eastAsia" w:eastAsia="仿宋"/>
          <w:bCs/>
          <w:sz w:val="32"/>
          <w:szCs w:val="32"/>
        </w:rPr>
        <w:t>（温度控制的正确度与波动度）（如适用）</w:t>
      </w:r>
      <w:r>
        <w:rPr>
          <w:rFonts w:eastAsia="仿宋"/>
          <w:bCs/>
          <w:sz w:val="32"/>
          <w:szCs w:val="32"/>
        </w:rPr>
        <w:t>、</w:t>
      </w:r>
      <w:r>
        <w:rPr>
          <w:rFonts w:hint="eastAsia" w:eastAsia="仿宋"/>
          <w:bCs/>
          <w:sz w:val="32"/>
          <w:szCs w:val="32"/>
        </w:rPr>
        <w:t>温度控制模块（反应区温度控制的正确度与波动度）</w:t>
      </w:r>
      <w:r>
        <w:rPr>
          <w:rFonts w:eastAsia="仿宋"/>
          <w:bCs/>
          <w:sz w:val="32"/>
          <w:szCs w:val="32"/>
        </w:rPr>
        <w:t>、清洗分离模块</w:t>
      </w:r>
      <w:r>
        <w:rPr>
          <w:rFonts w:hint="eastAsia" w:eastAsia="仿宋"/>
          <w:bCs/>
          <w:sz w:val="32"/>
          <w:szCs w:val="32"/>
        </w:rPr>
        <w:t>（携带污染率）</w:t>
      </w:r>
      <w:r>
        <w:rPr>
          <w:rFonts w:eastAsia="仿宋"/>
          <w:bCs/>
          <w:sz w:val="32"/>
          <w:szCs w:val="32"/>
        </w:rPr>
        <w:t>、</w:t>
      </w:r>
      <w:r>
        <w:rPr>
          <w:rFonts w:eastAsia="仿宋_GB2312"/>
          <w:bCs/>
          <w:kern w:val="0"/>
          <w:sz w:val="32"/>
          <w:szCs w:val="32"/>
        </w:rPr>
        <w:t>光路检测模块</w:t>
      </w:r>
      <w:r>
        <w:rPr>
          <w:rFonts w:hint="eastAsia" w:eastAsia="仿宋_GB2312"/>
          <w:bCs/>
          <w:kern w:val="0"/>
          <w:sz w:val="32"/>
          <w:szCs w:val="32"/>
        </w:rPr>
        <w:t>（发光值的重复性、发光值的线性、发光值的稳定性、通道一致性（如适用）、分辨率和视场（相机适用））</w:t>
      </w:r>
      <w:r>
        <w:rPr>
          <w:rFonts w:eastAsia="仿宋"/>
          <w:bCs/>
          <w:sz w:val="32"/>
          <w:szCs w:val="32"/>
        </w:rPr>
        <w:t>功能性指标或者模块中主要元器件功能性指标及质量控制指标的研究资料。</w:t>
      </w:r>
    </w:p>
    <w:p w14:paraId="0B4559DA">
      <w:pPr>
        <w:widowControl/>
        <w:spacing w:line="520" w:lineRule="exact"/>
        <w:ind w:firstLine="640" w:firstLineChars="200"/>
        <w:rPr>
          <w:rFonts w:eastAsia="仿宋"/>
          <w:bCs/>
          <w:sz w:val="32"/>
          <w:szCs w:val="32"/>
        </w:rPr>
      </w:pPr>
      <w:r>
        <w:rPr>
          <w:rFonts w:eastAsia="仿宋"/>
          <w:bCs/>
          <w:sz w:val="32"/>
          <w:szCs w:val="32"/>
        </w:rPr>
        <w:t>研究资料中应详细写明通过研究验证确定的分析仪性能及关键元器件信息（如元器件的名称、生产企业、型号、主要性能参数等）。</w:t>
      </w:r>
    </w:p>
    <w:p w14:paraId="6C3BB9C8">
      <w:pPr>
        <w:spacing w:line="500" w:lineRule="exact"/>
        <w:ind w:right="-67" w:rightChars="-32" w:firstLine="640" w:firstLineChars="200"/>
        <w:outlineLvl w:val="4"/>
        <w:rPr>
          <w:rFonts w:eastAsia="仿宋"/>
          <w:bCs/>
          <w:sz w:val="32"/>
          <w:szCs w:val="32"/>
        </w:rPr>
      </w:pPr>
      <w:r>
        <w:rPr>
          <w:rFonts w:eastAsia="仿宋"/>
          <w:bCs/>
          <w:sz w:val="32"/>
          <w:szCs w:val="32"/>
        </w:rPr>
        <w:t>3.1.</w:t>
      </w:r>
      <w:r>
        <w:rPr>
          <w:rFonts w:hint="eastAsia" w:eastAsia="仿宋"/>
          <w:bCs/>
          <w:sz w:val="32"/>
          <w:szCs w:val="32"/>
        </w:rPr>
        <w:t>2</w:t>
      </w:r>
      <w:r>
        <w:rPr>
          <w:rFonts w:eastAsia="仿宋"/>
          <w:bCs/>
          <w:sz w:val="32"/>
          <w:szCs w:val="32"/>
        </w:rPr>
        <w:t>申报产品临床项目分析性能的研究资料</w:t>
      </w:r>
    </w:p>
    <w:p w14:paraId="6834CB42">
      <w:pPr>
        <w:spacing w:line="520" w:lineRule="exact"/>
        <w:ind w:firstLine="640" w:firstLineChars="200"/>
        <w:rPr>
          <w:rFonts w:eastAsia="仿宋_GB2312"/>
          <w:bCs/>
          <w:kern w:val="0"/>
          <w:sz w:val="32"/>
          <w:szCs w:val="32"/>
        </w:rPr>
      </w:pPr>
      <w:r>
        <w:rPr>
          <w:rFonts w:eastAsia="仿宋_GB2312"/>
          <w:bCs/>
          <w:kern w:val="0"/>
          <w:sz w:val="32"/>
          <w:szCs w:val="32"/>
        </w:rPr>
        <w:t>建议申请人根据配套检测试剂分析性能评估的基础研究结果，结合适用范围，综合考虑申报产品的分析方法、可检测的被分析物情况及检测项目类型，按照对申报产品评价最不利原则，选取代表性的临床项目，采用临床样本进行研究</w:t>
      </w:r>
      <w:r>
        <w:rPr>
          <w:rFonts w:hint="eastAsia" w:eastAsia="仿宋_GB2312"/>
          <w:bCs/>
          <w:kern w:val="0"/>
          <w:sz w:val="32"/>
          <w:szCs w:val="32"/>
        </w:rPr>
        <w:t>，</w:t>
      </w:r>
      <w:r>
        <w:rPr>
          <w:rFonts w:eastAsia="仿宋_GB2312"/>
          <w:kern w:val="0"/>
          <w:sz w:val="32"/>
          <w:szCs w:val="32"/>
        </w:rPr>
        <w:t>并提供详细的分析性能研究资料，包括</w:t>
      </w:r>
      <w:r>
        <w:rPr>
          <w:rFonts w:hint="eastAsia" w:eastAsia="仿宋_GB2312"/>
          <w:kern w:val="0"/>
          <w:sz w:val="32"/>
          <w:szCs w:val="32"/>
        </w:rPr>
        <w:t>重复性</w:t>
      </w:r>
      <w:r>
        <w:rPr>
          <w:rFonts w:eastAsia="仿宋_GB2312"/>
          <w:kern w:val="0"/>
          <w:sz w:val="32"/>
          <w:szCs w:val="32"/>
        </w:rPr>
        <w:t>、线性等。</w:t>
      </w:r>
      <w:r>
        <w:rPr>
          <w:rFonts w:eastAsia="仿宋_GB2312"/>
          <w:bCs/>
          <w:kern w:val="0"/>
          <w:sz w:val="32"/>
          <w:szCs w:val="32"/>
        </w:rPr>
        <w:t>。代表性项目的选择应同时说明选择依据，研究资料应结合配套试剂，对主要性能进行系统性评估。</w:t>
      </w:r>
    </w:p>
    <w:p w14:paraId="4EF4AE1C">
      <w:pPr>
        <w:widowControl/>
        <w:spacing w:line="520" w:lineRule="exact"/>
        <w:ind w:firstLine="640" w:firstLineChars="200"/>
        <w:outlineLvl w:val="4"/>
        <w:rPr>
          <w:rFonts w:eastAsia="仿宋"/>
          <w:bCs/>
          <w:sz w:val="32"/>
          <w:szCs w:val="32"/>
        </w:rPr>
      </w:pPr>
      <w:r>
        <w:rPr>
          <w:rFonts w:eastAsia="仿宋"/>
          <w:bCs/>
          <w:sz w:val="32"/>
          <w:szCs w:val="32"/>
        </w:rPr>
        <w:t>3.1.</w:t>
      </w:r>
      <w:r>
        <w:rPr>
          <w:rFonts w:hint="eastAsia" w:eastAsia="仿宋"/>
          <w:bCs/>
          <w:sz w:val="32"/>
          <w:szCs w:val="32"/>
        </w:rPr>
        <w:t>3</w:t>
      </w:r>
      <w:r>
        <w:rPr>
          <w:rFonts w:eastAsia="仿宋"/>
          <w:bCs/>
          <w:sz w:val="32"/>
          <w:szCs w:val="32"/>
        </w:rPr>
        <w:t>安全性</w:t>
      </w:r>
      <w:r>
        <w:rPr>
          <w:rFonts w:hint="eastAsia" w:eastAsia="仿宋"/>
          <w:bCs/>
          <w:sz w:val="32"/>
          <w:szCs w:val="32"/>
        </w:rPr>
        <w:t>指标</w:t>
      </w:r>
    </w:p>
    <w:p w14:paraId="5969BDCE">
      <w:pPr>
        <w:widowControl/>
        <w:spacing w:line="520" w:lineRule="exact"/>
        <w:ind w:firstLine="640" w:firstLineChars="200"/>
        <w:rPr>
          <w:rFonts w:eastAsia="仿宋"/>
          <w:bCs/>
          <w:sz w:val="32"/>
          <w:szCs w:val="32"/>
        </w:rPr>
      </w:pPr>
      <w:r>
        <w:rPr>
          <w:rFonts w:eastAsia="仿宋"/>
          <w:bCs/>
          <w:sz w:val="32"/>
          <w:szCs w:val="32"/>
        </w:rPr>
        <w:t>安全性指标的验证包括电气安全指标和电磁兼容指标两大类。电气安全指标应当包括GB 4793《测量、控制和实验室用电气设备安全技术规范》、GB/T 42125.1《测量、控制和实验室用电气设备的安全要求 第1部分：通用要求》、GB/T 42125.2</w:t>
      </w:r>
      <w:r>
        <w:rPr>
          <w:rFonts w:hint="eastAsia" w:eastAsia="仿宋"/>
          <w:bCs/>
          <w:sz w:val="32"/>
          <w:szCs w:val="32"/>
        </w:rPr>
        <w:t>测量、控制和实验室用电气设备的安全要求 第2部分：材料加热用实验室设备的特殊要求》（如适用）、</w:t>
      </w:r>
      <w:r>
        <w:rPr>
          <w:rFonts w:eastAsia="仿宋"/>
          <w:bCs/>
          <w:sz w:val="32"/>
          <w:szCs w:val="32"/>
        </w:rPr>
        <w:t>YY</w:t>
      </w:r>
      <w:r>
        <w:rPr>
          <w:rFonts w:hint="eastAsia" w:eastAsia="仿宋"/>
          <w:bCs/>
          <w:sz w:val="32"/>
          <w:szCs w:val="32"/>
        </w:rPr>
        <w:t>/T</w:t>
      </w:r>
      <w:r>
        <w:rPr>
          <w:rFonts w:eastAsia="仿宋"/>
          <w:bCs/>
          <w:sz w:val="32"/>
          <w:szCs w:val="32"/>
        </w:rPr>
        <w:t xml:space="preserve"> 0648《测量、控制和试验室用电气设备的安全要求 第2-101部分：体外诊断（IVD）医用设备的专用要求》及其他适用的国家标准和行业标准中的所有指标；电磁兼容指标应当包括GB/T 18268.1《测量、控制和实验室用的电设备电磁兼容性要求第1部分：通用要求》和GB/T 18268.26《测量、控制和实验室用的电设备电磁兼容性要求 第26部分：特殊要求 体外诊断（IVD）医疗设备》及其他适用的国家标准和行业标准中的所有指标。具备能力的申请人可对上述项目自行研究，并提交详细的验证资料；不具备能力的申请人可通过检验报告对上述项目进行验证，以检验报告作为该部分的验证资料。</w:t>
      </w:r>
    </w:p>
    <w:p w14:paraId="24006705">
      <w:pPr>
        <w:spacing w:line="500" w:lineRule="exact"/>
        <w:ind w:right="-67" w:rightChars="-32" w:firstLine="640" w:firstLineChars="200"/>
        <w:outlineLvl w:val="4"/>
        <w:rPr>
          <w:rFonts w:eastAsia="仿宋"/>
          <w:bCs/>
          <w:sz w:val="32"/>
          <w:szCs w:val="32"/>
        </w:rPr>
      </w:pPr>
      <w:r>
        <w:rPr>
          <w:rFonts w:eastAsia="仿宋"/>
          <w:bCs/>
          <w:sz w:val="32"/>
          <w:szCs w:val="32"/>
        </w:rPr>
        <w:t>3.1.</w:t>
      </w:r>
      <w:r>
        <w:rPr>
          <w:rFonts w:hint="eastAsia" w:eastAsia="仿宋"/>
          <w:bCs/>
          <w:sz w:val="32"/>
          <w:szCs w:val="32"/>
        </w:rPr>
        <w:t>4</w:t>
      </w:r>
      <w:r>
        <w:rPr>
          <w:rFonts w:eastAsia="仿宋"/>
          <w:bCs/>
          <w:sz w:val="32"/>
          <w:szCs w:val="32"/>
        </w:rPr>
        <w:t>环境条件对产品性能指标无显著影响的研究资料</w:t>
      </w:r>
    </w:p>
    <w:p w14:paraId="23B92498">
      <w:pPr>
        <w:spacing w:line="500" w:lineRule="exact"/>
        <w:ind w:right="-67" w:rightChars="-32" w:firstLine="640" w:firstLineChars="200"/>
        <w:rPr>
          <w:rFonts w:eastAsia="仿宋"/>
          <w:bCs/>
          <w:sz w:val="32"/>
          <w:szCs w:val="32"/>
        </w:rPr>
      </w:pPr>
      <w:r>
        <w:rPr>
          <w:rFonts w:eastAsia="仿宋"/>
          <w:bCs/>
          <w:sz w:val="32"/>
          <w:szCs w:val="32"/>
        </w:rPr>
        <w:t>主要包括气候环境条件、机械环境条件、运输条件等，可参考GB/T 14710《医用电器环境要求及试验方法》及其他适用的标准。申请人应对上述项目进行研究，并提交相应的研究报告。</w:t>
      </w:r>
    </w:p>
    <w:p w14:paraId="7209BE7C">
      <w:pPr>
        <w:spacing w:line="500" w:lineRule="exact"/>
        <w:ind w:right="-67" w:rightChars="-32" w:firstLine="640" w:firstLineChars="200"/>
        <w:rPr>
          <w:rFonts w:eastAsia="仿宋"/>
          <w:bCs/>
          <w:sz w:val="32"/>
          <w:szCs w:val="32"/>
        </w:rPr>
      </w:pPr>
      <w:r>
        <w:rPr>
          <w:rFonts w:eastAsia="仿宋"/>
          <w:bCs/>
          <w:sz w:val="32"/>
          <w:szCs w:val="32"/>
        </w:rPr>
        <w:t>正常工作环境以产品标称为准，但需经相应环境试验验证。明确标识供电类型、电压。</w:t>
      </w:r>
    </w:p>
    <w:p w14:paraId="7E801BDB">
      <w:pPr>
        <w:widowControl/>
        <w:spacing w:line="520" w:lineRule="exact"/>
        <w:ind w:firstLine="640" w:firstLineChars="200"/>
        <w:outlineLvl w:val="3"/>
        <w:rPr>
          <w:rFonts w:eastAsia="仿宋_GB2312"/>
          <w:sz w:val="32"/>
          <w:szCs w:val="32"/>
        </w:rPr>
      </w:pPr>
      <w:r>
        <w:rPr>
          <w:rFonts w:hint="eastAsia" w:eastAsia="仿宋_GB2312"/>
          <w:sz w:val="32"/>
          <w:szCs w:val="32"/>
        </w:rPr>
        <w:t>3.2软件研究</w:t>
      </w:r>
    </w:p>
    <w:p w14:paraId="13B9912E">
      <w:pPr>
        <w:widowControl/>
        <w:spacing w:line="520" w:lineRule="exact"/>
        <w:ind w:firstLine="640" w:firstLineChars="200"/>
        <w:rPr>
          <w:rFonts w:eastAsia="仿宋_GB2312"/>
          <w:sz w:val="32"/>
          <w:szCs w:val="32"/>
        </w:rPr>
      </w:pPr>
      <w:r>
        <w:rPr>
          <w:rFonts w:hint="eastAsia" w:eastAsia="仿宋_GB2312"/>
          <w:kern w:val="0"/>
          <w:sz w:val="32"/>
          <w:szCs w:val="32"/>
        </w:rPr>
        <w:t>根据YY/T 0664的要求</w:t>
      </w:r>
      <w:r>
        <w:rPr>
          <w:rFonts w:hint="eastAsia" w:eastAsia="仿宋_GB2312"/>
          <w:sz w:val="32"/>
          <w:szCs w:val="32"/>
        </w:rPr>
        <w:t>，结合软件的预期用途、使用场景、核心功能综合判定软件的安全性级别并按照确定的安全性级别提交软件研究报告，</w:t>
      </w:r>
      <w:r>
        <w:rPr>
          <w:rFonts w:hint="eastAsia" w:eastAsia="仿宋_GB2312"/>
          <w:kern w:val="0"/>
          <w:sz w:val="32"/>
          <w:szCs w:val="32"/>
        </w:rPr>
        <w:t>软件研究报告需要覆盖全部软件组件</w:t>
      </w:r>
      <w:r>
        <w:rPr>
          <w:rFonts w:hint="eastAsia" w:eastAsia="仿宋_GB2312"/>
          <w:sz w:val="32"/>
          <w:szCs w:val="32"/>
        </w:rPr>
        <w:t>。</w:t>
      </w:r>
    </w:p>
    <w:p w14:paraId="5103457C">
      <w:pPr>
        <w:widowControl/>
        <w:spacing w:line="520" w:lineRule="exact"/>
        <w:ind w:firstLine="640" w:firstLineChars="200"/>
        <w:rPr>
          <w:rFonts w:eastAsia="仿宋_GB2312"/>
          <w:sz w:val="32"/>
          <w:szCs w:val="32"/>
        </w:rPr>
      </w:pPr>
      <w:r>
        <w:rPr>
          <w:rFonts w:hint="eastAsia" w:eastAsia="仿宋_GB2312"/>
          <w:sz w:val="32"/>
          <w:szCs w:val="32"/>
        </w:rPr>
        <w:t>软件版本命名规则：明确软件完整版本全部字段和字段含义，若软件模块（含医用中间件）单独进行版本控制亦需提供其版本命名规则，并明确与软件版本命名规则的关系。软件和软件模块的版本命名规则均需与质量管理体系保持一致。</w:t>
      </w:r>
    </w:p>
    <w:p w14:paraId="058D9399">
      <w:pPr>
        <w:widowControl/>
        <w:spacing w:line="520" w:lineRule="exact"/>
        <w:ind w:firstLine="640" w:firstLineChars="200"/>
        <w:outlineLvl w:val="4"/>
        <w:rPr>
          <w:rFonts w:eastAsia="仿宋_GB2312"/>
          <w:sz w:val="32"/>
          <w:szCs w:val="32"/>
        </w:rPr>
      </w:pPr>
      <w:r>
        <w:rPr>
          <w:rFonts w:hint="eastAsia" w:eastAsia="仿宋_GB2312"/>
          <w:sz w:val="32"/>
          <w:szCs w:val="32"/>
        </w:rPr>
        <w:t xml:space="preserve">3.2.1 </w:t>
      </w:r>
      <w:r>
        <w:rPr>
          <w:rFonts w:eastAsia="仿宋_GB2312"/>
          <w:sz w:val="32"/>
          <w:szCs w:val="32"/>
        </w:rPr>
        <w:t>软件</w:t>
      </w:r>
    </w:p>
    <w:p w14:paraId="2363F720">
      <w:pPr>
        <w:spacing w:line="520" w:lineRule="exact"/>
        <w:ind w:firstLine="640" w:firstLineChars="200"/>
        <w:rPr>
          <w:rFonts w:eastAsia="仿宋_GB2312"/>
          <w:sz w:val="32"/>
          <w:szCs w:val="32"/>
        </w:rPr>
      </w:pPr>
      <w:r>
        <w:rPr>
          <w:rFonts w:hint="eastAsia" w:eastAsia="仿宋_GB2312"/>
          <w:sz w:val="32"/>
          <w:szCs w:val="32"/>
        </w:rPr>
        <w:t>有关软件研究资料的详细内容，应按照《医疗器械软件注册审查指导原则（2022年修订版）》要求进行编写。</w:t>
      </w:r>
    </w:p>
    <w:p w14:paraId="4D0C5659">
      <w:pPr>
        <w:widowControl/>
        <w:spacing w:line="520" w:lineRule="exact"/>
        <w:ind w:firstLine="640" w:firstLineChars="200"/>
        <w:rPr>
          <w:rFonts w:eastAsia="仿宋_GB2312"/>
          <w:sz w:val="32"/>
          <w:szCs w:val="32"/>
        </w:rPr>
      </w:pPr>
      <w:r>
        <w:rPr>
          <w:rFonts w:eastAsia="仿宋_GB2312"/>
          <w:sz w:val="32"/>
          <w:szCs w:val="32"/>
        </w:rPr>
        <w:t>注册申请人</w:t>
      </w:r>
      <w:r>
        <w:rPr>
          <w:rFonts w:hint="eastAsia" w:eastAsia="仿宋_GB2312"/>
          <w:sz w:val="32"/>
          <w:szCs w:val="32"/>
        </w:rPr>
        <w:t>在</w:t>
      </w:r>
      <w:r>
        <w:rPr>
          <w:rFonts w:eastAsia="仿宋_GB2312"/>
          <w:sz w:val="32"/>
          <w:szCs w:val="32"/>
        </w:rPr>
        <w:t>提交软件研究资料时应当提供自研软件研究报告、外部软件环境评估报告（若适用）以及GB/T 25000.51自测报告，亦可提交自检报告或检验报告代替自测报告。</w:t>
      </w:r>
    </w:p>
    <w:p w14:paraId="6D59785C">
      <w:pPr>
        <w:widowControl/>
        <w:spacing w:line="520" w:lineRule="exact"/>
        <w:ind w:firstLine="640" w:firstLineChars="200"/>
        <w:outlineLvl w:val="4"/>
        <w:rPr>
          <w:rFonts w:eastAsia="仿宋_GB2312"/>
          <w:sz w:val="32"/>
          <w:szCs w:val="32"/>
        </w:rPr>
      </w:pPr>
      <w:r>
        <w:rPr>
          <w:rFonts w:hint="eastAsia" w:eastAsia="仿宋_GB2312"/>
          <w:sz w:val="32"/>
          <w:szCs w:val="32"/>
        </w:rPr>
        <w:t>3.2.2网络安全要求</w:t>
      </w:r>
    </w:p>
    <w:p w14:paraId="1C6B4E12">
      <w:pPr>
        <w:widowControl/>
        <w:spacing w:line="520" w:lineRule="exact"/>
        <w:ind w:firstLine="640" w:firstLineChars="200"/>
        <w:rPr>
          <w:rFonts w:eastAsia="仿宋_GB2312"/>
          <w:sz w:val="32"/>
          <w:szCs w:val="32"/>
        </w:rPr>
      </w:pPr>
      <w:r>
        <w:rPr>
          <w:rFonts w:hint="eastAsia" w:eastAsia="仿宋_GB2312"/>
          <w:sz w:val="32"/>
          <w:szCs w:val="32"/>
        </w:rPr>
        <w:t>产品涉及医疗器械网络安全是指具备电子数据交换、远程访问与控制、用户访问三种功能当中一种及以上功能；适用于自研软件、现成软件。其中，网络包括无线、有线网络，电子数据交换包括基于网络、存储媒介的单向、双向数据传输，远程访问与控制包括基于网络的实时、非实时的访问与控制，用户（如医务人员、患者、维护人员等）访问包括基于软件用户界面、电子接口的人机交互方式。</w:t>
      </w:r>
    </w:p>
    <w:p w14:paraId="75D31DC6">
      <w:pPr>
        <w:widowControl/>
        <w:spacing w:line="520" w:lineRule="exact"/>
        <w:ind w:firstLine="640" w:firstLineChars="200"/>
        <w:rPr>
          <w:rFonts w:eastAsia="仿宋_GB2312"/>
          <w:sz w:val="32"/>
          <w:szCs w:val="32"/>
        </w:rPr>
      </w:pPr>
      <w:r>
        <w:rPr>
          <w:rFonts w:hint="eastAsia" w:eastAsia="仿宋_GB2312"/>
          <w:sz w:val="32"/>
          <w:szCs w:val="32"/>
        </w:rPr>
        <w:t>有关网络安全研究资料的详细内容，建议按照《医疗器械网络安全注册审查指导原则（2022年修订版）》的要求进行编写。</w:t>
      </w:r>
    </w:p>
    <w:p w14:paraId="2A2AF4A0">
      <w:pPr>
        <w:widowControl/>
        <w:spacing w:line="520" w:lineRule="exact"/>
        <w:ind w:firstLine="640" w:firstLineChars="200"/>
        <w:outlineLvl w:val="3"/>
        <w:rPr>
          <w:rFonts w:eastAsia="仿宋"/>
          <w:bCs/>
          <w:sz w:val="32"/>
          <w:szCs w:val="32"/>
        </w:rPr>
      </w:pPr>
      <w:r>
        <w:rPr>
          <w:rFonts w:hint="eastAsia" w:eastAsia="仿宋"/>
          <w:bCs/>
          <w:sz w:val="32"/>
          <w:szCs w:val="32"/>
        </w:rPr>
        <w:t>3.3可用性研究</w:t>
      </w:r>
    </w:p>
    <w:p w14:paraId="7ABE2E7E">
      <w:pPr>
        <w:widowControl/>
        <w:spacing w:line="520" w:lineRule="exact"/>
        <w:ind w:firstLine="640" w:firstLineChars="200"/>
        <w:rPr>
          <w:rFonts w:eastAsia="仿宋"/>
          <w:bCs/>
          <w:sz w:val="32"/>
          <w:szCs w:val="32"/>
        </w:rPr>
      </w:pPr>
      <w:r>
        <w:rPr>
          <w:rFonts w:hint="eastAsia" w:eastAsia="仿宋"/>
          <w:bCs/>
          <w:sz w:val="32"/>
          <w:szCs w:val="32"/>
        </w:rPr>
        <w:t>参照《医疗器械可用性工程注册审查指导原则》的要求，提交使用错误评估报告。</w:t>
      </w:r>
    </w:p>
    <w:p w14:paraId="632A9A9A">
      <w:pPr>
        <w:widowControl/>
        <w:spacing w:line="520" w:lineRule="exact"/>
        <w:ind w:firstLine="640" w:firstLineChars="200"/>
        <w:outlineLvl w:val="3"/>
        <w:rPr>
          <w:rFonts w:eastAsia="仿宋_GB2312"/>
          <w:sz w:val="32"/>
          <w:szCs w:val="32"/>
        </w:rPr>
      </w:pPr>
      <w:r>
        <w:rPr>
          <w:rFonts w:hint="eastAsia" w:eastAsia="仿宋_GB2312"/>
          <w:sz w:val="32"/>
          <w:szCs w:val="32"/>
        </w:rPr>
        <w:t>3.4清洁、消毒研究</w:t>
      </w:r>
    </w:p>
    <w:p w14:paraId="6FAD372D">
      <w:pPr>
        <w:widowControl/>
        <w:spacing w:line="520" w:lineRule="exact"/>
        <w:ind w:firstLine="640" w:firstLineChars="200"/>
        <w:rPr>
          <w:rFonts w:eastAsia="仿宋_GB2312"/>
          <w:sz w:val="32"/>
          <w:szCs w:val="32"/>
        </w:rPr>
      </w:pPr>
      <w:r>
        <w:rPr>
          <w:rFonts w:hint="eastAsia" w:eastAsia="仿宋_GB2312"/>
          <w:sz w:val="32"/>
          <w:szCs w:val="32"/>
        </w:rPr>
        <w:t>应当明确推荐的清洁和消毒方法及确定依据，并提交验证的相关研究资料。</w:t>
      </w:r>
    </w:p>
    <w:p w14:paraId="34F139E2">
      <w:pPr>
        <w:pStyle w:val="37"/>
        <w:overflowPunct w:val="0"/>
        <w:autoSpaceDE w:val="0"/>
        <w:autoSpaceDN w:val="0"/>
        <w:spacing w:line="520" w:lineRule="exact"/>
        <w:ind w:right="210" w:firstLine="640"/>
        <w:outlineLvl w:val="3"/>
        <w:rPr>
          <w:rFonts w:ascii="Times New Roman" w:hAnsi="Times New Roman" w:eastAsia="仿宋_GB2312"/>
          <w:snapToGrid w:val="0"/>
          <w:kern w:val="0"/>
          <w:sz w:val="32"/>
          <w:szCs w:val="32"/>
        </w:rPr>
      </w:pPr>
      <w:r>
        <w:rPr>
          <w:rFonts w:ascii="Times New Roman" w:hAnsi="Times New Roman" w:eastAsia="仿宋_GB2312"/>
          <w:snapToGrid w:val="0"/>
          <w:kern w:val="0"/>
          <w:sz w:val="32"/>
          <w:szCs w:val="32"/>
        </w:rPr>
        <w:t>3.</w:t>
      </w:r>
      <w:r>
        <w:rPr>
          <w:rFonts w:hint="eastAsia" w:ascii="Times New Roman" w:hAnsi="Times New Roman" w:eastAsia="仿宋_GB2312"/>
          <w:snapToGrid w:val="0"/>
          <w:kern w:val="0"/>
          <w:sz w:val="32"/>
          <w:szCs w:val="32"/>
        </w:rPr>
        <w:t>5</w:t>
      </w:r>
      <w:r>
        <w:rPr>
          <w:rFonts w:ascii="Times New Roman" w:hAnsi="Times New Roman" w:eastAsia="仿宋_GB2312"/>
          <w:snapToGrid w:val="0"/>
          <w:kern w:val="0"/>
          <w:sz w:val="32"/>
          <w:szCs w:val="32"/>
        </w:rPr>
        <w:t>稳定性研究</w:t>
      </w:r>
    </w:p>
    <w:p w14:paraId="25466EF7">
      <w:pPr>
        <w:spacing w:line="520" w:lineRule="exact"/>
        <w:ind w:firstLine="640" w:firstLineChars="200"/>
        <w:rPr>
          <w:rFonts w:eastAsia="仿宋_GB2312"/>
          <w:sz w:val="32"/>
          <w:szCs w:val="32"/>
        </w:rPr>
      </w:pPr>
      <w:r>
        <w:rPr>
          <w:rFonts w:eastAsia="仿宋_GB2312"/>
          <w:sz w:val="32"/>
          <w:szCs w:val="32"/>
        </w:rPr>
        <w:t>医用电器环境要求是评价产品在各种工作环境和模拟贮</w:t>
      </w:r>
      <w:r>
        <w:rPr>
          <w:rFonts w:eastAsia="仿宋_GB2312"/>
          <w:snapToGrid w:val="0"/>
          <w:kern w:val="0"/>
          <w:sz w:val="32"/>
          <w:szCs w:val="32"/>
        </w:rPr>
        <w:t>存、运输环境下的适应性，一般认为属于稳定性评价项目。可以制定不同的气候环境条件和机械环境条件来进行试验，或通过对关键部件的试验来评价整机的情况，也可以通过已上市同类产品比对方式进行判断。</w:t>
      </w:r>
    </w:p>
    <w:p w14:paraId="1A1BC7BC">
      <w:pPr>
        <w:spacing w:line="520" w:lineRule="exact"/>
        <w:ind w:firstLine="640" w:firstLineChars="200"/>
        <w:outlineLvl w:val="4"/>
        <w:rPr>
          <w:rFonts w:eastAsia="仿宋_GB2312"/>
          <w:sz w:val="32"/>
          <w:szCs w:val="32"/>
        </w:rPr>
      </w:pPr>
      <w:r>
        <w:rPr>
          <w:rFonts w:eastAsia="仿宋_GB2312"/>
          <w:sz w:val="32"/>
          <w:szCs w:val="32"/>
        </w:rPr>
        <w:t>3.</w:t>
      </w:r>
      <w:r>
        <w:rPr>
          <w:rFonts w:hint="eastAsia" w:eastAsia="仿宋_GB2312"/>
          <w:sz w:val="32"/>
          <w:szCs w:val="32"/>
        </w:rPr>
        <w:t>5</w:t>
      </w:r>
      <w:r>
        <w:rPr>
          <w:rFonts w:eastAsia="仿宋_GB2312"/>
          <w:sz w:val="32"/>
          <w:szCs w:val="32"/>
        </w:rPr>
        <w:t>.1使用稳定性</w:t>
      </w:r>
    </w:p>
    <w:p w14:paraId="33620601">
      <w:pPr>
        <w:spacing w:line="520" w:lineRule="exact"/>
        <w:ind w:firstLine="640" w:firstLineChars="200"/>
        <w:rPr>
          <w:rFonts w:eastAsia="仿宋_GB2312"/>
          <w:sz w:val="32"/>
          <w:szCs w:val="32"/>
        </w:rPr>
      </w:pPr>
      <w:r>
        <w:rPr>
          <w:rFonts w:hint="eastAsia" w:eastAsia="仿宋_GB2312"/>
          <w:sz w:val="32"/>
          <w:szCs w:val="32"/>
        </w:rPr>
        <w:t>注册申请人需参照《有源医疗器械使用期限注册技术审查指导原则》提供产品使用期限的分析报告。</w:t>
      </w:r>
    </w:p>
    <w:p w14:paraId="16578521">
      <w:pPr>
        <w:spacing w:line="520" w:lineRule="exact"/>
        <w:ind w:firstLine="640" w:firstLineChars="200"/>
        <w:rPr>
          <w:rFonts w:eastAsia="仿宋_GB2312"/>
          <w:sz w:val="32"/>
          <w:szCs w:val="32"/>
        </w:rPr>
      </w:pPr>
      <w:r>
        <w:rPr>
          <w:rFonts w:hint="eastAsia" w:eastAsia="仿宋_GB2312"/>
          <w:sz w:val="32"/>
          <w:szCs w:val="32"/>
        </w:rPr>
        <w:t>可以对该产品进行使用状态列举，完整分析出临床使用的情况，直接进行产品的老化试验研究；也可以将产品（系统）分解为不同子系统/部件进行评价，应详细分析分解关系，在此基础上通过不同的分解方式确定产品的使用期限。</w:t>
      </w:r>
    </w:p>
    <w:p w14:paraId="463EED6A">
      <w:pPr>
        <w:spacing w:line="520" w:lineRule="exact"/>
        <w:ind w:firstLine="640" w:firstLineChars="200"/>
        <w:outlineLvl w:val="4"/>
        <w:rPr>
          <w:rFonts w:eastAsia="仿宋_GB2312"/>
          <w:sz w:val="32"/>
          <w:szCs w:val="32"/>
        </w:rPr>
      </w:pPr>
      <w:r>
        <w:rPr>
          <w:rFonts w:eastAsia="仿宋_GB2312"/>
          <w:sz w:val="32"/>
          <w:szCs w:val="32"/>
        </w:rPr>
        <w:t>3.</w:t>
      </w:r>
      <w:r>
        <w:rPr>
          <w:rFonts w:hint="eastAsia" w:eastAsia="仿宋_GB2312"/>
          <w:sz w:val="32"/>
          <w:szCs w:val="32"/>
        </w:rPr>
        <w:t>5</w:t>
      </w:r>
      <w:r>
        <w:rPr>
          <w:rFonts w:eastAsia="仿宋_GB2312"/>
          <w:sz w:val="32"/>
          <w:szCs w:val="32"/>
        </w:rPr>
        <w:t>.2运输稳定性</w:t>
      </w:r>
    </w:p>
    <w:p w14:paraId="7726DA97">
      <w:pPr>
        <w:spacing w:line="520" w:lineRule="exact"/>
        <w:ind w:firstLine="640" w:firstLineChars="200"/>
        <w:rPr>
          <w:rFonts w:eastAsia="仿宋_GB2312"/>
          <w:sz w:val="32"/>
          <w:szCs w:val="32"/>
        </w:rPr>
      </w:pPr>
      <w:r>
        <w:rPr>
          <w:rFonts w:eastAsia="仿宋_GB2312"/>
          <w:sz w:val="32"/>
          <w:szCs w:val="32"/>
        </w:rPr>
        <w:t>注册申请人需提交运输稳定性验证资料，证明在规定的运输条件下，运输过程中环境条件（例如：震动、振动、温度和湿度的波动）不会对医疗器械的特性和性能，包括完整性和清洁度，造成不利影响。</w:t>
      </w:r>
    </w:p>
    <w:p w14:paraId="12524822">
      <w:pPr>
        <w:widowControl/>
        <w:spacing w:line="520" w:lineRule="exact"/>
        <w:ind w:firstLine="640" w:firstLineChars="200"/>
        <w:outlineLvl w:val="3"/>
        <w:rPr>
          <w:rFonts w:eastAsia="仿宋"/>
          <w:bCs/>
          <w:sz w:val="32"/>
          <w:szCs w:val="32"/>
        </w:rPr>
      </w:pPr>
      <w:r>
        <w:rPr>
          <w:rFonts w:eastAsia="仿宋"/>
          <w:bCs/>
          <w:sz w:val="32"/>
          <w:szCs w:val="32"/>
        </w:rPr>
        <w:t>3.</w:t>
      </w:r>
      <w:r>
        <w:rPr>
          <w:rFonts w:hint="eastAsia" w:eastAsia="仿宋"/>
          <w:bCs/>
          <w:sz w:val="32"/>
          <w:szCs w:val="32"/>
        </w:rPr>
        <w:t>6</w:t>
      </w:r>
      <w:r>
        <w:rPr>
          <w:rFonts w:eastAsia="仿宋"/>
          <w:bCs/>
          <w:sz w:val="32"/>
          <w:szCs w:val="32"/>
        </w:rPr>
        <w:t>其他资料</w:t>
      </w:r>
    </w:p>
    <w:p w14:paraId="72550FA1">
      <w:pPr>
        <w:spacing w:line="520" w:lineRule="exact"/>
        <w:ind w:firstLine="640" w:firstLineChars="200"/>
        <w:rPr>
          <w:rFonts w:eastAsia="仿宋"/>
          <w:bCs/>
          <w:sz w:val="32"/>
          <w:szCs w:val="32"/>
        </w:rPr>
      </w:pPr>
      <w:r>
        <w:rPr>
          <w:rFonts w:eastAsia="仿宋"/>
          <w:bCs/>
          <w:sz w:val="32"/>
          <w:szCs w:val="32"/>
        </w:rPr>
        <w:t>该产品列入《免于</w:t>
      </w:r>
      <w:r>
        <w:rPr>
          <w:rFonts w:hint="eastAsia" w:eastAsia="仿宋"/>
          <w:bCs/>
          <w:sz w:val="32"/>
          <w:szCs w:val="32"/>
        </w:rPr>
        <w:t>进行</w:t>
      </w:r>
      <w:r>
        <w:rPr>
          <w:rFonts w:eastAsia="仿宋"/>
          <w:bCs/>
          <w:sz w:val="32"/>
          <w:szCs w:val="32"/>
        </w:rPr>
        <w:t>临床评价医疗器械目录》（以下简称《目录》），请按照《列入免于临床评价医疗器械目录产品对比说明技术指导原则》要求，提交申报产品与《目录》所述内容的对比资料，以及申报产品与《目录》中已获准境内注册医疗器械的对比说明资料。</w:t>
      </w:r>
    </w:p>
    <w:p w14:paraId="4F9616F7">
      <w:pPr>
        <w:overflowPunct w:val="0"/>
        <w:autoSpaceDE w:val="0"/>
        <w:autoSpaceDN w:val="0"/>
        <w:spacing w:line="520" w:lineRule="exact"/>
        <w:ind w:left="221" w:firstLine="640" w:firstLineChars="200"/>
        <w:outlineLvl w:val="1"/>
        <w:rPr>
          <w:rFonts w:eastAsia="楷体_GB2312"/>
          <w:color w:val="000000"/>
          <w:sz w:val="32"/>
          <w:szCs w:val="32"/>
        </w:rPr>
      </w:pPr>
      <w:r>
        <w:rPr>
          <w:rFonts w:hint="eastAsia" w:eastAsia="楷体_GB2312"/>
          <w:color w:val="000000"/>
          <w:sz w:val="32"/>
          <w:szCs w:val="32"/>
        </w:rPr>
        <w:t>（四）临床评价资料</w:t>
      </w:r>
    </w:p>
    <w:p w14:paraId="1B161FA4">
      <w:pPr>
        <w:spacing w:line="520" w:lineRule="exact"/>
        <w:ind w:firstLine="640" w:firstLineChars="200"/>
        <w:rPr>
          <w:rFonts w:eastAsia="仿宋_GB2312"/>
          <w:sz w:val="32"/>
          <w:szCs w:val="32"/>
        </w:rPr>
      </w:pPr>
      <w:r>
        <w:rPr>
          <w:rFonts w:hint="eastAsia" w:eastAsia="仿宋_GB2312"/>
          <w:sz w:val="32"/>
          <w:szCs w:val="32"/>
        </w:rPr>
        <w:t>增加“该产品列入《免于进行临床评价医疗器械目录》，申请人无需提交临床评价资料。”</w:t>
      </w:r>
    </w:p>
    <w:p w14:paraId="1BDE9841">
      <w:pPr>
        <w:spacing w:line="520" w:lineRule="exact"/>
        <w:ind w:firstLine="640" w:firstLineChars="200"/>
        <w:rPr>
          <w:rFonts w:eastAsia="仿宋"/>
          <w:bCs/>
          <w:sz w:val="32"/>
          <w:szCs w:val="32"/>
        </w:rPr>
      </w:pPr>
      <w:r>
        <w:rPr>
          <w:rFonts w:eastAsia="仿宋"/>
          <w:bCs/>
          <w:sz w:val="32"/>
          <w:szCs w:val="32"/>
        </w:rPr>
        <w:t>对于采用新原理或结构，导致产品与已上市产品不具有等同性和可比性的产品，应按照相关指导原则进行临床评价资料的提交。</w:t>
      </w:r>
    </w:p>
    <w:p w14:paraId="5CD631BC">
      <w:pPr>
        <w:overflowPunct w:val="0"/>
        <w:autoSpaceDE w:val="0"/>
        <w:autoSpaceDN w:val="0"/>
        <w:spacing w:line="520" w:lineRule="exact"/>
        <w:ind w:left="221" w:firstLine="640" w:firstLineChars="200"/>
        <w:outlineLvl w:val="1"/>
        <w:rPr>
          <w:rFonts w:eastAsia="楷体_GB2312"/>
          <w:color w:val="000000"/>
          <w:sz w:val="32"/>
          <w:szCs w:val="32"/>
        </w:rPr>
      </w:pPr>
      <w:r>
        <w:rPr>
          <w:rFonts w:hint="eastAsia" w:eastAsia="楷体_GB2312"/>
          <w:color w:val="000000"/>
          <w:sz w:val="32"/>
          <w:szCs w:val="32"/>
        </w:rPr>
        <w:t>（五）产品说明书和标签样稿</w:t>
      </w:r>
    </w:p>
    <w:p w14:paraId="029CD9E3">
      <w:pPr>
        <w:spacing w:line="520" w:lineRule="exact"/>
        <w:ind w:firstLine="640" w:firstLineChars="200"/>
        <w:rPr>
          <w:rFonts w:eastAsia="仿宋"/>
          <w:bCs/>
          <w:sz w:val="32"/>
          <w:szCs w:val="32"/>
        </w:rPr>
      </w:pPr>
      <w:r>
        <w:rPr>
          <w:rFonts w:eastAsia="仿宋"/>
          <w:bCs/>
          <w:sz w:val="32"/>
          <w:szCs w:val="32"/>
        </w:rPr>
        <w:t>产品的说明书、标签应当符合《医疗器械说明书和标签管理规定》《医疗器械软件注册审查指导原则（2022年修订版）》《医疗器械网络安全注册审查指导原则（2022年修订版）》及其他适用标准中有关说明书和标签的规定。</w:t>
      </w:r>
    </w:p>
    <w:p w14:paraId="7797D4E8">
      <w:pPr>
        <w:spacing w:line="520" w:lineRule="exact"/>
        <w:ind w:firstLine="640" w:firstLineChars="200"/>
        <w:rPr>
          <w:rFonts w:eastAsia="仿宋"/>
          <w:bCs/>
          <w:sz w:val="32"/>
          <w:szCs w:val="32"/>
        </w:rPr>
      </w:pPr>
      <w:r>
        <w:rPr>
          <w:rFonts w:eastAsia="仿宋"/>
          <w:bCs/>
          <w:sz w:val="32"/>
          <w:szCs w:val="32"/>
        </w:rPr>
        <w:t>同时，说明书还应关注以下内容：</w:t>
      </w:r>
    </w:p>
    <w:p w14:paraId="0D87F6C2">
      <w:pPr>
        <w:spacing w:line="520" w:lineRule="exact"/>
        <w:ind w:firstLine="640" w:firstLineChars="200"/>
        <w:rPr>
          <w:rFonts w:eastAsia="仿宋"/>
          <w:bCs/>
          <w:sz w:val="32"/>
          <w:szCs w:val="32"/>
        </w:rPr>
      </w:pPr>
      <w:r>
        <w:rPr>
          <w:rFonts w:eastAsia="仿宋"/>
          <w:bCs/>
          <w:sz w:val="32"/>
          <w:szCs w:val="32"/>
        </w:rPr>
        <w:t>1.主要结构组成</w:t>
      </w:r>
    </w:p>
    <w:p w14:paraId="1E19D3D2">
      <w:pPr>
        <w:spacing w:line="520" w:lineRule="exact"/>
        <w:ind w:firstLine="640" w:firstLineChars="200"/>
        <w:rPr>
          <w:rFonts w:eastAsia="仿宋"/>
          <w:bCs/>
          <w:sz w:val="32"/>
          <w:szCs w:val="32"/>
        </w:rPr>
      </w:pPr>
      <w:r>
        <w:rPr>
          <w:rFonts w:eastAsia="仿宋"/>
          <w:bCs/>
          <w:sz w:val="32"/>
          <w:szCs w:val="32"/>
        </w:rPr>
        <w:t>建议以实物照片/示意图加文字的形式对申报产品的整体结构进行描述，标明各主要模块的名称（应包含软件组件，并注明软件组件的名称、型号规格和发布版本）。</w:t>
      </w:r>
    </w:p>
    <w:p w14:paraId="479C2FB9">
      <w:pPr>
        <w:spacing w:line="520" w:lineRule="exact"/>
        <w:ind w:firstLine="640" w:firstLineChars="200"/>
        <w:rPr>
          <w:rFonts w:eastAsia="仿宋"/>
          <w:bCs/>
          <w:sz w:val="32"/>
          <w:szCs w:val="32"/>
        </w:rPr>
      </w:pPr>
      <w:r>
        <w:rPr>
          <w:rFonts w:eastAsia="仿宋"/>
          <w:bCs/>
          <w:sz w:val="32"/>
          <w:szCs w:val="32"/>
        </w:rPr>
        <w:t>建议以实物照片/透视图/俯视图/剖面图加文字的形式对各主要模块逐一进行描述，标明每一主要模块的主要组成结构和主要元器件的名称，对于重要元器件或功能零部件，建议单独进行描述。</w:t>
      </w:r>
    </w:p>
    <w:p w14:paraId="243A6C52">
      <w:pPr>
        <w:spacing w:line="520" w:lineRule="exact"/>
        <w:ind w:firstLine="640" w:firstLineChars="200"/>
        <w:rPr>
          <w:rFonts w:eastAsia="仿宋"/>
          <w:bCs/>
          <w:sz w:val="32"/>
          <w:szCs w:val="32"/>
        </w:rPr>
      </w:pPr>
      <w:r>
        <w:rPr>
          <w:rFonts w:eastAsia="仿宋"/>
          <w:bCs/>
          <w:sz w:val="32"/>
          <w:szCs w:val="32"/>
        </w:rPr>
        <w:t>建议对软件的全部功能（包含安全功能）进行描述，明确软件发布版本。重点对用户界面的整体情况、各功能窗口涉及的操作功能、通讯接口及协议进行介绍。</w:t>
      </w:r>
    </w:p>
    <w:p w14:paraId="68FC2374">
      <w:pPr>
        <w:spacing w:line="520" w:lineRule="exact"/>
        <w:ind w:firstLine="640" w:firstLineChars="200"/>
        <w:rPr>
          <w:rFonts w:eastAsia="仿宋"/>
          <w:bCs/>
          <w:sz w:val="32"/>
          <w:szCs w:val="32"/>
        </w:rPr>
      </w:pPr>
      <w:r>
        <w:rPr>
          <w:rFonts w:eastAsia="仿宋"/>
          <w:bCs/>
          <w:sz w:val="32"/>
          <w:szCs w:val="32"/>
        </w:rPr>
        <w:t>如产品涉及医疗器械网络安全，说明书应提供网络安全说明和使用指导，明确用户访问控制机制、电子接口及其数据类型和技术特征、网络安全特征配置、数据备份与灾难恢复、运行环境等要求。</w:t>
      </w:r>
    </w:p>
    <w:p w14:paraId="5AACB24F">
      <w:pPr>
        <w:spacing w:line="520" w:lineRule="exact"/>
        <w:ind w:firstLine="640" w:firstLineChars="200"/>
        <w:rPr>
          <w:rFonts w:eastAsia="仿宋"/>
          <w:bCs/>
          <w:sz w:val="32"/>
          <w:szCs w:val="32"/>
        </w:rPr>
      </w:pPr>
      <w:r>
        <w:rPr>
          <w:rFonts w:eastAsia="仿宋"/>
          <w:bCs/>
          <w:sz w:val="32"/>
          <w:szCs w:val="32"/>
        </w:rPr>
        <w:t>2.工作原理</w:t>
      </w:r>
    </w:p>
    <w:p w14:paraId="11D3FEB0">
      <w:pPr>
        <w:spacing w:line="520" w:lineRule="exact"/>
        <w:ind w:firstLine="640" w:firstLineChars="200"/>
        <w:rPr>
          <w:rFonts w:eastAsia="仿宋"/>
          <w:bCs/>
          <w:sz w:val="32"/>
          <w:szCs w:val="32"/>
        </w:rPr>
      </w:pPr>
      <w:r>
        <w:rPr>
          <w:rFonts w:hint="eastAsia" w:eastAsia="仿宋"/>
          <w:bCs/>
          <w:sz w:val="32"/>
          <w:szCs w:val="32"/>
        </w:rPr>
        <w:t>核酸杂交：</w:t>
      </w:r>
      <w:r>
        <w:rPr>
          <w:rFonts w:eastAsia="仿宋_GB2312"/>
          <w:bCs/>
          <w:kern w:val="0"/>
          <w:sz w:val="32"/>
          <w:szCs w:val="32"/>
        </w:rPr>
        <w:t>建议以图示加文字的形式对申报产品</w:t>
      </w:r>
      <w:r>
        <w:rPr>
          <w:rFonts w:hint="eastAsia" w:eastAsia="仿宋_GB2312"/>
          <w:bCs/>
          <w:kern w:val="0"/>
          <w:sz w:val="32"/>
          <w:szCs w:val="32"/>
        </w:rPr>
        <w:t>的光路系统、光检测装置、成像装置</w:t>
      </w:r>
      <w:r>
        <w:rPr>
          <w:rFonts w:eastAsia="仿宋_GB2312"/>
          <w:bCs/>
          <w:kern w:val="0"/>
          <w:sz w:val="32"/>
          <w:szCs w:val="32"/>
        </w:rPr>
        <w:t>进行分步骤详细介绍</w:t>
      </w:r>
      <w:r>
        <w:rPr>
          <w:rFonts w:hint="eastAsia" w:eastAsia="仿宋_GB2312"/>
          <w:bCs/>
          <w:kern w:val="0"/>
          <w:sz w:val="32"/>
          <w:szCs w:val="32"/>
        </w:rPr>
        <w:t>。</w:t>
      </w:r>
    </w:p>
    <w:p w14:paraId="06B9CFDC">
      <w:pPr>
        <w:spacing w:line="520" w:lineRule="exact"/>
        <w:ind w:firstLine="640" w:firstLineChars="200"/>
        <w:rPr>
          <w:rFonts w:eastAsia="仿宋"/>
          <w:bCs/>
          <w:sz w:val="32"/>
          <w:szCs w:val="32"/>
        </w:rPr>
      </w:pPr>
      <w:r>
        <w:rPr>
          <w:rFonts w:hint="eastAsia" w:eastAsia="仿宋_GB2312"/>
          <w:bCs/>
          <w:kern w:val="0"/>
          <w:sz w:val="32"/>
          <w:szCs w:val="32"/>
        </w:rPr>
        <w:t>免疫反应：</w:t>
      </w:r>
      <w:r>
        <w:rPr>
          <w:rFonts w:eastAsia="仿宋_GB2312"/>
          <w:bCs/>
          <w:kern w:val="0"/>
          <w:sz w:val="32"/>
          <w:szCs w:val="32"/>
        </w:rPr>
        <w:t>建议对申报产品采用的固相载体及其分离方式进行详细描述。建议以图示加文字的形式对申报产品适用的每种免疫反应模式进行分步骤详细介绍，每步骤的图示中均应体现出该步骤状态下反应单元内抗原、抗体、固相载体、发光剂等物质的对应状态</w:t>
      </w:r>
      <w:r>
        <w:rPr>
          <w:rFonts w:eastAsia="仿宋"/>
          <w:bCs/>
          <w:sz w:val="32"/>
          <w:szCs w:val="32"/>
        </w:rPr>
        <w:t>。</w:t>
      </w:r>
    </w:p>
    <w:p w14:paraId="62F063DA">
      <w:pPr>
        <w:spacing w:line="520" w:lineRule="exact"/>
        <w:ind w:firstLine="640" w:firstLineChars="200"/>
        <w:rPr>
          <w:rFonts w:eastAsia="仿宋_GB2312"/>
          <w:bCs/>
          <w:kern w:val="0"/>
          <w:sz w:val="32"/>
          <w:szCs w:val="32"/>
        </w:rPr>
      </w:pPr>
      <w:r>
        <w:rPr>
          <w:rFonts w:hint="eastAsia" w:eastAsia="仿宋_GB2312"/>
          <w:bCs/>
          <w:kern w:val="0"/>
          <w:sz w:val="32"/>
          <w:szCs w:val="32"/>
        </w:rPr>
        <w:t>3</w:t>
      </w:r>
      <w:r>
        <w:rPr>
          <w:rFonts w:eastAsia="仿宋_GB2312"/>
          <w:bCs/>
          <w:kern w:val="0"/>
          <w:sz w:val="32"/>
          <w:szCs w:val="32"/>
        </w:rPr>
        <w:t>适用范围</w:t>
      </w:r>
    </w:p>
    <w:p w14:paraId="124101D8">
      <w:pPr>
        <w:spacing w:line="520" w:lineRule="exact"/>
        <w:ind w:firstLine="640" w:firstLineChars="200"/>
        <w:rPr>
          <w:rFonts w:eastAsia="仿宋_GB2312"/>
          <w:bCs/>
          <w:kern w:val="0"/>
          <w:sz w:val="32"/>
          <w:szCs w:val="32"/>
        </w:rPr>
      </w:pPr>
      <w:r>
        <w:rPr>
          <w:rFonts w:eastAsia="仿宋_GB2312"/>
          <w:bCs/>
          <w:kern w:val="0"/>
          <w:sz w:val="32"/>
          <w:szCs w:val="32"/>
        </w:rPr>
        <w:t>与综述资料中描述保持一致。</w:t>
      </w:r>
    </w:p>
    <w:p w14:paraId="1ADDF8CB">
      <w:pPr>
        <w:spacing w:line="520" w:lineRule="exact"/>
        <w:ind w:firstLine="640" w:firstLineChars="200"/>
        <w:rPr>
          <w:rFonts w:eastAsia="仿宋"/>
          <w:bCs/>
          <w:sz w:val="32"/>
          <w:szCs w:val="32"/>
        </w:rPr>
      </w:pPr>
      <w:r>
        <w:rPr>
          <w:rFonts w:hint="eastAsia" w:eastAsia="仿宋"/>
          <w:bCs/>
          <w:sz w:val="32"/>
          <w:szCs w:val="32"/>
        </w:rPr>
        <w:t>4</w:t>
      </w:r>
      <w:r>
        <w:rPr>
          <w:rFonts w:eastAsia="仿宋"/>
          <w:bCs/>
          <w:sz w:val="32"/>
          <w:szCs w:val="32"/>
        </w:rPr>
        <w:t>.安装和使用说明或者图示</w:t>
      </w:r>
    </w:p>
    <w:p w14:paraId="48AE789C">
      <w:pPr>
        <w:spacing w:line="520" w:lineRule="exact"/>
        <w:ind w:firstLine="640" w:firstLineChars="200"/>
        <w:rPr>
          <w:rFonts w:eastAsia="仿宋"/>
          <w:bCs/>
          <w:sz w:val="32"/>
          <w:szCs w:val="32"/>
        </w:rPr>
      </w:pPr>
      <w:r>
        <w:rPr>
          <w:rFonts w:eastAsia="仿宋"/>
          <w:bCs/>
          <w:sz w:val="32"/>
          <w:szCs w:val="32"/>
        </w:rPr>
        <w:t>建议包括：产品安装说明；产品正确安装所必须的环境条件及鉴别是否正确安装的技术信息；其他特殊安装要求等。</w:t>
      </w:r>
    </w:p>
    <w:p w14:paraId="5109EBC9">
      <w:pPr>
        <w:spacing w:line="520" w:lineRule="exact"/>
        <w:ind w:firstLine="640" w:firstLineChars="200"/>
        <w:rPr>
          <w:rFonts w:eastAsia="仿宋"/>
          <w:bCs/>
          <w:sz w:val="32"/>
          <w:szCs w:val="32"/>
        </w:rPr>
      </w:pPr>
      <w:r>
        <w:rPr>
          <w:rFonts w:eastAsia="仿宋"/>
          <w:bCs/>
          <w:sz w:val="32"/>
          <w:szCs w:val="32"/>
        </w:rPr>
        <w:t>建议以图示加文字的形式详细描述具体操作方法，包括定标、质控、检测、维护、样本前处理和储存要求、检测程序、结果传输和打印等步骤。显示屏上用户界面如何操作应有详细的图示和文字描述。</w:t>
      </w:r>
    </w:p>
    <w:p w14:paraId="28669FFB">
      <w:pPr>
        <w:spacing w:line="520" w:lineRule="exact"/>
        <w:ind w:firstLine="640" w:firstLineChars="200"/>
        <w:rPr>
          <w:rFonts w:eastAsia="仿宋"/>
          <w:bCs/>
          <w:sz w:val="32"/>
          <w:szCs w:val="32"/>
        </w:rPr>
      </w:pPr>
      <w:r>
        <w:rPr>
          <w:rFonts w:hint="eastAsia" w:eastAsia="仿宋"/>
          <w:bCs/>
          <w:sz w:val="32"/>
          <w:szCs w:val="32"/>
        </w:rPr>
        <w:t>5</w:t>
      </w:r>
      <w:r>
        <w:rPr>
          <w:rFonts w:eastAsia="仿宋"/>
          <w:bCs/>
          <w:sz w:val="32"/>
          <w:szCs w:val="32"/>
        </w:rPr>
        <w:t>.维护和保养</w:t>
      </w:r>
    </w:p>
    <w:p w14:paraId="1483C7B7">
      <w:pPr>
        <w:spacing w:line="520" w:lineRule="exact"/>
        <w:ind w:firstLine="640" w:firstLineChars="200"/>
        <w:rPr>
          <w:rFonts w:eastAsia="仿宋"/>
          <w:bCs/>
          <w:sz w:val="32"/>
          <w:szCs w:val="32"/>
        </w:rPr>
      </w:pPr>
      <w:r>
        <w:rPr>
          <w:rFonts w:hint="eastAsia" w:eastAsia="仿宋"/>
          <w:bCs/>
          <w:sz w:val="32"/>
          <w:szCs w:val="32"/>
        </w:rPr>
        <w:t>5</w:t>
      </w:r>
      <w:r>
        <w:rPr>
          <w:rFonts w:eastAsia="仿宋"/>
          <w:bCs/>
          <w:sz w:val="32"/>
          <w:szCs w:val="32"/>
        </w:rPr>
        <w:t>.1建议以文字加图示的方式对使用者能够进行的维护保养措施，包括不同周期（如每日、每周、每月）维护项目和方法。重点零部件维护的周期和方法可详细描述。</w:t>
      </w:r>
    </w:p>
    <w:p w14:paraId="2116C8DB">
      <w:pPr>
        <w:spacing w:line="520" w:lineRule="exact"/>
        <w:ind w:firstLine="640" w:firstLineChars="200"/>
        <w:rPr>
          <w:rFonts w:eastAsia="仿宋"/>
          <w:bCs/>
          <w:sz w:val="32"/>
          <w:szCs w:val="32"/>
        </w:rPr>
      </w:pPr>
      <w:r>
        <w:rPr>
          <w:rFonts w:hint="eastAsia" w:eastAsia="仿宋"/>
          <w:bCs/>
          <w:sz w:val="32"/>
          <w:szCs w:val="32"/>
        </w:rPr>
        <w:t>5</w:t>
      </w:r>
      <w:r>
        <w:rPr>
          <w:rFonts w:eastAsia="仿宋"/>
          <w:bCs/>
          <w:sz w:val="32"/>
          <w:szCs w:val="32"/>
        </w:rPr>
        <w:t>.2故障排除</w:t>
      </w:r>
    </w:p>
    <w:p w14:paraId="539DA547">
      <w:pPr>
        <w:spacing w:line="520" w:lineRule="exact"/>
        <w:ind w:firstLine="640" w:firstLineChars="200"/>
        <w:rPr>
          <w:rFonts w:eastAsia="仿宋"/>
          <w:bCs/>
          <w:sz w:val="32"/>
          <w:szCs w:val="32"/>
        </w:rPr>
      </w:pPr>
      <w:r>
        <w:rPr>
          <w:rFonts w:eastAsia="仿宋"/>
          <w:bCs/>
          <w:sz w:val="32"/>
          <w:szCs w:val="32"/>
        </w:rPr>
        <w:t>建议以列表方式对申报产品正常使用过程中可能出现的可由使用者自行排除的故障进行详细描述，应当至少写明故障的表现、可能原因、建议的处理方式。</w:t>
      </w:r>
    </w:p>
    <w:p w14:paraId="0A91ADBD">
      <w:pPr>
        <w:spacing w:line="520" w:lineRule="exact"/>
        <w:ind w:firstLine="640" w:firstLineChars="200"/>
        <w:rPr>
          <w:rFonts w:eastAsia="仿宋"/>
          <w:bCs/>
          <w:sz w:val="32"/>
          <w:szCs w:val="32"/>
        </w:rPr>
      </w:pPr>
      <w:r>
        <w:rPr>
          <w:rFonts w:eastAsia="仿宋"/>
          <w:bCs/>
          <w:sz w:val="32"/>
          <w:szCs w:val="32"/>
        </w:rPr>
        <w:t>建议在列明可由使用者自行排除的故障基础上，加注以下内容：当仪器出现故障，但显示的错误代码不在上表内，应立即停止操作，并联系客服工程师。</w:t>
      </w:r>
    </w:p>
    <w:p w14:paraId="6414FBCA">
      <w:pPr>
        <w:spacing w:line="520" w:lineRule="exact"/>
        <w:ind w:firstLine="640" w:firstLineChars="200"/>
        <w:rPr>
          <w:rFonts w:eastAsia="仿宋_GB2312"/>
          <w:sz w:val="32"/>
          <w:szCs w:val="32"/>
        </w:rPr>
      </w:pPr>
      <w:r>
        <w:rPr>
          <w:rFonts w:hint="eastAsia" w:eastAsia="仿宋_GB2312"/>
          <w:sz w:val="32"/>
          <w:szCs w:val="32"/>
        </w:rPr>
        <w:t>（六）质量管理体系文件</w:t>
      </w:r>
    </w:p>
    <w:p w14:paraId="0E8FD6E1">
      <w:pPr>
        <w:spacing w:line="520" w:lineRule="exact"/>
        <w:ind w:firstLine="640" w:firstLineChars="200"/>
        <w:rPr>
          <w:rFonts w:eastAsia="仿宋_GB2312"/>
          <w:sz w:val="32"/>
          <w:szCs w:val="32"/>
        </w:rPr>
      </w:pPr>
      <w:r>
        <w:rPr>
          <w:rFonts w:hint="eastAsia" w:eastAsia="仿宋_GB2312"/>
          <w:sz w:val="32"/>
          <w:szCs w:val="32"/>
        </w:rPr>
        <w:t>质量管理体系文件主要包括综述、生产制造信息、质量管理体系程序、管理职责程序、资源管理程序、产品实现程序、质量管理体系的测量、分析和改进程序、其他质量体系程序信息、质量管理体系核查信息等内容，应符合《医疗器械注册与备案管理办法》和《关于公布医疗器械注册申报资料要求和批准证明文件格式的公告》的相关要求。</w:t>
      </w:r>
    </w:p>
    <w:p w14:paraId="3375CC38">
      <w:pPr>
        <w:spacing w:line="520" w:lineRule="exact"/>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三、参考文献</w:t>
      </w:r>
    </w:p>
    <w:p w14:paraId="43FDDEE5">
      <w:pPr>
        <w:numPr>
          <w:ilvl w:val="0"/>
          <w:numId w:val="1"/>
        </w:numPr>
        <w:spacing w:line="520" w:lineRule="exact"/>
        <w:ind w:right="-67" w:rightChars="-32" w:firstLine="640" w:firstLineChars="200"/>
        <w:rPr>
          <w:rFonts w:eastAsia="仿宋"/>
          <w:bCs/>
          <w:sz w:val="32"/>
          <w:szCs w:val="32"/>
        </w:rPr>
      </w:pPr>
      <w:r>
        <w:rPr>
          <w:rFonts w:eastAsia="仿宋"/>
          <w:bCs/>
          <w:sz w:val="32"/>
          <w:szCs w:val="32"/>
        </w:rPr>
        <w:t>中华人民共和国国务院. 医疗器械监督管理条例（中华人民共和国国务院令第739号）[Z]</w:t>
      </w:r>
    </w:p>
    <w:p w14:paraId="22BD33CF">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国家市场监督管理总局. 医疗器械注册与备案管理办法（国家市场监督管理总局令第47号）[Z].</w:t>
      </w:r>
    </w:p>
    <w:p w14:paraId="6FB0D8F0">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国家药品监督管理局. 关于公布医疗器械注册申报资料要求和批准证明文件格式的公告（国家药品监督管理局公告2021年第121号）[Z].</w:t>
      </w:r>
    </w:p>
    <w:p w14:paraId="0CC7A4B4">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国家药品监督管理局.医疗器械注册自检管理规定</w:t>
      </w:r>
      <w:r>
        <w:rPr>
          <w:rFonts w:hint="eastAsia" w:eastAsia="仿宋"/>
          <w:bCs/>
          <w:sz w:val="32"/>
          <w:szCs w:val="32"/>
        </w:rPr>
        <w:t>：</w:t>
      </w:r>
      <w:r>
        <w:rPr>
          <w:rFonts w:eastAsia="仿宋"/>
          <w:bCs/>
          <w:sz w:val="32"/>
          <w:szCs w:val="32"/>
        </w:rPr>
        <w:t>国家药品监督管理局公告2021年第126号[Z].</w:t>
      </w:r>
    </w:p>
    <w:p w14:paraId="5E07FBDA">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国家食品药品监督管理局.医疗器械通用名称命名规则：国家食品药品监督管理总局令第19号[Z].</w:t>
      </w:r>
    </w:p>
    <w:p w14:paraId="2AACEFFC">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国家药品监督管理局. 医疗器械说明书和标签管理规定</w:t>
      </w:r>
      <w:r>
        <w:rPr>
          <w:rFonts w:hint="eastAsia" w:eastAsia="仿宋"/>
          <w:bCs/>
          <w:sz w:val="32"/>
          <w:szCs w:val="32"/>
        </w:rPr>
        <w:t>：</w:t>
      </w:r>
      <w:r>
        <w:rPr>
          <w:rFonts w:eastAsia="仿宋"/>
          <w:bCs/>
          <w:sz w:val="32"/>
          <w:szCs w:val="32"/>
        </w:rPr>
        <w:t>国家食品药品监督管理总局令第6号[Z].</w:t>
      </w:r>
    </w:p>
    <w:p w14:paraId="2C53E619">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国家食品药品监督管理局.医疗器械注册单元划分指导原则:总局关于发布医疗器械注册单元划分指导原则的通告2017年第187号[Z].</w:t>
      </w:r>
    </w:p>
    <w:p w14:paraId="4975C773">
      <w:pPr>
        <w:numPr>
          <w:ilvl w:val="0"/>
          <w:numId w:val="1"/>
        </w:numPr>
        <w:spacing w:line="520" w:lineRule="exact"/>
        <w:ind w:right="-67" w:rightChars="-32" w:firstLine="640" w:firstLineChars="200"/>
        <w:rPr>
          <w:rFonts w:eastAsia="仿宋"/>
          <w:bCs/>
          <w:sz w:val="32"/>
          <w:szCs w:val="32"/>
        </w:rPr>
      </w:pPr>
      <w:r>
        <w:rPr>
          <w:rFonts w:eastAsia="仿宋_GB2312"/>
          <w:bCs/>
          <w:sz w:val="32"/>
          <w:szCs w:val="32"/>
          <w:lang w:val="en"/>
        </w:rPr>
        <w:t>国家食品药品监督管理局</w:t>
      </w:r>
      <w:r>
        <w:rPr>
          <w:rFonts w:eastAsia="仿宋_GB2312"/>
          <w:bCs/>
          <w:sz w:val="32"/>
          <w:szCs w:val="32"/>
        </w:rPr>
        <w:t>.医疗器械分类目录</w:t>
      </w:r>
      <w:r>
        <w:rPr>
          <w:rFonts w:hint="eastAsia" w:eastAsia="仿宋_GB2312"/>
          <w:bCs/>
          <w:sz w:val="32"/>
          <w:szCs w:val="32"/>
        </w:rPr>
        <w:t>:</w:t>
      </w:r>
      <w:r>
        <w:rPr>
          <w:rFonts w:eastAsia="仿宋_GB2312"/>
          <w:bCs/>
          <w:sz w:val="32"/>
          <w:szCs w:val="32"/>
          <w:lang w:val="en"/>
        </w:rPr>
        <w:t>国家食品药品监督管理总局</w:t>
      </w:r>
      <w:r>
        <w:rPr>
          <w:rFonts w:hint="eastAsia" w:eastAsia="仿宋_GB2312"/>
          <w:bCs/>
          <w:sz w:val="32"/>
          <w:szCs w:val="32"/>
          <w:lang w:val="en"/>
        </w:rPr>
        <w:t>公告</w:t>
      </w:r>
      <w:r>
        <w:rPr>
          <w:rFonts w:eastAsia="仿宋_GB2312"/>
          <w:bCs/>
          <w:sz w:val="32"/>
          <w:szCs w:val="32"/>
          <w:lang w:val="en"/>
        </w:rPr>
        <w:t>2017年第104号</w:t>
      </w:r>
      <w:r>
        <w:rPr>
          <w:rFonts w:eastAsia="仿宋_GB2312"/>
          <w:bCs/>
          <w:sz w:val="32"/>
          <w:szCs w:val="32"/>
        </w:rPr>
        <w:t>[Z].</w:t>
      </w:r>
      <w:r>
        <w:rPr>
          <w:rFonts w:eastAsia="仿宋"/>
          <w:bCs/>
          <w:sz w:val="32"/>
          <w:szCs w:val="32"/>
        </w:rPr>
        <w:t>.</w:t>
      </w:r>
    </w:p>
    <w:p w14:paraId="58E09996">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国家药品监督管理局. 国家药监局关于发布医疗器械产品技术要求编写指导原则的通告</w:t>
      </w:r>
      <w:r>
        <w:rPr>
          <w:rFonts w:hint="eastAsia" w:eastAsia="仿宋"/>
          <w:bCs/>
          <w:sz w:val="32"/>
          <w:szCs w:val="32"/>
        </w:rPr>
        <w:t>：</w:t>
      </w:r>
      <w:r>
        <w:rPr>
          <w:rFonts w:eastAsia="仿宋"/>
          <w:bCs/>
          <w:sz w:val="32"/>
          <w:szCs w:val="32"/>
        </w:rPr>
        <w:t>国家药监督局通告2022年第8号[Z].</w:t>
      </w:r>
    </w:p>
    <w:p w14:paraId="5D59BD28">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国家药品监督管理局. 关于发布有源医疗器械使用期限注册技术审查指导原则的通告</w:t>
      </w:r>
      <w:r>
        <w:rPr>
          <w:rFonts w:hint="eastAsia" w:eastAsia="仿宋"/>
          <w:bCs/>
          <w:sz w:val="32"/>
          <w:szCs w:val="32"/>
        </w:rPr>
        <w:t>：</w:t>
      </w:r>
      <w:r>
        <w:rPr>
          <w:rFonts w:eastAsia="仿宋"/>
          <w:bCs/>
          <w:sz w:val="32"/>
          <w:szCs w:val="32"/>
        </w:rPr>
        <w:t>国家药监督局通告2019年第23号）[Z].</w:t>
      </w:r>
    </w:p>
    <w:p w14:paraId="53E801D1">
      <w:pPr>
        <w:numPr>
          <w:ilvl w:val="0"/>
          <w:numId w:val="1"/>
        </w:numPr>
        <w:spacing w:line="520" w:lineRule="exact"/>
        <w:ind w:right="-67" w:rightChars="-32" w:firstLine="640" w:firstLineChars="200"/>
        <w:rPr>
          <w:rFonts w:eastAsia="仿宋"/>
          <w:bCs/>
          <w:sz w:val="32"/>
          <w:szCs w:val="32"/>
        </w:rPr>
      </w:pPr>
      <w:r>
        <w:rPr>
          <w:rFonts w:eastAsia="仿宋"/>
          <w:bCs/>
          <w:sz w:val="32"/>
          <w:szCs w:val="32"/>
        </w:rPr>
        <w:t>国家药品监督管理局. 国家药监局关于发布免于</w:t>
      </w:r>
      <w:r>
        <w:rPr>
          <w:rFonts w:hint="eastAsia" w:eastAsia="仿宋"/>
          <w:bCs/>
          <w:sz w:val="32"/>
          <w:szCs w:val="32"/>
        </w:rPr>
        <w:t>进行</w:t>
      </w:r>
      <w:r>
        <w:rPr>
          <w:rFonts w:eastAsia="仿宋"/>
          <w:bCs/>
          <w:sz w:val="32"/>
          <w:szCs w:val="32"/>
        </w:rPr>
        <w:t>临床评价医疗器械目录的通告</w:t>
      </w:r>
      <w:r>
        <w:rPr>
          <w:rFonts w:hint="eastAsia" w:eastAsia="仿宋"/>
          <w:bCs/>
          <w:sz w:val="32"/>
          <w:szCs w:val="32"/>
        </w:rPr>
        <w:t>：</w:t>
      </w:r>
      <w:r>
        <w:rPr>
          <w:rFonts w:eastAsia="仿宋"/>
          <w:bCs/>
          <w:sz w:val="32"/>
          <w:szCs w:val="32"/>
        </w:rPr>
        <w:t>国家药监督局通告2025年第19号[Z].</w:t>
      </w:r>
    </w:p>
    <w:p w14:paraId="222EC6BD">
      <w:pPr>
        <w:numPr>
          <w:ilvl w:val="0"/>
          <w:numId w:val="1"/>
        </w:numPr>
        <w:spacing w:line="520" w:lineRule="exact"/>
        <w:ind w:right="-67" w:rightChars="-32" w:firstLine="640" w:firstLineChars="200"/>
        <w:rPr>
          <w:rFonts w:eastAsia="仿宋"/>
          <w:bCs/>
          <w:sz w:val="32"/>
          <w:szCs w:val="32"/>
        </w:rPr>
      </w:pPr>
      <w:r>
        <w:rPr>
          <w:rFonts w:eastAsia="仿宋"/>
          <w:bCs/>
          <w:kern w:val="0"/>
          <w:sz w:val="32"/>
          <w:szCs w:val="32"/>
        </w:rPr>
        <w:t>国家药品监督管理局医疗器械审评中心</w:t>
      </w:r>
      <w:r>
        <w:rPr>
          <w:rFonts w:eastAsia="仿宋"/>
          <w:bCs/>
          <w:sz w:val="32"/>
          <w:szCs w:val="32"/>
        </w:rPr>
        <w:t>.医疗器械网络安全注册审查指导原则（2022年修订版）:</w:t>
      </w:r>
      <w:r>
        <w:rPr>
          <w:rFonts w:eastAsia="仿宋"/>
          <w:bCs/>
          <w:kern w:val="0"/>
          <w:sz w:val="32"/>
          <w:szCs w:val="32"/>
        </w:rPr>
        <w:t>国家药监局器审中心通告2022年第7号</w:t>
      </w:r>
      <w:r>
        <w:rPr>
          <w:rFonts w:eastAsia="仿宋"/>
          <w:bCs/>
          <w:sz w:val="32"/>
          <w:szCs w:val="32"/>
        </w:rPr>
        <w:t>[Z].</w:t>
      </w:r>
    </w:p>
    <w:p w14:paraId="34D8D67E">
      <w:pPr>
        <w:numPr>
          <w:ilvl w:val="0"/>
          <w:numId w:val="1"/>
        </w:numPr>
        <w:spacing w:line="520" w:lineRule="exact"/>
        <w:ind w:right="-67" w:rightChars="-32" w:firstLine="640" w:firstLineChars="200"/>
        <w:rPr>
          <w:rFonts w:eastAsia="仿宋"/>
          <w:bCs/>
          <w:sz w:val="32"/>
          <w:szCs w:val="32"/>
        </w:rPr>
      </w:pPr>
      <w:r>
        <w:rPr>
          <w:rFonts w:eastAsia="仿宋"/>
          <w:bCs/>
          <w:kern w:val="0"/>
          <w:sz w:val="32"/>
          <w:szCs w:val="32"/>
        </w:rPr>
        <w:t>国家药品监督管理局医疗器械审评中心.医疗器械软件注册审查指导原则（2022年修订版）:国家药监局器审中心通告2022年第9号</w:t>
      </w:r>
      <w:r>
        <w:rPr>
          <w:rFonts w:eastAsia="仿宋"/>
          <w:bCs/>
          <w:sz w:val="32"/>
          <w:szCs w:val="32"/>
        </w:rPr>
        <w:t>[Z].</w:t>
      </w:r>
    </w:p>
    <w:p w14:paraId="277497AD">
      <w:pPr>
        <w:numPr>
          <w:ilvl w:val="0"/>
          <w:numId w:val="1"/>
        </w:numPr>
        <w:spacing w:line="520" w:lineRule="exact"/>
        <w:ind w:right="-67" w:rightChars="-32" w:firstLine="640" w:firstLineChars="200"/>
        <w:rPr>
          <w:rFonts w:eastAsia="仿宋"/>
          <w:bCs/>
          <w:sz w:val="32"/>
          <w:szCs w:val="32"/>
        </w:rPr>
      </w:pPr>
      <w:r>
        <w:rPr>
          <w:rFonts w:eastAsia="仿宋"/>
          <w:bCs/>
          <w:sz w:val="32"/>
          <w:szCs w:val="32"/>
        </w:rPr>
        <w:t>GB/T 42062-2022，医疗器械 风险管理对医疗器械的应用[S].</w:t>
      </w:r>
    </w:p>
    <w:p w14:paraId="1D098A53">
      <w:pPr>
        <w:numPr>
          <w:ilvl w:val="0"/>
          <w:numId w:val="1"/>
        </w:numPr>
        <w:spacing w:line="520" w:lineRule="exact"/>
        <w:ind w:right="-67" w:rightChars="-32" w:firstLine="640" w:firstLineChars="200"/>
        <w:rPr>
          <w:rFonts w:hint="eastAsia" w:eastAsia="仿宋"/>
          <w:bCs/>
          <w:sz w:val="32"/>
          <w:szCs w:val="32"/>
        </w:rPr>
      </w:pPr>
      <w:r>
        <w:rPr>
          <w:rFonts w:hint="eastAsia" w:eastAsia="仿宋"/>
          <w:bCs/>
          <w:sz w:val="32"/>
          <w:szCs w:val="32"/>
        </w:rPr>
        <w:t>YY/T 1437-2023,医疗器械 GB/T 42062应用指南[S].</w:t>
      </w:r>
    </w:p>
    <w:p w14:paraId="1BC1244C">
      <w:pPr>
        <w:numPr>
          <w:ilvl w:val="0"/>
          <w:numId w:val="1"/>
        </w:numPr>
        <w:spacing w:line="520" w:lineRule="exact"/>
        <w:ind w:right="-67" w:rightChars="-32" w:firstLine="640" w:firstLineChars="200"/>
        <w:rPr>
          <w:rFonts w:eastAsia="仿宋"/>
          <w:bCs/>
          <w:sz w:val="32"/>
          <w:szCs w:val="32"/>
        </w:rPr>
      </w:pPr>
      <w:r>
        <w:rPr>
          <w:rFonts w:eastAsia="仿宋"/>
          <w:bCs/>
          <w:sz w:val="32"/>
          <w:szCs w:val="32"/>
        </w:rPr>
        <w:t>GB/T 42125.1-2024，测量、控制和实验室用电气设备的安全要求 第1部分：通用要求[S].</w:t>
      </w:r>
    </w:p>
    <w:p w14:paraId="0E48AF54">
      <w:pPr>
        <w:numPr>
          <w:ilvl w:val="0"/>
          <w:numId w:val="1"/>
        </w:numPr>
        <w:spacing w:line="520" w:lineRule="exact"/>
        <w:ind w:right="-67" w:rightChars="-32" w:firstLine="640" w:firstLineChars="200"/>
        <w:rPr>
          <w:rFonts w:eastAsia="仿宋"/>
          <w:bCs/>
          <w:sz w:val="32"/>
          <w:szCs w:val="32"/>
        </w:rPr>
      </w:pPr>
      <w:r>
        <w:rPr>
          <w:rFonts w:eastAsia="仿宋"/>
          <w:bCs/>
          <w:sz w:val="32"/>
          <w:szCs w:val="32"/>
        </w:rPr>
        <w:t>GB/T 42125.2-2024</w:t>
      </w:r>
      <w:r>
        <w:rPr>
          <w:rFonts w:hint="eastAsia" w:eastAsia="仿宋"/>
          <w:bCs/>
          <w:sz w:val="32"/>
          <w:szCs w:val="32"/>
        </w:rPr>
        <w:t xml:space="preserve"> 测量、控制和实验室用电气设备的安全要求 第2部分：材料加热用实验室设备的特殊要求</w:t>
      </w:r>
      <w:r>
        <w:rPr>
          <w:rFonts w:eastAsia="仿宋"/>
          <w:bCs/>
          <w:sz w:val="32"/>
          <w:szCs w:val="32"/>
        </w:rPr>
        <w:t>[S]</w:t>
      </w:r>
      <w:r>
        <w:rPr>
          <w:rFonts w:hint="eastAsia" w:eastAsia="仿宋"/>
          <w:bCs/>
          <w:sz w:val="32"/>
          <w:szCs w:val="32"/>
        </w:rPr>
        <w:t>.</w:t>
      </w:r>
    </w:p>
    <w:p w14:paraId="243EADF7">
      <w:pPr>
        <w:numPr>
          <w:ilvl w:val="0"/>
          <w:numId w:val="1"/>
        </w:numPr>
        <w:spacing w:line="520" w:lineRule="exact"/>
        <w:ind w:right="-67" w:rightChars="-32" w:firstLine="640" w:firstLineChars="200"/>
        <w:rPr>
          <w:rFonts w:eastAsia="仿宋"/>
          <w:bCs/>
          <w:sz w:val="32"/>
          <w:szCs w:val="32"/>
        </w:rPr>
      </w:pPr>
      <w:r>
        <w:rPr>
          <w:rFonts w:eastAsia="仿宋"/>
          <w:bCs/>
          <w:sz w:val="32"/>
          <w:szCs w:val="32"/>
        </w:rPr>
        <w:t>GB 4793-2024，测量、控制和实验室用电气设备安全技术规范[S].</w:t>
      </w:r>
    </w:p>
    <w:p w14:paraId="5817C732">
      <w:pPr>
        <w:numPr>
          <w:ilvl w:val="0"/>
          <w:numId w:val="1"/>
        </w:numPr>
        <w:spacing w:line="520" w:lineRule="exact"/>
        <w:ind w:right="-67" w:rightChars="-32" w:firstLine="640" w:firstLineChars="200"/>
        <w:rPr>
          <w:rFonts w:eastAsia="仿宋"/>
          <w:bCs/>
          <w:sz w:val="32"/>
          <w:szCs w:val="32"/>
        </w:rPr>
      </w:pPr>
      <w:r>
        <w:rPr>
          <w:rFonts w:eastAsia="仿宋"/>
          <w:bCs/>
          <w:sz w:val="32"/>
          <w:szCs w:val="32"/>
        </w:rPr>
        <w:t>YY</w:t>
      </w:r>
      <w:r>
        <w:rPr>
          <w:rFonts w:hint="eastAsia" w:eastAsia="仿宋"/>
          <w:bCs/>
          <w:sz w:val="32"/>
          <w:szCs w:val="32"/>
        </w:rPr>
        <w:t>/T</w:t>
      </w:r>
      <w:r>
        <w:rPr>
          <w:rFonts w:eastAsia="仿宋"/>
          <w:bCs/>
          <w:sz w:val="32"/>
          <w:szCs w:val="32"/>
        </w:rPr>
        <w:t xml:space="preserve"> 0648-2025，测量、控制和实验室用电气设备的安全要求 第2-101部分：体外诊断（IVD）医用设备的专用要求[S].</w:t>
      </w:r>
    </w:p>
    <w:p w14:paraId="53952398">
      <w:pPr>
        <w:numPr>
          <w:ilvl w:val="0"/>
          <w:numId w:val="1"/>
        </w:numPr>
        <w:spacing w:line="520" w:lineRule="exact"/>
        <w:ind w:right="-67" w:rightChars="-32" w:firstLine="640" w:firstLineChars="200"/>
        <w:rPr>
          <w:rFonts w:eastAsia="仿宋"/>
          <w:bCs/>
          <w:sz w:val="32"/>
          <w:szCs w:val="32"/>
        </w:rPr>
      </w:pPr>
      <w:r>
        <w:rPr>
          <w:rFonts w:eastAsia="仿宋"/>
          <w:bCs/>
          <w:sz w:val="32"/>
          <w:szCs w:val="32"/>
        </w:rPr>
        <w:t>GB/T 14710-2009,医用电器环境要求及试验方法[S].</w:t>
      </w:r>
    </w:p>
    <w:p w14:paraId="62EAF039">
      <w:pPr>
        <w:numPr>
          <w:ilvl w:val="0"/>
          <w:numId w:val="1"/>
        </w:numPr>
        <w:spacing w:line="520" w:lineRule="exact"/>
        <w:ind w:right="-67" w:rightChars="-32" w:firstLine="640" w:firstLineChars="200"/>
        <w:rPr>
          <w:rFonts w:eastAsia="仿宋"/>
          <w:bCs/>
          <w:sz w:val="32"/>
          <w:szCs w:val="32"/>
        </w:rPr>
      </w:pPr>
      <w:r>
        <w:rPr>
          <w:rFonts w:eastAsia="仿宋"/>
          <w:bCs/>
          <w:sz w:val="32"/>
          <w:szCs w:val="32"/>
        </w:rPr>
        <w:t>GB/T 18268.1-2025 测量、控制和实验室用的电设备 电磁兼容性要求 第1部分：通用要求[S].</w:t>
      </w:r>
    </w:p>
    <w:p w14:paraId="0825D4C6">
      <w:pPr>
        <w:numPr>
          <w:ilvl w:val="0"/>
          <w:numId w:val="1"/>
        </w:numPr>
        <w:spacing w:line="520" w:lineRule="exact"/>
        <w:ind w:right="-67" w:rightChars="-32" w:firstLine="640" w:firstLineChars="200"/>
        <w:rPr>
          <w:rFonts w:eastAsia="仿宋"/>
          <w:bCs/>
          <w:sz w:val="32"/>
          <w:szCs w:val="32"/>
        </w:rPr>
      </w:pPr>
      <w:r>
        <w:rPr>
          <w:rFonts w:eastAsia="仿宋"/>
          <w:bCs/>
          <w:sz w:val="32"/>
          <w:szCs w:val="32"/>
        </w:rPr>
        <w:t>GB/T 18268.26-2010测量、控制和实验室用的电设备 电磁兼容性要求 第26部分：特殊要求 体外诊断（IVD）医疗设备[S].</w:t>
      </w:r>
    </w:p>
    <w:p w14:paraId="7139CF81">
      <w:pPr>
        <w:numPr>
          <w:ilvl w:val="0"/>
          <w:numId w:val="1"/>
        </w:numPr>
        <w:spacing w:line="520" w:lineRule="exact"/>
        <w:ind w:right="-67" w:rightChars="-32" w:firstLine="640" w:firstLineChars="200"/>
        <w:rPr>
          <w:rFonts w:hint="eastAsia" w:eastAsia="仿宋"/>
          <w:bCs/>
          <w:sz w:val="32"/>
          <w:szCs w:val="32"/>
        </w:rPr>
      </w:pPr>
      <w:r>
        <w:rPr>
          <w:rFonts w:eastAsia="仿宋"/>
          <w:bCs/>
          <w:sz w:val="32"/>
          <w:szCs w:val="32"/>
        </w:rPr>
        <w:t>GB/T 29791.3-2013,体外诊断医疗器械 制造商提供的信息（标示）第3部分：专业用体外诊断仪器[S].</w:t>
      </w:r>
    </w:p>
    <w:sectPr>
      <w:footerReference r:id="rId3" w:type="default"/>
      <w:footerReference r:id="rId4" w:type="even"/>
      <w:pgSz w:w="11906" w:h="16838"/>
      <w:pgMar w:top="1701" w:right="1588" w:bottom="1701" w:left="1588" w:header="851" w:footer="992" w:gutter="0"/>
      <w:lnNumType w:countBy="1" w:restart="continuou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Cambria">
    <w:altName w:val="苹方-简"/>
    <w:panose1 w:val="02040503050406030204"/>
    <w:charset w:val="00"/>
    <w:family w:val="roman"/>
    <w:pitch w:val="default"/>
    <w:sig w:usb0="00000000" w:usb1="00000000" w:usb2="02000000" w:usb3="00000000" w:csb0="0000019F" w:csb1="00000000"/>
  </w:font>
  <w:font w:name="MS Shell Dlg">
    <w:altName w:val="苹方-简"/>
    <w:panose1 w:val="020B0604020202020204"/>
    <w:charset w:val="00"/>
    <w:family w:val="swiss"/>
    <w:pitch w:val="default"/>
    <w:sig w:usb0="00000000" w:usb1="00000000" w:usb2="00000029" w:usb3="00000000" w:csb0="000101FF" w:csb1="00000000"/>
  </w:font>
  <w:font w:name="Microsoft Sans Serif">
    <w:panose1 w:val="020B0604020202020204"/>
    <w:charset w:val="00"/>
    <w:family w:val="auto"/>
    <w:pitch w:val="default"/>
    <w:sig w:usb0="E1002AFF" w:usb1="C0000002" w:usb2="00000008" w:usb3="00000000" w:csb0="200101FF" w:csb1="2028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embedRegular r:id="rId1" w:fontKey="{60FB8C35-47F2-A750-0411-676A62046D21}"/>
  </w:font>
  <w:font w:name="仿宋">
    <w:altName w:val="仿宋-简"/>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D21EF37D-FD6D-53C7-0411-676AAC2F79A9}"/>
  </w:font>
  <w:font w:name="SimHei">
    <w:panose1 w:val="00000000000000000000"/>
    <w:charset w:val="00"/>
    <w:family w:val="auto"/>
    <w:pitch w:val="default"/>
    <w:sig w:usb0="E00002FF" w:usb1="5000785B" w:usb2="00000000" w:usb3="00000000" w:csb0="2000019F" w:csb1="4F010000"/>
  </w:font>
  <w:font w:name="楷体_GB2312">
    <w:altName w:val="汉仪楷体简"/>
    <w:panose1 w:val="00000000000000000000"/>
    <w:charset w:val="86"/>
    <w:family w:val="modern"/>
    <w:pitch w:val="default"/>
    <w:sig w:usb0="00000000" w:usb1="00000000" w:usb2="00000010" w:usb3="00000000" w:csb0="00040000" w:csb1="00000000"/>
  </w:font>
  <w:font w:name="楷体">
    <w:altName w:val="汉仪楷体KW"/>
    <w:panose1 w:val="00000000000000000000"/>
    <w:charset w:val="00"/>
    <w:family w:val="auto"/>
    <w:pitch w:val="default"/>
    <w:sig w:usb0="00000000" w:usb1="00000000" w:usb2="00000000" w:usb3="00000000" w:csb0="0000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汉仪中等线KW">
    <w:panose1 w:val="01010104010101010101"/>
    <w:charset w:val="86"/>
    <w:family w:val="auto"/>
    <w:pitch w:val="default"/>
    <w:sig w:usb0="800002BF" w:usb1="004F7CFA" w:usb2="00000000"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C70D0">
    <w:pPr>
      <w:pStyle w:val="7"/>
      <w:wordWrap w:val="0"/>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301258">
                          <w:pPr>
                            <w:pStyle w:val="7"/>
                            <w:wordWrap w:val="0"/>
                            <w:jc w:val="right"/>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259</w:t>
                          </w:r>
                          <w:r>
                            <w:rPr>
                              <w:sz w:val="28"/>
                              <w:szCs w:val="28"/>
                            </w:rPr>
                            <w:fldChar w:fldCharType="end"/>
                          </w:r>
                          <w:r>
                            <w:rPr>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14301258">
                    <w:pPr>
                      <w:pStyle w:val="7"/>
                      <w:wordWrap w:val="0"/>
                      <w:jc w:val="right"/>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259</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6546B">
    <w:pPr>
      <w:pStyle w:val="7"/>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239621">
                          <w:pPr>
                            <w:pStyle w:val="7"/>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258</w:t>
                          </w:r>
                          <w:r>
                            <w:rPr>
                              <w:sz w:val="28"/>
                              <w:szCs w:val="28"/>
                            </w:rPr>
                            <w:fldChar w:fldCharType="end"/>
                          </w:r>
                          <w:r>
                            <w:rPr>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ROidcBAACyAwAADgAAAGRycy9lMm9Eb2MueG1srVPNjtMwEL4j8Q6W&#10;7zTZHFBVNV0tVIuQECAtPIDrOI0l/8kzbVIeAN6AExfuPFefg7GTdJflsoe9JOOZ8TffNzNeXw/W&#10;sKOKoL2r+dWi5Ew56Rvt9jX/+uX21ZIzQOEaYbxTNT8p4Nebly/WfVipynfeNCoyAnGw6kPNO8Sw&#10;KgqQnbICFj4oR8HWRyuQjnFfNFH0hG5NUZXl66L3sQnRSwVA3u0Y5BNifAqgb1st1dbLg1UOR9So&#10;jECSBJ0OwDeZbdsqiZ/aFhQyU3NSivlLRcjepW+xWYvVPorQaTlREE+h8EiTFdpR0QvUVqBgh6j/&#10;g7JaRg++xYX0thiF5I6QiqvyUW/uOhFU1kKthnBpOjwfrPx4/ByZbmpeceaEpYGff/44//pz/v2d&#10;Vak9fYAVZd0FysPhjR9oaWY/kDOpHtpo05/0MIpTc0+X5qoBmUyXltVyWVJIUmw+EH5xfz1EwHfK&#10;W5aMmkeaXm6qOH4AHFPnlFTN+VttTJ6gcf84CDN5isR95JgsHHbDJGjnmxPpoWdAdTofv3HW0xLU&#10;3NHOc2beO+px2pfZiLOxmw3hJF2sOXI2mm8x71UiAuHmgMQuk06lx3oTIxpllj2tXdqVh+ecdf/U&#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pETonXAQAAsgMAAA4AAAAAAAAAAQAgAAAA&#10;HgEAAGRycy9lMm9Eb2MueG1sUEsFBgAAAAAGAAYAWQEAAGcFAAAAAA==&#10;">
              <v:fill on="f" focussize="0,0"/>
              <v:stroke on="f"/>
              <v:imagedata o:title=""/>
              <o:lock v:ext="edit" aspectratio="f"/>
              <v:textbox inset="0mm,0mm,0mm,0mm" style="mso-fit-shape-to-text:t;">
                <w:txbxContent>
                  <w:p w14:paraId="64239621">
                    <w:pPr>
                      <w:pStyle w:val="7"/>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258</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52487"/>
    <w:multiLevelType w:val="singleLevel"/>
    <w:tmpl w:val="9275248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8D5B66"/>
    <w:rsid w:val="000001BE"/>
    <w:rsid w:val="000003E3"/>
    <w:rsid w:val="000007BA"/>
    <w:rsid w:val="000031C9"/>
    <w:rsid w:val="0000377D"/>
    <w:rsid w:val="00004F62"/>
    <w:rsid w:val="00005A36"/>
    <w:rsid w:val="00012586"/>
    <w:rsid w:val="00012B0B"/>
    <w:rsid w:val="00012E07"/>
    <w:rsid w:val="000151D4"/>
    <w:rsid w:val="0001545C"/>
    <w:rsid w:val="00016293"/>
    <w:rsid w:val="000165C8"/>
    <w:rsid w:val="000178E2"/>
    <w:rsid w:val="000200EB"/>
    <w:rsid w:val="00020581"/>
    <w:rsid w:val="0002099B"/>
    <w:rsid w:val="000216C8"/>
    <w:rsid w:val="00024B1E"/>
    <w:rsid w:val="00026B0D"/>
    <w:rsid w:val="000301F7"/>
    <w:rsid w:val="00036045"/>
    <w:rsid w:val="00036FB1"/>
    <w:rsid w:val="00041B8A"/>
    <w:rsid w:val="00043565"/>
    <w:rsid w:val="000440DD"/>
    <w:rsid w:val="00044CE2"/>
    <w:rsid w:val="00050852"/>
    <w:rsid w:val="00051109"/>
    <w:rsid w:val="00051D2C"/>
    <w:rsid w:val="0005694C"/>
    <w:rsid w:val="00056CDF"/>
    <w:rsid w:val="000576DA"/>
    <w:rsid w:val="00060FE5"/>
    <w:rsid w:val="000651AE"/>
    <w:rsid w:val="00067782"/>
    <w:rsid w:val="0006783F"/>
    <w:rsid w:val="000708F4"/>
    <w:rsid w:val="00073236"/>
    <w:rsid w:val="000742A1"/>
    <w:rsid w:val="000745B6"/>
    <w:rsid w:val="00075F0C"/>
    <w:rsid w:val="00075F68"/>
    <w:rsid w:val="000771E8"/>
    <w:rsid w:val="000837B7"/>
    <w:rsid w:val="00085181"/>
    <w:rsid w:val="00087892"/>
    <w:rsid w:val="00087974"/>
    <w:rsid w:val="00091B87"/>
    <w:rsid w:val="0009244D"/>
    <w:rsid w:val="000948DB"/>
    <w:rsid w:val="00096868"/>
    <w:rsid w:val="000971DC"/>
    <w:rsid w:val="000A06B8"/>
    <w:rsid w:val="000A4AF5"/>
    <w:rsid w:val="000A7119"/>
    <w:rsid w:val="000A7DFD"/>
    <w:rsid w:val="000B02AE"/>
    <w:rsid w:val="000B146C"/>
    <w:rsid w:val="000B2FD7"/>
    <w:rsid w:val="000B36F1"/>
    <w:rsid w:val="000B37B5"/>
    <w:rsid w:val="000B4804"/>
    <w:rsid w:val="000B624F"/>
    <w:rsid w:val="000B6D02"/>
    <w:rsid w:val="000B7B0E"/>
    <w:rsid w:val="000C06A7"/>
    <w:rsid w:val="000C16F0"/>
    <w:rsid w:val="000C4362"/>
    <w:rsid w:val="000C4C81"/>
    <w:rsid w:val="000C5A18"/>
    <w:rsid w:val="000C7846"/>
    <w:rsid w:val="000C79BE"/>
    <w:rsid w:val="000D2677"/>
    <w:rsid w:val="000D2816"/>
    <w:rsid w:val="000D41C7"/>
    <w:rsid w:val="000D4943"/>
    <w:rsid w:val="000D7035"/>
    <w:rsid w:val="000E0EFE"/>
    <w:rsid w:val="000E2BDB"/>
    <w:rsid w:val="000E3DC3"/>
    <w:rsid w:val="000E465F"/>
    <w:rsid w:val="000E5029"/>
    <w:rsid w:val="000E7345"/>
    <w:rsid w:val="000F36EA"/>
    <w:rsid w:val="000F3A2B"/>
    <w:rsid w:val="000F4524"/>
    <w:rsid w:val="000F4698"/>
    <w:rsid w:val="000F6AAA"/>
    <w:rsid w:val="0010034E"/>
    <w:rsid w:val="001005B6"/>
    <w:rsid w:val="00101652"/>
    <w:rsid w:val="001022C4"/>
    <w:rsid w:val="00102A1D"/>
    <w:rsid w:val="00102F61"/>
    <w:rsid w:val="00107257"/>
    <w:rsid w:val="00107EA1"/>
    <w:rsid w:val="001100D6"/>
    <w:rsid w:val="00113205"/>
    <w:rsid w:val="00114595"/>
    <w:rsid w:val="00120D32"/>
    <w:rsid w:val="00122AEC"/>
    <w:rsid w:val="00131D06"/>
    <w:rsid w:val="00134194"/>
    <w:rsid w:val="00137FBC"/>
    <w:rsid w:val="001404B0"/>
    <w:rsid w:val="001407DB"/>
    <w:rsid w:val="00140AE6"/>
    <w:rsid w:val="0014156F"/>
    <w:rsid w:val="00141A85"/>
    <w:rsid w:val="0014309E"/>
    <w:rsid w:val="0014361F"/>
    <w:rsid w:val="0014516B"/>
    <w:rsid w:val="00146E41"/>
    <w:rsid w:val="001473CF"/>
    <w:rsid w:val="00147B0B"/>
    <w:rsid w:val="0015165E"/>
    <w:rsid w:val="0015457A"/>
    <w:rsid w:val="00154EF7"/>
    <w:rsid w:val="00156D1E"/>
    <w:rsid w:val="00156D2F"/>
    <w:rsid w:val="001646D0"/>
    <w:rsid w:val="00165EFD"/>
    <w:rsid w:val="00166F2B"/>
    <w:rsid w:val="0016762D"/>
    <w:rsid w:val="00171B79"/>
    <w:rsid w:val="0017235C"/>
    <w:rsid w:val="00174275"/>
    <w:rsid w:val="00175FA1"/>
    <w:rsid w:val="001803CA"/>
    <w:rsid w:val="0018187A"/>
    <w:rsid w:val="0018289F"/>
    <w:rsid w:val="00183909"/>
    <w:rsid w:val="00184C11"/>
    <w:rsid w:val="00187EFD"/>
    <w:rsid w:val="00192E52"/>
    <w:rsid w:val="00196783"/>
    <w:rsid w:val="0019735F"/>
    <w:rsid w:val="001A234C"/>
    <w:rsid w:val="001A2647"/>
    <w:rsid w:val="001A4FD0"/>
    <w:rsid w:val="001A6D4A"/>
    <w:rsid w:val="001A6EAE"/>
    <w:rsid w:val="001A6EB0"/>
    <w:rsid w:val="001A78BF"/>
    <w:rsid w:val="001B03B9"/>
    <w:rsid w:val="001B1252"/>
    <w:rsid w:val="001B1499"/>
    <w:rsid w:val="001B2EFB"/>
    <w:rsid w:val="001B4941"/>
    <w:rsid w:val="001B4CB6"/>
    <w:rsid w:val="001B4D33"/>
    <w:rsid w:val="001B669C"/>
    <w:rsid w:val="001B6F2C"/>
    <w:rsid w:val="001C04B1"/>
    <w:rsid w:val="001C1DFB"/>
    <w:rsid w:val="001C2F27"/>
    <w:rsid w:val="001C3550"/>
    <w:rsid w:val="001C44B0"/>
    <w:rsid w:val="001D02EC"/>
    <w:rsid w:val="001D4209"/>
    <w:rsid w:val="001D48BD"/>
    <w:rsid w:val="001D7836"/>
    <w:rsid w:val="001E1768"/>
    <w:rsid w:val="001E22A7"/>
    <w:rsid w:val="001E3DA6"/>
    <w:rsid w:val="001E6476"/>
    <w:rsid w:val="001F086D"/>
    <w:rsid w:val="001F13CB"/>
    <w:rsid w:val="001F2D61"/>
    <w:rsid w:val="001F400E"/>
    <w:rsid w:val="001F4234"/>
    <w:rsid w:val="001F7F5D"/>
    <w:rsid w:val="00201BE4"/>
    <w:rsid w:val="0020288A"/>
    <w:rsid w:val="00202BD4"/>
    <w:rsid w:val="00202CDD"/>
    <w:rsid w:val="00205331"/>
    <w:rsid w:val="002056E9"/>
    <w:rsid w:val="0020666C"/>
    <w:rsid w:val="00210C62"/>
    <w:rsid w:val="002135B5"/>
    <w:rsid w:val="00214653"/>
    <w:rsid w:val="0021542E"/>
    <w:rsid w:val="0022004D"/>
    <w:rsid w:val="00220F95"/>
    <w:rsid w:val="00221775"/>
    <w:rsid w:val="002229B2"/>
    <w:rsid w:val="002234FC"/>
    <w:rsid w:val="002259DD"/>
    <w:rsid w:val="002266F5"/>
    <w:rsid w:val="002279B6"/>
    <w:rsid w:val="00232EB8"/>
    <w:rsid w:val="002348C5"/>
    <w:rsid w:val="00234E60"/>
    <w:rsid w:val="00235483"/>
    <w:rsid w:val="00235A0E"/>
    <w:rsid w:val="00235E04"/>
    <w:rsid w:val="00236A07"/>
    <w:rsid w:val="002379C6"/>
    <w:rsid w:val="00240036"/>
    <w:rsid w:val="00242220"/>
    <w:rsid w:val="0024319F"/>
    <w:rsid w:val="0024392A"/>
    <w:rsid w:val="002447BD"/>
    <w:rsid w:val="00247789"/>
    <w:rsid w:val="00255E74"/>
    <w:rsid w:val="00256479"/>
    <w:rsid w:val="00257751"/>
    <w:rsid w:val="00257C26"/>
    <w:rsid w:val="002608CB"/>
    <w:rsid w:val="00262370"/>
    <w:rsid w:val="00262ABC"/>
    <w:rsid w:val="002630BB"/>
    <w:rsid w:val="002637B2"/>
    <w:rsid w:val="00264D9A"/>
    <w:rsid w:val="00270DE8"/>
    <w:rsid w:val="0027195A"/>
    <w:rsid w:val="00273375"/>
    <w:rsid w:val="00275716"/>
    <w:rsid w:val="00277B29"/>
    <w:rsid w:val="0028070E"/>
    <w:rsid w:val="00281A81"/>
    <w:rsid w:val="00281FD5"/>
    <w:rsid w:val="00282BC3"/>
    <w:rsid w:val="002840B8"/>
    <w:rsid w:val="00284D9F"/>
    <w:rsid w:val="00285425"/>
    <w:rsid w:val="00287F5A"/>
    <w:rsid w:val="00291EB5"/>
    <w:rsid w:val="0029238F"/>
    <w:rsid w:val="0029455E"/>
    <w:rsid w:val="00296B8D"/>
    <w:rsid w:val="002970D1"/>
    <w:rsid w:val="0029733C"/>
    <w:rsid w:val="002A56AF"/>
    <w:rsid w:val="002A6162"/>
    <w:rsid w:val="002A7E18"/>
    <w:rsid w:val="002B306B"/>
    <w:rsid w:val="002B5168"/>
    <w:rsid w:val="002B60D5"/>
    <w:rsid w:val="002B616E"/>
    <w:rsid w:val="002B632F"/>
    <w:rsid w:val="002B7196"/>
    <w:rsid w:val="002B7A61"/>
    <w:rsid w:val="002C02DC"/>
    <w:rsid w:val="002C1A48"/>
    <w:rsid w:val="002C1D05"/>
    <w:rsid w:val="002C2A87"/>
    <w:rsid w:val="002C37F2"/>
    <w:rsid w:val="002C38E5"/>
    <w:rsid w:val="002C662C"/>
    <w:rsid w:val="002C78E9"/>
    <w:rsid w:val="002C7990"/>
    <w:rsid w:val="002D0797"/>
    <w:rsid w:val="002D2EB1"/>
    <w:rsid w:val="002D4238"/>
    <w:rsid w:val="002E24F3"/>
    <w:rsid w:val="002E6AB4"/>
    <w:rsid w:val="002F11EE"/>
    <w:rsid w:val="002F1916"/>
    <w:rsid w:val="002F1DF6"/>
    <w:rsid w:val="002F214F"/>
    <w:rsid w:val="002F2919"/>
    <w:rsid w:val="002F49C5"/>
    <w:rsid w:val="002F5D44"/>
    <w:rsid w:val="002F6A2C"/>
    <w:rsid w:val="002F7324"/>
    <w:rsid w:val="00300F22"/>
    <w:rsid w:val="00302512"/>
    <w:rsid w:val="00306A99"/>
    <w:rsid w:val="00312810"/>
    <w:rsid w:val="00313516"/>
    <w:rsid w:val="00314F1F"/>
    <w:rsid w:val="0031563E"/>
    <w:rsid w:val="00315684"/>
    <w:rsid w:val="00316E2D"/>
    <w:rsid w:val="00317C30"/>
    <w:rsid w:val="003213CC"/>
    <w:rsid w:val="00322687"/>
    <w:rsid w:val="0032277D"/>
    <w:rsid w:val="003236FF"/>
    <w:rsid w:val="00324110"/>
    <w:rsid w:val="00326024"/>
    <w:rsid w:val="003270B7"/>
    <w:rsid w:val="00327CAB"/>
    <w:rsid w:val="00331C6B"/>
    <w:rsid w:val="00332112"/>
    <w:rsid w:val="00335613"/>
    <w:rsid w:val="00336DB8"/>
    <w:rsid w:val="00340487"/>
    <w:rsid w:val="003435B7"/>
    <w:rsid w:val="003456BA"/>
    <w:rsid w:val="00346AD4"/>
    <w:rsid w:val="00351EE8"/>
    <w:rsid w:val="00351FF2"/>
    <w:rsid w:val="00352307"/>
    <w:rsid w:val="003530A4"/>
    <w:rsid w:val="00353BF9"/>
    <w:rsid w:val="00360423"/>
    <w:rsid w:val="0036079F"/>
    <w:rsid w:val="00360AD9"/>
    <w:rsid w:val="00362280"/>
    <w:rsid w:val="00362720"/>
    <w:rsid w:val="003636AD"/>
    <w:rsid w:val="00363B5E"/>
    <w:rsid w:val="00370012"/>
    <w:rsid w:val="00370610"/>
    <w:rsid w:val="00371295"/>
    <w:rsid w:val="00372D6B"/>
    <w:rsid w:val="00374FEF"/>
    <w:rsid w:val="00375B62"/>
    <w:rsid w:val="0038308C"/>
    <w:rsid w:val="00383703"/>
    <w:rsid w:val="0038676A"/>
    <w:rsid w:val="003869B1"/>
    <w:rsid w:val="00387D10"/>
    <w:rsid w:val="00387EFC"/>
    <w:rsid w:val="0039024B"/>
    <w:rsid w:val="003906AD"/>
    <w:rsid w:val="003968C2"/>
    <w:rsid w:val="00396A08"/>
    <w:rsid w:val="0039747A"/>
    <w:rsid w:val="00397499"/>
    <w:rsid w:val="003A0422"/>
    <w:rsid w:val="003B1D63"/>
    <w:rsid w:val="003B2B93"/>
    <w:rsid w:val="003B7127"/>
    <w:rsid w:val="003C29D7"/>
    <w:rsid w:val="003C339A"/>
    <w:rsid w:val="003C3B52"/>
    <w:rsid w:val="003C3EB9"/>
    <w:rsid w:val="003C4633"/>
    <w:rsid w:val="003C7A25"/>
    <w:rsid w:val="003D1721"/>
    <w:rsid w:val="003D2833"/>
    <w:rsid w:val="003D3825"/>
    <w:rsid w:val="003D49CC"/>
    <w:rsid w:val="003D525D"/>
    <w:rsid w:val="003D74E8"/>
    <w:rsid w:val="003E069B"/>
    <w:rsid w:val="003E2FC2"/>
    <w:rsid w:val="003E5365"/>
    <w:rsid w:val="003E7919"/>
    <w:rsid w:val="003F0127"/>
    <w:rsid w:val="003F4630"/>
    <w:rsid w:val="003F4D66"/>
    <w:rsid w:val="003F4E37"/>
    <w:rsid w:val="003F74FB"/>
    <w:rsid w:val="0040189D"/>
    <w:rsid w:val="00403523"/>
    <w:rsid w:val="00405768"/>
    <w:rsid w:val="00405E84"/>
    <w:rsid w:val="004107BF"/>
    <w:rsid w:val="004109FA"/>
    <w:rsid w:val="0041244C"/>
    <w:rsid w:val="004144BE"/>
    <w:rsid w:val="00417422"/>
    <w:rsid w:val="0042018F"/>
    <w:rsid w:val="004221C2"/>
    <w:rsid w:val="00423211"/>
    <w:rsid w:val="00425242"/>
    <w:rsid w:val="004259F5"/>
    <w:rsid w:val="00426C50"/>
    <w:rsid w:val="00426F8F"/>
    <w:rsid w:val="00427094"/>
    <w:rsid w:val="00430491"/>
    <w:rsid w:val="004317E7"/>
    <w:rsid w:val="004324D3"/>
    <w:rsid w:val="004324F5"/>
    <w:rsid w:val="00433570"/>
    <w:rsid w:val="00433B2C"/>
    <w:rsid w:val="00435984"/>
    <w:rsid w:val="004408E2"/>
    <w:rsid w:val="00441656"/>
    <w:rsid w:val="0044756C"/>
    <w:rsid w:val="00451FD4"/>
    <w:rsid w:val="00453819"/>
    <w:rsid w:val="004543AD"/>
    <w:rsid w:val="00457B80"/>
    <w:rsid w:val="004612AA"/>
    <w:rsid w:val="00461F8D"/>
    <w:rsid w:val="004627B4"/>
    <w:rsid w:val="004628E7"/>
    <w:rsid w:val="00463715"/>
    <w:rsid w:val="00465744"/>
    <w:rsid w:val="00467EE6"/>
    <w:rsid w:val="0047197B"/>
    <w:rsid w:val="00473E51"/>
    <w:rsid w:val="0047404E"/>
    <w:rsid w:val="0047423B"/>
    <w:rsid w:val="0047606B"/>
    <w:rsid w:val="0047678E"/>
    <w:rsid w:val="0047747D"/>
    <w:rsid w:val="004827A8"/>
    <w:rsid w:val="00482EFF"/>
    <w:rsid w:val="00484B83"/>
    <w:rsid w:val="00486DE9"/>
    <w:rsid w:val="00490BE7"/>
    <w:rsid w:val="00491F1D"/>
    <w:rsid w:val="00493772"/>
    <w:rsid w:val="00493CB9"/>
    <w:rsid w:val="004940EA"/>
    <w:rsid w:val="00494FC2"/>
    <w:rsid w:val="00496A90"/>
    <w:rsid w:val="00496B92"/>
    <w:rsid w:val="004A2F93"/>
    <w:rsid w:val="004A48F9"/>
    <w:rsid w:val="004A5628"/>
    <w:rsid w:val="004A57CD"/>
    <w:rsid w:val="004A609D"/>
    <w:rsid w:val="004A67F7"/>
    <w:rsid w:val="004B01C1"/>
    <w:rsid w:val="004B27F0"/>
    <w:rsid w:val="004B31F1"/>
    <w:rsid w:val="004B36D3"/>
    <w:rsid w:val="004B4A0B"/>
    <w:rsid w:val="004B5633"/>
    <w:rsid w:val="004C1391"/>
    <w:rsid w:val="004C1E64"/>
    <w:rsid w:val="004C262B"/>
    <w:rsid w:val="004C6E08"/>
    <w:rsid w:val="004C71F1"/>
    <w:rsid w:val="004C7232"/>
    <w:rsid w:val="004C7685"/>
    <w:rsid w:val="004D0957"/>
    <w:rsid w:val="004D154B"/>
    <w:rsid w:val="004D2156"/>
    <w:rsid w:val="004D2F96"/>
    <w:rsid w:val="004D4A52"/>
    <w:rsid w:val="004D54AD"/>
    <w:rsid w:val="004D623B"/>
    <w:rsid w:val="004E1666"/>
    <w:rsid w:val="004E16EB"/>
    <w:rsid w:val="004E1B4B"/>
    <w:rsid w:val="004E2611"/>
    <w:rsid w:val="004F0C77"/>
    <w:rsid w:val="004F13F5"/>
    <w:rsid w:val="004F4B69"/>
    <w:rsid w:val="004F4B7B"/>
    <w:rsid w:val="004F4ED7"/>
    <w:rsid w:val="004F4FDE"/>
    <w:rsid w:val="005001DC"/>
    <w:rsid w:val="00501E9F"/>
    <w:rsid w:val="00502876"/>
    <w:rsid w:val="00506866"/>
    <w:rsid w:val="00506BDE"/>
    <w:rsid w:val="0050730C"/>
    <w:rsid w:val="00511830"/>
    <w:rsid w:val="0051263F"/>
    <w:rsid w:val="00512A86"/>
    <w:rsid w:val="00512CAE"/>
    <w:rsid w:val="00512E73"/>
    <w:rsid w:val="005137A5"/>
    <w:rsid w:val="005137FA"/>
    <w:rsid w:val="00515D77"/>
    <w:rsid w:val="0051760E"/>
    <w:rsid w:val="0051774B"/>
    <w:rsid w:val="00517DE2"/>
    <w:rsid w:val="00517EE5"/>
    <w:rsid w:val="00520700"/>
    <w:rsid w:val="00521EAC"/>
    <w:rsid w:val="00522BAC"/>
    <w:rsid w:val="00522C06"/>
    <w:rsid w:val="00523734"/>
    <w:rsid w:val="00523987"/>
    <w:rsid w:val="00525163"/>
    <w:rsid w:val="0052545B"/>
    <w:rsid w:val="00527880"/>
    <w:rsid w:val="00530684"/>
    <w:rsid w:val="005309EB"/>
    <w:rsid w:val="00532E5A"/>
    <w:rsid w:val="005333DE"/>
    <w:rsid w:val="005351FA"/>
    <w:rsid w:val="0053542D"/>
    <w:rsid w:val="005355E8"/>
    <w:rsid w:val="00536AA0"/>
    <w:rsid w:val="005372FA"/>
    <w:rsid w:val="0054306C"/>
    <w:rsid w:val="00544D98"/>
    <w:rsid w:val="00544E98"/>
    <w:rsid w:val="0054601D"/>
    <w:rsid w:val="005507B0"/>
    <w:rsid w:val="00550A9D"/>
    <w:rsid w:val="00554183"/>
    <w:rsid w:val="005657A7"/>
    <w:rsid w:val="00565F94"/>
    <w:rsid w:val="00567288"/>
    <w:rsid w:val="005673F6"/>
    <w:rsid w:val="0056753D"/>
    <w:rsid w:val="005711EC"/>
    <w:rsid w:val="00573D2D"/>
    <w:rsid w:val="0057530C"/>
    <w:rsid w:val="005769B3"/>
    <w:rsid w:val="00581F64"/>
    <w:rsid w:val="005836B2"/>
    <w:rsid w:val="005859E8"/>
    <w:rsid w:val="005875E5"/>
    <w:rsid w:val="0059201B"/>
    <w:rsid w:val="0059308D"/>
    <w:rsid w:val="00594CAF"/>
    <w:rsid w:val="00595C02"/>
    <w:rsid w:val="00595DFF"/>
    <w:rsid w:val="00597D0A"/>
    <w:rsid w:val="005A0371"/>
    <w:rsid w:val="005A2C76"/>
    <w:rsid w:val="005A4340"/>
    <w:rsid w:val="005A5EB9"/>
    <w:rsid w:val="005A5F67"/>
    <w:rsid w:val="005A5FE8"/>
    <w:rsid w:val="005A61FB"/>
    <w:rsid w:val="005A6549"/>
    <w:rsid w:val="005B0344"/>
    <w:rsid w:val="005B1AA6"/>
    <w:rsid w:val="005B1D27"/>
    <w:rsid w:val="005B5064"/>
    <w:rsid w:val="005C0857"/>
    <w:rsid w:val="005C088A"/>
    <w:rsid w:val="005C562C"/>
    <w:rsid w:val="005C59D2"/>
    <w:rsid w:val="005C5EE4"/>
    <w:rsid w:val="005C6E09"/>
    <w:rsid w:val="005D0059"/>
    <w:rsid w:val="005D0CE5"/>
    <w:rsid w:val="005D2C15"/>
    <w:rsid w:val="005D2DB7"/>
    <w:rsid w:val="005D2F12"/>
    <w:rsid w:val="005D3D1B"/>
    <w:rsid w:val="005D413E"/>
    <w:rsid w:val="005D6904"/>
    <w:rsid w:val="005D7D7C"/>
    <w:rsid w:val="005E1162"/>
    <w:rsid w:val="005E207D"/>
    <w:rsid w:val="005E21A5"/>
    <w:rsid w:val="005E5A70"/>
    <w:rsid w:val="005E746B"/>
    <w:rsid w:val="005F08FD"/>
    <w:rsid w:val="005F483E"/>
    <w:rsid w:val="005F487B"/>
    <w:rsid w:val="005F6C81"/>
    <w:rsid w:val="005F79FD"/>
    <w:rsid w:val="0060069B"/>
    <w:rsid w:val="006010EE"/>
    <w:rsid w:val="00602973"/>
    <w:rsid w:val="0060481D"/>
    <w:rsid w:val="00606D51"/>
    <w:rsid w:val="006072E4"/>
    <w:rsid w:val="00607320"/>
    <w:rsid w:val="006105C4"/>
    <w:rsid w:val="006136C6"/>
    <w:rsid w:val="00614E59"/>
    <w:rsid w:val="006153ED"/>
    <w:rsid w:val="00615BC9"/>
    <w:rsid w:val="0062098C"/>
    <w:rsid w:val="00621E27"/>
    <w:rsid w:val="00622549"/>
    <w:rsid w:val="00622767"/>
    <w:rsid w:val="00622D0A"/>
    <w:rsid w:val="006245B9"/>
    <w:rsid w:val="00626A0A"/>
    <w:rsid w:val="006270BA"/>
    <w:rsid w:val="006274D4"/>
    <w:rsid w:val="006300A8"/>
    <w:rsid w:val="0063015F"/>
    <w:rsid w:val="00631956"/>
    <w:rsid w:val="006360BD"/>
    <w:rsid w:val="0063662D"/>
    <w:rsid w:val="006375AB"/>
    <w:rsid w:val="00637B6A"/>
    <w:rsid w:val="00640D67"/>
    <w:rsid w:val="0064155E"/>
    <w:rsid w:val="006418EB"/>
    <w:rsid w:val="00641F10"/>
    <w:rsid w:val="006420ED"/>
    <w:rsid w:val="00642577"/>
    <w:rsid w:val="00645E7D"/>
    <w:rsid w:val="0064686C"/>
    <w:rsid w:val="00646C64"/>
    <w:rsid w:val="00646DF7"/>
    <w:rsid w:val="00647495"/>
    <w:rsid w:val="00647EAA"/>
    <w:rsid w:val="00650C32"/>
    <w:rsid w:val="0065262F"/>
    <w:rsid w:val="0066070A"/>
    <w:rsid w:val="0066494B"/>
    <w:rsid w:val="00664DC6"/>
    <w:rsid w:val="00670800"/>
    <w:rsid w:val="006711F4"/>
    <w:rsid w:val="00671A3E"/>
    <w:rsid w:val="00673FBF"/>
    <w:rsid w:val="00675651"/>
    <w:rsid w:val="00676F75"/>
    <w:rsid w:val="00681124"/>
    <w:rsid w:val="0068208B"/>
    <w:rsid w:val="006823C8"/>
    <w:rsid w:val="0068399E"/>
    <w:rsid w:val="006855A8"/>
    <w:rsid w:val="00687CAA"/>
    <w:rsid w:val="0069289F"/>
    <w:rsid w:val="00692F79"/>
    <w:rsid w:val="00694060"/>
    <w:rsid w:val="00694087"/>
    <w:rsid w:val="0069499F"/>
    <w:rsid w:val="006A0F33"/>
    <w:rsid w:val="006A29B0"/>
    <w:rsid w:val="006A473E"/>
    <w:rsid w:val="006A4C6D"/>
    <w:rsid w:val="006A6611"/>
    <w:rsid w:val="006A678D"/>
    <w:rsid w:val="006B1CF4"/>
    <w:rsid w:val="006B294C"/>
    <w:rsid w:val="006B64DB"/>
    <w:rsid w:val="006B706D"/>
    <w:rsid w:val="006B7948"/>
    <w:rsid w:val="006C2539"/>
    <w:rsid w:val="006C2766"/>
    <w:rsid w:val="006C3AC5"/>
    <w:rsid w:val="006C3CAC"/>
    <w:rsid w:val="006C5B79"/>
    <w:rsid w:val="006D0997"/>
    <w:rsid w:val="006D2076"/>
    <w:rsid w:val="006D3D58"/>
    <w:rsid w:val="006D71D2"/>
    <w:rsid w:val="006D7F84"/>
    <w:rsid w:val="006E0AAC"/>
    <w:rsid w:val="006E0DBE"/>
    <w:rsid w:val="006E16E2"/>
    <w:rsid w:val="006E1D3B"/>
    <w:rsid w:val="006E2846"/>
    <w:rsid w:val="006E2982"/>
    <w:rsid w:val="006E316B"/>
    <w:rsid w:val="006E34E7"/>
    <w:rsid w:val="006E56A0"/>
    <w:rsid w:val="006E577E"/>
    <w:rsid w:val="006F0705"/>
    <w:rsid w:val="006F3B47"/>
    <w:rsid w:val="006F3B5F"/>
    <w:rsid w:val="006F7724"/>
    <w:rsid w:val="00700E61"/>
    <w:rsid w:val="00704470"/>
    <w:rsid w:val="00704F19"/>
    <w:rsid w:val="007070DC"/>
    <w:rsid w:val="00710727"/>
    <w:rsid w:val="00710F88"/>
    <w:rsid w:val="007111DE"/>
    <w:rsid w:val="0071209D"/>
    <w:rsid w:val="007130B4"/>
    <w:rsid w:val="007133DF"/>
    <w:rsid w:val="00713988"/>
    <w:rsid w:val="00715D74"/>
    <w:rsid w:val="0071747A"/>
    <w:rsid w:val="00717753"/>
    <w:rsid w:val="007179AE"/>
    <w:rsid w:val="007201ED"/>
    <w:rsid w:val="00720B6A"/>
    <w:rsid w:val="0072164D"/>
    <w:rsid w:val="00725871"/>
    <w:rsid w:val="007271D9"/>
    <w:rsid w:val="00731AE4"/>
    <w:rsid w:val="0073225A"/>
    <w:rsid w:val="00733041"/>
    <w:rsid w:val="00733232"/>
    <w:rsid w:val="0073466C"/>
    <w:rsid w:val="00735479"/>
    <w:rsid w:val="007369C7"/>
    <w:rsid w:val="007370CC"/>
    <w:rsid w:val="00740C30"/>
    <w:rsid w:val="007437E2"/>
    <w:rsid w:val="007454AA"/>
    <w:rsid w:val="00745628"/>
    <w:rsid w:val="007462C9"/>
    <w:rsid w:val="00747329"/>
    <w:rsid w:val="0075426B"/>
    <w:rsid w:val="00756DEC"/>
    <w:rsid w:val="00757687"/>
    <w:rsid w:val="007603F3"/>
    <w:rsid w:val="00761071"/>
    <w:rsid w:val="007633A9"/>
    <w:rsid w:val="00764050"/>
    <w:rsid w:val="00764273"/>
    <w:rsid w:val="007663E8"/>
    <w:rsid w:val="00767DDE"/>
    <w:rsid w:val="00767E73"/>
    <w:rsid w:val="0077454A"/>
    <w:rsid w:val="00775ED1"/>
    <w:rsid w:val="007778FE"/>
    <w:rsid w:val="00781E71"/>
    <w:rsid w:val="0078249D"/>
    <w:rsid w:val="00785A95"/>
    <w:rsid w:val="007873DA"/>
    <w:rsid w:val="00787460"/>
    <w:rsid w:val="00790A0F"/>
    <w:rsid w:val="00790FAC"/>
    <w:rsid w:val="007919FC"/>
    <w:rsid w:val="00792B0C"/>
    <w:rsid w:val="007944FD"/>
    <w:rsid w:val="0079792B"/>
    <w:rsid w:val="007A004D"/>
    <w:rsid w:val="007A012D"/>
    <w:rsid w:val="007A0B2D"/>
    <w:rsid w:val="007A249C"/>
    <w:rsid w:val="007A36F5"/>
    <w:rsid w:val="007A438B"/>
    <w:rsid w:val="007B2CC3"/>
    <w:rsid w:val="007B729C"/>
    <w:rsid w:val="007B73A6"/>
    <w:rsid w:val="007C1296"/>
    <w:rsid w:val="007C22A9"/>
    <w:rsid w:val="007C3CFE"/>
    <w:rsid w:val="007C4037"/>
    <w:rsid w:val="007C67D6"/>
    <w:rsid w:val="007C7740"/>
    <w:rsid w:val="007D0D83"/>
    <w:rsid w:val="007D0DB0"/>
    <w:rsid w:val="007D1220"/>
    <w:rsid w:val="007D1A63"/>
    <w:rsid w:val="007D73F6"/>
    <w:rsid w:val="007D7CFF"/>
    <w:rsid w:val="007E058A"/>
    <w:rsid w:val="007E0B78"/>
    <w:rsid w:val="007E240B"/>
    <w:rsid w:val="007E2D89"/>
    <w:rsid w:val="007E3B89"/>
    <w:rsid w:val="007E537D"/>
    <w:rsid w:val="007E7602"/>
    <w:rsid w:val="007F14D3"/>
    <w:rsid w:val="008015F3"/>
    <w:rsid w:val="00801ACE"/>
    <w:rsid w:val="008022B2"/>
    <w:rsid w:val="00803688"/>
    <w:rsid w:val="00804794"/>
    <w:rsid w:val="00805174"/>
    <w:rsid w:val="00806EEF"/>
    <w:rsid w:val="00811A87"/>
    <w:rsid w:val="00811ED3"/>
    <w:rsid w:val="00814973"/>
    <w:rsid w:val="00817AA5"/>
    <w:rsid w:val="00817D73"/>
    <w:rsid w:val="0082115D"/>
    <w:rsid w:val="008213D9"/>
    <w:rsid w:val="00822FD6"/>
    <w:rsid w:val="008258F2"/>
    <w:rsid w:val="00827357"/>
    <w:rsid w:val="00827D03"/>
    <w:rsid w:val="008318FF"/>
    <w:rsid w:val="008360E6"/>
    <w:rsid w:val="00836FB3"/>
    <w:rsid w:val="0083709C"/>
    <w:rsid w:val="00840C2B"/>
    <w:rsid w:val="008425C4"/>
    <w:rsid w:val="0084295E"/>
    <w:rsid w:val="00844355"/>
    <w:rsid w:val="00844D0F"/>
    <w:rsid w:val="00846E8E"/>
    <w:rsid w:val="00846EEF"/>
    <w:rsid w:val="0084753D"/>
    <w:rsid w:val="008526AD"/>
    <w:rsid w:val="0085300B"/>
    <w:rsid w:val="00853CC7"/>
    <w:rsid w:val="008557B3"/>
    <w:rsid w:val="0085714D"/>
    <w:rsid w:val="0086125B"/>
    <w:rsid w:val="0086156D"/>
    <w:rsid w:val="008616BB"/>
    <w:rsid w:val="00862C10"/>
    <w:rsid w:val="008701EC"/>
    <w:rsid w:val="0087025F"/>
    <w:rsid w:val="00870DA3"/>
    <w:rsid w:val="00876BF8"/>
    <w:rsid w:val="00883759"/>
    <w:rsid w:val="0088696F"/>
    <w:rsid w:val="00887434"/>
    <w:rsid w:val="008901DA"/>
    <w:rsid w:val="00890226"/>
    <w:rsid w:val="00890DBF"/>
    <w:rsid w:val="008923BE"/>
    <w:rsid w:val="008928FA"/>
    <w:rsid w:val="008A4900"/>
    <w:rsid w:val="008B1F3D"/>
    <w:rsid w:val="008B21FD"/>
    <w:rsid w:val="008B3093"/>
    <w:rsid w:val="008B341A"/>
    <w:rsid w:val="008B6CCF"/>
    <w:rsid w:val="008B7AA5"/>
    <w:rsid w:val="008C01A7"/>
    <w:rsid w:val="008C34FA"/>
    <w:rsid w:val="008C3F2C"/>
    <w:rsid w:val="008C427E"/>
    <w:rsid w:val="008D0EEE"/>
    <w:rsid w:val="008D1BC9"/>
    <w:rsid w:val="008D331A"/>
    <w:rsid w:val="008D5691"/>
    <w:rsid w:val="008D5B66"/>
    <w:rsid w:val="008D62B4"/>
    <w:rsid w:val="008E093C"/>
    <w:rsid w:val="008E2640"/>
    <w:rsid w:val="008E3C5A"/>
    <w:rsid w:val="008F3CB9"/>
    <w:rsid w:val="008F67DC"/>
    <w:rsid w:val="00902068"/>
    <w:rsid w:val="00902739"/>
    <w:rsid w:val="00903D4E"/>
    <w:rsid w:val="009056F1"/>
    <w:rsid w:val="00905E31"/>
    <w:rsid w:val="00906DE3"/>
    <w:rsid w:val="00906F0A"/>
    <w:rsid w:val="00907792"/>
    <w:rsid w:val="00907E48"/>
    <w:rsid w:val="009133BA"/>
    <w:rsid w:val="009148FB"/>
    <w:rsid w:val="00914CE6"/>
    <w:rsid w:val="00914FC6"/>
    <w:rsid w:val="009177C6"/>
    <w:rsid w:val="0092195A"/>
    <w:rsid w:val="009227A0"/>
    <w:rsid w:val="00923AF9"/>
    <w:rsid w:val="00925C65"/>
    <w:rsid w:val="0092661D"/>
    <w:rsid w:val="00932A61"/>
    <w:rsid w:val="00932AE5"/>
    <w:rsid w:val="00937BB2"/>
    <w:rsid w:val="009400F3"/>
    <w:rsid w:val="009404DA"/>
    <w:rsid w:val="00940689"/>
    <w:rsid w:val="00940734"/>
    <w:rsid w:val="00940AAD"/>
    <w:rsid w:val="00941F0B"/>
    <w:rsid w:val="009421BB"/>
    <w:rsid w:val="0094389B"/>
    <w:rsid w:val="00945202"/>
    <w:rsid w:val="00945650"/>
    <w:rsid w:val="00950785"/>
    <w:rsid w:val="00950BEC"/>
    <w:rsid w:val="00951D69"/>
    <w:rsid w:val="00953A10"/>
    <w:rsid w:val="0095405E"/>
    <w:rsid w:val="00954A3E"/>
    <w:rsid w:val="00955255"/>
    <w:rsid w:val="0095571D"/>
    <w:rsid w:val="00955BA3"/>
    <w:rsid w:val="009564B2"/>
    <w:rsid w:val="00961A13"/>
    <w:rsid w:val="00962231"/>
    <w:rsid w:val="0096232F"/>
    <w:rsid w:val="009654A2"/>
    <w:rsid w:val="009662A5"/>
    <w:rsid w:val="00970BA4"/>
    <w:rsid w:val="00972B4D"/>
    <w:rsid w:val="00975519"/>
    <w:rsid w:val="00975FBC"/>
    <w:rsid w:val="009770F8"/>
    <w:rsid w:val="00980F29"/>
    <w:rsid w:val="00981658"/>
    <w:rsid w:val="00990876"/>
    <w:rsid w:val="00993D5A"/>
    <w:rsid w:val="00994247"/>
    <w:rsid w:val="00994CBB"/>
    <w:rsid w:val="009971AF"/>
    <w:rsid w:val="009A15A4"/>
    <w:rsid w:val="009A31D4"/>
    <w:rsid w:val="009A5986"/>
    <w:rsid w:val="009A7209"/>
    <w:rsid w:val="009B0306"/>
    <w:rsid w:val="009B08AE"/>
    <w:rsid w:val="009B13CD"/>
    <w:rsid w:val="009B1C4C"/>
    <w:rsid w:val="009B38F6"/>
    <w:rsid w:val="009B3E77"/>
    <w:rsid w:val="009B4A7B"/>
    <w:rsid w:val="009B60F0"/>
    <w:rsid w:val="009B6AC0"/>
    <w:rsid w:val="009B6AD0"/>
    <w:rsid w:val="009B706B"/>
    <w:rsid w:val="009C008B"/>
    <w:rsid w:val="009C0BA0"/>
    <w:rsid w:val="009C1597"/>
    <w:rsid w:val="009C1C0D"/>
    <w:rsid w:val="009C1FFF"/>
    <w:rsid w:val="009C337D"/>
    <w:rsid w:val="009C3D68"/>
    <w:rsid w:val="009C547E"/>
    <w:rsid w:val="009C55D1"/>
    <w:rsid w:val="009C6792"/>
    <w:rsid w:val="009C7E46"/>
    <w:rsid w:val="009D07E6"/>
    <w:rsid w:val="009D1346"/>
    <w:rsid w:val="009D1775"/>
    <w:rsid w:val="009D3149"/>
    <w:rsid w:val="009D3DCF"/>
    <w:rsid w:val="009D5024"/>
    <w:rsid w:val="009D665E"/>
    <w:rsid w:val="009D734C"/>
    <w:rsid w:val="009D7614"/>
    <w:rsid w:val="009E3BD8"/>
    <w:rsid w:val="009E4AEF"/>
    <w:rsid w:val="009E6D41"/>
    <w:rsid w:val="009E73FD"/>
    <w:rsid w:val="009F42DD"/>
    <w:rsid w:val="009F48DE"/>
    <w:rsid w:val="009F730A"/>
    <w:rsid w:val="00A02A20"/>
    <w:rsid w:val="00A03F37"/>
    <w:rsid w:val="00A05050"/>
    <w:rsid w:val="00A07E56"/>
    <w:rsid w:val="00A113E9"/>
    <w:rsid w:val="00A1182A"/>
    <w:rsid w:val="00A11B2E"/>
    <w:rsid w:val="00A11C71"/>
    <w:rsid w:val="00A12C92"/>
    <w:rsid w:val="00A15D81"/>
    <w:rsid w:val="00A20282"/>
    <w:rsid w:val="00A20901"/>
    <w:rsid w:val="00A25396"/>
    <w:rsid w:val="00A25C5C"/>
    <w:rsid w:val="00A27804"/>
    <w:rsid w:val="00A31860"/>
    <w:rsid w:val="00A32E14"/>
    <w:rsid w:val="00A3512C"/>
    <w:rsid w:val="00A444DB"/>
    <w:rsid w:val="00A50519"/>
    <w:rsid w:val="00A52741"/>
    <w:rsid w:val="00A54138"/>
    <w:rsid w:val="00A5540B"/>
    <w:rsid w:val="00A56130"/>
    <w:rsid w:val="00A56D4D"/>
    <w:rsid w:val="00A57A8D"/>
    <w:rsid w:val="00A629CF"/>
    <w:rsid w:val="00A63650"/>
    <w:rsid w:val="00A64A1A"/>
    <w:rsid w:val="00A65495"/>
    <w:rsid w:val="00A66462"/>
    <w:rsid w:val="00A673F0"/>
    <w:rsid w:val="00A70373"/>
    <w:rsid w:val="00A74884"/>
    <w:rsid w:val="00A75C31"/>
    <w:rsid w:val="00A76860"/>
    <w:rsid w:val="00A772C2"/>
    <w:rsid w:val="00A81C8B"/>
    <w:rsid w:val="00A82D2F"/>
    <w:rsid w:val="00A834FB"/>
    <w:rsid w:val="00A83EE9"/>
    <w:rsid w:val="00A83EF0"/>
    <w:rsid w:val="00A84701"/>
    <w:rsid w:val="00A85370"/>
    <w:rsid w:val="00A865F1"/>
    <w:rsid w:val="00A869A6"/>
    <w:rsid w:val="00A91E4B"/>
    <w:rsid w:val="00A94642"/>
    <w:rsid w:val="00A9583C"/>
    <w:rsid w:val="00A9716C"/>
    <w:rsid w:val="00AA1FC3"/>
    <w:rsid w:val="00AA2549"/>
    <w:rsid w:val="00AA2C7F"/>
    <w:rsid w:val="00AA33B8"/>
    <w:rsid w:val="00AA5B5A"/>
    <w:rsid w:val="00AB2121"/>
    <w:rsid w:val="00AB57FD"/>
    <w:rsid w:val="00AB670B"/>
    <w:rsid w:val="00AB6892"/>
    <w:rsid w:val="00AB70D2"/>
    <w:rsid w:val="00AC1F1B"/>
    <w:rsid w:val="00AC2CBD"/>
    <w:rsid w:val="00AC3405"/>
    <w:rsid w:val="00AC37F9"/>
    <w:rsid w:val="00AC4318"/>
    <w:rsid w:val="00AC44EE"/>
    <w:rsid w:val="00AC587F"/>
    <w:rsid w:val="00AC6BD7"/>
    <w:rsid w:val="00AD08B2"/>
    <w:rsid w:val="00AD1EE3"/>
    <w:rsid w:val="00AD269C"/>
    <w:rsid w:val="00AD4491"/>
    <w:rsid w:val="00AD4D38"/>
    <w:rsid w:val="00AD5193"/>
    <w:rsid w:val="00AD6DAD"/>
    <w:rsid w:val="00AD7F7A"/>
    <w:rsid w:val="00AE1338"/>
    <w:rsid w:val="00AE333B"/>
    <w:rsid w:val="00AE464F"/>
    <w:rsid w:val="00AE5E1F"/>
    <w:rsid w:val="00AF1F72"/>
    <w:rsid w:val="00AF29C9"/>
    <w:rsid w:val="00AF3874"/>
    <w:rsid w:val="00AF42E8"/>
    <w:rsid w:val="00AF613A"/>
    <w:rsid w:val="00AF6F3B"/>
    <w:rsid w:val="00AF7635"/>
    <w:rsid w:val="00B00802"/>
    <w:rsid w:val="00B00EAE"/>
    <w:rsid w:val="00B01F58"/>
    <w:rsid w:val="00B0330B"/>
    <w:rsid w:val="00B11A3A"/>
    <w:rsid w:val="00B2001B"/>
    <w:rsid w:val="00B22036"/>
    <w:rsid w:val="00B2237B"/>
    <w:rsid w:val="00B22A29"/>
    <w:rsid w:val="00B231EE"/>
    <w:rsid w:val="00B31174"/>
    <w:rsid w:val="00B32BAB"/>
    <w:rsid w:val="00B35BC4"/>
    <w:rsid w:val="00B423CB"/>
    <w:rsid w:val="00B431A0"/>
    <w:rsid w:val="00B43DC5"/>
    <w:rsid w:val="00B4506A"/>
    <w:rsid w:val="00B46149"/>
    <w:rsid w:val="00B50A9E"/>
    <w:rsid w:val="00B50C9C"/>
    <w:rsid w:val="00B5231B"/>
    <w:rsid w:val="00B5384F"/>
    <w:rsid w:val="00B54B76"/>
    <w:rsid w:val="00B61ED1"/>
    <w:rsid w:val="00B631F8"/>
    <w:rsid w:val="00B63B85"/>
    <w:rsid w:val="00B648D5"/>
    <w:rsid w:val="00B64E1E"/>
    <w:rsid w:val="00B67BD5"/>
    <w:rsid w:val="00B67ED6"/>
    <w:rsid w:val="00B70ED9"/>
    <w:rsid w:val="00B71049"/>
    <w:rsid w:val="00B71FDA"/>
    <w:rsid w:val="00B73290"/>
    <w:rsid w:val="00B75B8C"/>
    <w:rsid w:val="00B75C6F"/>
    <w:rsid w:val="00B76979"/>
    <w:rsid w:val="00B81B0F"/>
    <w:rsid w:val="00B82683"/>
    <w:rsid w:val="00B82CB9"/>
    <w:rsid w:val="00B83F91"/>
    <w:rsid w:val="00B84AB7"/>
    <w:rsid w:val="00B86C14"/>
    <w:rsid w:val="00B92D03"/>
    <w:rsid w:val="00B96776"/>
    <w:rsid w:val="00B9747A"/>
    <w:rsid w:val="00B97ECD"/>
    <w:rsid w:val="00BA0C81"/>
    <w:rsid w:val="00BA1357"/>
    <w:rsid w:val="00BA1AAE"/>
    <w:rsid w:val="00BA1B1D"/>
    <w:rsid w:val="00BA38AB"/>
    <w:rsid w:val="00BA5630"/>
    <w:rsid w:val="00BA576C"/>
    <w:rsid w:val="00BA792A"/>
    <w:rsid w:val="00BA7F6F"/>
    <w:rsid w:val="00BB12E8"/>
    <w:rsid w:val="00BB24D5"/>
    <w:rsid w:val="00BB2DA2"/>
    <w:rsid w:val="00BB6164"/>
    <w:rsid w:val="00BC1151"/>
    <w:rsid w:val="00BC25C7"/>
    <w:rsid w:val="00BC2716"/>
    <w:rsid w:val="00BC5132"/>
    <w:rsid w:val="00BC659D"/>
    <w:rsid w:val="00BC6711"/>
    <w:rsid w:val="00BD2BBE"/>
    <w:rsid w:val="00BD363A"/>
    <w:rsid w:val="00BD44F6"/>
    <w:rsid w:val="00BD4B44"/>
    <w:rsid w:val="00BD52F3"/>
    <w:rsid w:val="00BD695C"/>
    <w:rsid w:val="00BD7F24"/>
    <w:rsid w:val="00BE1DDE"/>
    <w:rsid w:val="00BE2284"/>
    <w:rsid w:val="00BE3136"/>
    <w:rsid w:val="00BE3CD3"/>
    <w:rsid w:val="00BE3E24"/>
    <w:rsid w:val="00BE6671"/>
    <w:rsid w:val="00BF0E49"/>
    <w:rsid w:val="00BF1CD4"/>
    <w:rsid w:val="00BF2F64"/>
    <w:rsid w:val="00BF69E4"/>
    <w:rsid w:val="00BF6A71"/>
    <w:rsid w:val="00BF7FE9"/>
    <w:rsid w:val="00C000B4"/>
    <w:rsid w:val="00C01435"/>
    <w:rsid w:val="00C0153D"/>
    <w:rsid w:val="00C02918"/>
    <w:rsid w:val="00C05104"/>
    <w:rsid w:val="00C060A6"/>
    <w:rsid w:val="00C0615F"/>
    <w:rsid w:val="00C0683C"/>
    <w:rsid w:val="00C10BA1"/>
    <w:rsid w:val="00C1116B"/>
    <w:rsid w:val="00C1338B"/>
    <w:rsid w:val="00C158B6"/>
    <w:rsid w:val="00C22142"/>
    <w:rsid w:val="00C22E32"/>
    <w:rsid w:val="00C236CA"/>
    <w:rsid w:val="00C24DFC"/>
    <w:rsid w:val="00C30264"/>
    <w:rsid w:val="00C306F0"/>
    <w:rsid w:val="00C355B3"/>
    <w:rsid w:val="00C3720C"/>
    <w:rsid w:val="00C37236"/>
    <w:rsid w:val="00C3793A"/>
    <w:rsid w:val="00C42510"/>
    <w:rsid w:val="00C4360F"/>
    <w:rsid w:val="00C45B1A"/>
    <w:rsid w:val="00C45C35"/>
    <w:rsid w:val="00C50544"/>
    <w:rsid w:val="00C53959"/>
    <w:rsid w:val="00C5417E"/>
    <w:rsid w:val="00C56F7B"/>
    <w:rsid w:val="00C5775E"/>
    <w:rsid w:val="00C578C9"/>
    <w:rsid w:val="00C5792C"/>
    <w:rsid w:val="00C6107B"/>
    <w:rsid w:val="00C626CF"/>
    <w:rsid w:val="00C63F6C"/>
    <w:rsid w:val="00C65A03"/>
    <w:rsid w:val="00C71525"/>
    <w:rsid w:val="00C71BC6"/>
    <w:rsid w:val="00C71D61"/>
    <w:rsid w:val="00C73505"/>
    <w:rsid w:val="00C73A0B"/>
    <w:rsid w:val="00C74030"/>
    <w:rsid w:val="00C74DBF"/>
    <w:rsid w:val="00C76038"/>
    <w:rsid w:val="00C77A7F"/>
    <w:rsid w:val="00C77C76"/>
    <w:rsid w:val="00C80811"/>
    <w:rsid w:val="00C82637"/>
    <w:rsid w:val="00C83F7D"/>
    <w:rsid w:val="00C84768"/>
    <w:rsid w:val="00C91C3B"/>
    <w:rsid w:val="00C96599"/>
    <w:rsid w:val="00CA08D4"/>
    <w:rsid w:val="00CA205D"/>
    <w:rsid w:val="00CA257A"/>
    <w:rsid w:val="00CA2A2D"/>
    <w:rsid w:val="00CA3973"/>
    <w:rsid w:val="00CA6C7C"/>
    <w:rsid w:val="00CB05C8"/>
    <w:rsid w:val="00CB68B3"/>
    <w:rsid w:val="00CC02C1"/>
    <w:rsid w:val="00CC26F7"/>
    <w:rsid w:val="00CC51E7"/>
    <w:rsid w:val="00CC5E40"/>
    <w:rsid w:val="00CC5FAB"/>
    <w:rsid w:val="00CC66A0"/>
    <w:rsid w:val="00CC6A0E"/>
    <w:rsid w:val="00CC6C6B"/>
    <w:rsid w:val="00CC7C7A"/>
    <w:rsid w:val="00CD0938"/>
    <w:rsid w:val="00CD24EE"/>
    <w:rsid w:val="00CD2B1F"/>
    <w:rsid w:val="00CD2DED"/>
    <w:rsid w:val="00CD4078"/>
    <w:rsid w:val="00CD541D"/>
    <w:rsid w:val="00CD5F73"/>
    <w:rsid w:val="00CD6B19"/>
    <w:rsid w:val="00CD7096"/>
    <w:rsid w:val="00CE0231"/>
    <w:rsid w:val="00CE0702"/>
    <w:rsid w:val="00CE0ACA"/>
    <w:rsid w:val="00CE0EFF"/>
    <w:rsid w:val="00CE1B58"/>
    <w:rsid w:val="00CE23DC"/>
    <w:rsid w:val="00CE30CA"/>
    <w:rsid w:val="00CE3A96"/>
    <w:rsid w:val="00CE5F6B"/>
    <w:rsid w:val="00CE6146"/>
    <w:rsid w:val="00CE7A18"/>
    <w:rsid w:val="00CE7A9E"/>
    <w:rsid w:val="00CF043C"/>
    <w:rsid w:val="00CF04F7"/>
    <w:rsid w:val="00CF1F82"/>
    <w:rsid w:val="00CF4322"/>
    <w:rsid w:val="00CF4407"/>
    <w:rsid w:val="00CF483C"/>
    <w:rsid w:val="00CF48E5"/>
    <w:rsid w:val="00CF5BB6"/>
    <w:rsid w:val="00D00C89"/>
    <w:rsid w:val="00D00EF1"/>
    <w:rsid w:val="00D01B84"/>
    <w:rsid w:val="00D04B64"/>
    <w:rsid w:val="00D06026"/>
    <w:rsid w:val="00D1247B"/>
    <w:rsid w:val="00D14FD7"/>
    <w:rsid w:val="00D1556F"/>
    <w:rsid w:val="00D15796"/>
    <w:rsid w:val="00D16A2B"/>
    <w:rsid w:val="00D210A5"/>
    <w:rsid w:val="00D22B97"/>
    <w:rsid w:val="00D24045"/>
    <w:rsid w:val="00D25B9E"/>
    <w:rsid w:val="00D26D40"/>
    <w:rsid w:val="00D27A5B"/>
    <w:rsid w:val="00D27FFA"/>
    <w:rsid w:val="00D3010B"/>
    <w:rsid w:val="00D304C7"/>
    <w:rsid w:val="00D3056D"/>
    <w:rsid w:val="00D33BE6"/>
    <w:rsid w:val="00D347F0"/>
    <w:rsid w:val="00D3499C"/>
    <w:rsid w:val="00D40EF5"/>
    <w:rsid w:val="00D41824"/>
    <w:rsid w:val="00D4205E"/>
    <w:rsid w:val="00D42FCE"/>
    <w:rsid w:val="00D43DF7"/>
    <w:rsid w:val="00D44B17"/>
    <w:rsid w:val="00D512E5"/>
    <w:rsid w:val="00D51457"/>
    <w:rsid w:val="00D53EDE"/>
    <w:rsid w:val="00D56E0D"/>
    <w:rsid w:val="00D573DD"/>
    <w:rsid w:val="00D61B13"/>
    <w:rsid w:val="00D62C4A"/>
    <w:rsid w:val="00D63BE9"/>
    <w:rsid w:val="00D6421B"/>
    <w:rsid w:val="00D6480D"/>
    <w:rsid w:val="00D71445"/>
    <w:rsid w:val="00D722C1"/>
    <w:rsid w:val="00D72840"/>
    <w:rsid w:val="00D74F3C"/>
    <w:rsid w:val="00D802E7"/>
    <w:rsid w:val="00D80524"/>
    <w:rsid w:val="00D813BD"/>
    <w:rsid w:val="00D81D62"/>
    <w:rsid w:val="00D8203C"/>
    <w:rsid w:val="00D82371"/>
    <w:rsid w:val="00D84933"/>
    <w:rsid w:val="00D85A75"/>
    <w:rsid w:val="00D87950"/>
    <w:rsid w:val="00D87D5F"/>
    <w:rsid w:val="00D90D4B"/>
    <w:rsid w:val="00D90E46"/>
    <w:rsid w:val="00D96667"/>
    <w:rsid w:val="00D97221"/>
    <w:rsid w:val="00DA0FB5"/>
    <w:rsid w:val="00DA2881"/>
    <w:rsid w:val="00DA6B06"/>
    <w:rsid w:val="00DA7D25"/>
    <w:rsid w:val="00DB2B33"/>
    <w:rsid w:val="00DB3A2D"/>
    <w:rsid w:val="00DB3EA2"/>
    <w:rsid w:val="00DB63E8"/>
    <w:rsid w:val="00DB71B9"/>
    <w:rsid w:val="00DB7924"/>
    <w:rsid w:val="00DB7BB4"/>
    <w:rsid w:val="00DC1D5C"/>
    <w:rsid w:val="00DC1E05"/>
    <w:rsid w:val="00DC3555"/>
    <w:rsid w:val="00DC38DC"/>
    <w:rsid w:val="00DC3E67"/>
    <w:rsid w:val="00DC420D"/>
    <w:rsid w:val="00DC477A"/>
    <w:rsid w:val="00DC4A3F"/>
    <w:rsid w:val="00DC5995"/>
    <w:rsid w:val="00DD1EA8"/>
    <w:rsid w:val="00DD23E1"/>
    <w:rsid w:val="00DD24B5"/>
    <w:rsid w:val="00DD2C8A"/>
    <w:rsid w:val="00DD5722"/>
    <w:rsid w:val="00DD6D2C"/>
    <w:rsid w:val="00DD736F"/>
    <w:rsid w:val="00DE1A92"/>
    <w:rsid w:val="00DE1FBF"/>
    <w:rsid w:val="00DE20A5"/>
    <w:rsid w:val="00DE3DF5"/>
    <w:rsid w:val="00DE4111"/>
    <w:rsid w:val="00DE4784"/>
    <w:rsid w:val="00DE63D8"/>
    <w:rsid w:val="00DE7A9D"/>
    <w:rsid w:val="00DE7E86"/>
    <w:rsid w:val="00DF09BD"/>
    <w:rsid w:val="00DF19B1"/>
    <w:rsid w:val="00DF1A47"/>
    <w:rsid w:val="00DF2D0B"/>
    <w:rsid w:val="00DF56DB"/>
    <w:rsid w:val="00DF63BC"/>
    <w:rsid w:val="00DF6F6E"/>
    <w:rsid w:val="00E013C7"/>
    <w:rsid w:val="00E07342"/>
    <w:rsid w:val="00E13486"/>
    <w:rsid w:val="00E16543"/>
    <w:rsid w:val="00E1735F"/>
    <w:rsid w:val="00E20DFB"/>
    <w:rsid w:val="00E22D65"/>
    <w:rsid w:val="00E23B4D"/>
    <w:rsid w:val="00E303E0"/>
    <w:rsid w:val="00E347CB"/>
    <w:rsid w:val="00E37364"/>
    <w:rsid w:val="00E40D5B"/>
    <w:rsid w:val="00E41C35"/>
    <w:rsid w:val="00E4272B"/>
    <w:rsid w:val="00E433DF"/>
    <w:rsid w:val="00E433EC"/>
    <w:rsid w:val="00E4385B"/>
    <w:rsid w:val="00E44B05"/>
    <w:rsid w:val="00E44B46"/>
    <w:rsid w:val="00E456FE"/>
    <w:rsid w:val="00E45760"/>
    <w:rsid w:val="00E47E7F"/>
    <w:rsid w:val="00E51CD0"/>
    <w:rsid w:val="00E520A2"/>
    <w:rsid w:val="00E52505"/>
    <w:rsid w:val="00E5494D"/>
    <w:rsid w:val="00E54B56"/>
    <w:rsid w:val="00E57690"/>
    <w:rsid w:val="00E57908"/>
    <w:rsid w:val="00E612C2"/>
    <w:rsid w:val="00E629B1"/>
    <w:rsid w:val="00E633AE"/>
    <w:rsid w:val="00E63A62"/>
    <w:rsid w:val="00E711DE"/>
    <w:rsid w:val="00E718A4"/>
    <w:rsid w:val="00E71AE3"/>
    <w:rsid w:val="00E737BE"/>
    <w:rsid w:val="00E7517E"/>
    <w:rsid w:val="00E7568B"/>
    <w:rsid w:val="00E7586A"/>
    <w:rsid w:val="00E80577"/>
    <w:rsid w:val="00E81294"/>
    <w:rsid w:val="00E82490"/>
    <w:rsid w:val="00E8377E"/>
    <w:rsid w:val="00E83905"/>
    <w:rsid w:val="00E872A5"/>
    <w:rsid w:val="00E87F0D"/>
    <w:rsid w:val="00E912DD"/>
    <w:rsid w:val="00E915DF"/>
    <w:rsid w:val="00E9170F"/>
    <w:rsid w:val="00E917C2"/>
    <w:rsid w:val="00E92E9B"/>
    <w:rsid w:val="00E932E3"/>
    <w:rsid w:val="00E93511"/>
    <w:rsid w:val="00E93D1D"/>
    <w:rsid w:val="00E943E4"/>
    <w:rsid w:val="00E95679"/>
    <w:rsid w:val="00E97AC6"/>
    <w:rsid w:val="00EA2101"/>
    <w:rsid w:val="00EA582A"/>
    <w:rsid w:val="00EA6995"/>
    <w:rsid w:val="00EB065D"/>
    <w:rsid w:val="00EB17C4"/>
    <w:rsid w:val="00EB2BC6"/>
    <w:rsid w:val="00EB4A63"/>
    <w:rsid w:val="00EB520A"/>
    <w:rsid w:val="00EB6C69"/>
    <w:rsid w:val="00EC0AA9"/>
    <w:rsid w:val="00EC56D5"/>
    <w:rsid w:val="00EC67B1"/>
    <w:rsid w:val="00ED0403"/>
    <w:rsid w:val="00ED0ACC"/>
    <w:rsid w:val="00ED13DD"/>
    <w:rsid w:val="00ED1E2A"/>
    <w:rsid w:val="00ED2FBC"/>
    <w:rsid w:val="00ED5029"/>
    <w:rsid w:val="00ED5166"/>
    <w:rsid w:val="00ED56FD"/>
    <w:rsid w:val="00ED6404"/>
    <w:rsid w:val="00ED7063"/>
    <w:rsid w:val="00EE04DE"/>
    <w:rsid w:val="00EE2F23"/>
    <w:rsid w:val="00EE36E1"/>
    <w:rsid w:val="00EE4736"/>
    <w:rsid w:val="00EE53C5"/>
    <w:rsid w:val="00EE67A8"/>
    <w:rsid w:val="00EE6DC6"/>
    <w:rsid w:val="00EE6E5E"/>
    <w:rsid w:val="00EF0C3B"/>
    <w:rsid w:val="00EF1C33"/>
    <w:rsid w:val="00EF248E"/>
    <w:rsid w:val="00EF30E5"/>
    <w:rsid w:val="00EF3194"/>
    <w:rsid w:val="00EF7690"/>
    <w:rsid w:val="00F017CC"/>
    <w:rsid w:val="00F02D57"/>
    <w:rsid w:val="00F03420"/>
    <w:rsid w:val="00F109A3"/>
    <w:rsid w:val="00F11A77"/>
    <w:rsid w:val="00F11C48"/>
    <w:rsid w:val="00F13508"/>
    <w:rsid w:val="00F13E28"/>
    <w:rsid w:val="00F14AC9"/>
    <w:rsid w:val="00F159B5"/>
    <w:rsid w:val="00F15E6E"/>
    <w:rsid w:val="00F16BC5"/>
    <w:rsid w:val="00F17638"/>
    <w:rsid w:val="00F17C0C"/>
    <w:rsid w:val="00F2029D"/>
    <w:rsid w:val="00F20DFE"/>
    <w:rsid w:val="00F21294"/>
    <w:rsid w:val="00F227C7"/>
    <w:rsid w:val="00F229A9"/>
    <w:rsid w:val="00F233C0"/>
    <w:rsid w:val="00F23848"/>
    <w:rsid w:val="00F241DE"/>
    <w:rsid w:val="00F26D24"/>
    <w:rsid w:val="00F349AD"/>
    <w:rsid w:val="00F34D48"/>
    <w:rsid w:val="00F412A6"/>
    <w:rsid w:val="00F41BFA"/>
    <w:rsid w:val="00F5223E"/>
    <w:rsid w:val="00F54D49"/>
    <w:rsid w:val="00F56D6B"/>
    <w:rsid w:val="00F57883"/>
    <w:rsid w:val="00F61D86"/>
    <w:rsid w:val="00F630D3"/>
    <w:rsid w:val="00F635B6"/>
    <w:rsid w:val="00F665DF"/>
    <w:rsid w:val="00F70135"/>
    <w:rsid w:val="00F705B3"/>
    <w:rsid w:val="00F723DC"/>
    <w:rsid w:val="00F7259D"/>
    <w:rsid w:val="00F740CC"/>
    <w:rsid w:val="00F75CAC"/>
    <w:rsid w:val="00F75CDD"/>
    <w:rsid w:val="00F769AA"/>
    <w:rsid w:val="00F7750E"/>
    <w:rsid w:val="00F80A96"/>
    <w:rsid w:val="00F81842"/>
    <w:rsid w:val="00F81D53"/>
    <w:rsid w:val="00F82643"/>
    <w:rsid w:val="00F86155"/>
    <w:rsid w:val="00F86F99"/>
    <w:rsid w:val="00F87E75"/>
    <w:rsid w:val="00F87E85"/>
    <w:rsid w:val="00F907DE"/>
    <w:rsid w:val="00F91664"/>
    <w:rsid w:val="00F9736C"/>
    <w:rsid w:val="00F975D9"/>
    <w:rsid w:val="00FA01D7"/>
    <w:rsid w:val="00FA0284"/>
    <w:rsid w:val="00FA0467"/>
    <w:rsid w:val="00FA05D8"/>
    <w:rsid w:val="00FA12C8"/>
    <w:rsid w:val="00FA267A"/>
    <w:rsid w:val="00FA529F"/>
    <w:rsid w:val="00FB1753"/>
    <w:rsid w:val="00FC1A27"/>
    <w:rsid w:val="00FC5C32"/>
    <w:rsid w:val="00FC6E19"/>
    <w:rsid w:val="00FC7698"/>
    <w:rsid w:val="00FD4FF4"/>
    <w:rsid w:val="00FD7026"/>
    <w:rsid w:val="00FE1B5D"/>
    <w:rsid w:val="00FE4119"/>
    <w:rsid w:val="00FE5062"/>
    <w:rsid w:val="00FE5645"/>
    <w:rsid w:val="00FF1CB9"/>
    <w:rsid w:val="00FF3951"/>
    <w:rsid w:val="00FF3A0F"/>
    <w:rsid w:val="00FF5133"/>
    <w:rsid w:val="00FF5F0C"/>
    <w:rsid w:val="00FF60F1"/>
    <w:rsid w:val="0111668F"/>
    <w:rsid w:val="011D042A"/>
    <w:rsid w:val="01341520"/>
    <w:rsid w:val="013711A5"/>
    <w:rsid w:val="015772A4"/>
    <w:rsid w:val="01BA61B0"/>
    <w:rsid w:val="01BB5D9D"/>
    <w:rsid w:val="01EF3AB1"/>
    <w:rsid w:val="01F12376"/>
    <w:rsid w:val="01FF669C"/>
    <w:rsid w:val="020553BC"/>
    <w:rsid w:val="0206F26C"/>
    <w:rsid w:val="022E1A88"/>
    <w:rsid w:val="023446DE"/>
    <w:rsid w:val="02354B2C"/>
    <w:rsid w:val="02477D44"/>
    <w:rsid w:val="027F00B9"/>
    <w:rsid w:val="029F2344"/>
    <w:rsid w:val="02AC48A4"/>
    <w:rsid w:val="02DB6D23"/>
    <w:rsid w:val="031713E0"/>
    <w:rsid w:val="03227499"/>
    <w:rsid w:val="032B70BF"/>
    <w:rsid w:val="03474F87"/>
    <w:rsid w:val="035440A6"/>
    <w:rsid w:val="035937A7"/>
    <w:rsid w:val="038A3960"/>
    <w:rsid w:val="03C607D4"/>
    <w:rsid w:val="03D8291E"/>
    <w:rsid w:val="03DF29CD"/>
    <w:rsid w:val="03F10E17"/>
    <w:rsid w:val="03F87147"/>
    <w:rsid w:val="041EC2AC"/>
    <w:rsid w:val="04243DB5"/>
    <w:rsid w:val="04253689"/>
    <w:rsid w:val="044874C4"/>
    <w:rsid w:val="04540970"/>
    <w:rsid w:val="045647E6"/>
    <w:rsid w:val="04570668"/>
    <w:rsid w:val="04602F8D"/>
    <w:rsid w:val="04640655"/>
    <w:rsid w:val="049E0ED3"/>
    <w:rsid w:val="04B73100"/>
    <w:rsid w:val="04C609C8"/>
    <w:rsid w:val="04F25C61"/>
    <w:rsid w:val="04FC6AE0"/>
    <w:rsid w:val="04FDA68D"/>
    <w:rsid w:val="050C4565"/>
    <w:rsid w:val="05163CC8"/>
    <w:rsid w:val="055E7E35"/>
    <w:rsid w:val="05814F73"/>
    <w:rsid w:val="058215D7"/>
    <w:rsid w:val="059960DD"/>
    <w:rsid w:val="05C31B4C"/>
    <w:rsid w:val="05CE3646"/>
    <w:rsid w:val="05F869FF"/>
    <w:rsid w:val="06050C62"/>
    <w:rsid w:val="061D0ABC"/>
    <w:rsid w:val="0636392C"/>
    <w:rsid w:val="064E1937"/>
    <w:rsid w:val="065269D9"/>
    <w:rsid w:val="065C7166"/>
    <w:rsid w:val="0660452D"/>
    <w:rsid w:val="068307AA"/>
    <w:rsid w:val="06850CE7"/>
    <w:rsid w:val="06A05249"/>
    <w:rsid w:val="06B70CD4"/>
    <w:rsid w:val="06C76C7A"/>
    <w:rsid w:val="06FD08ED"/>
    <w:rsid w:val="071023CF"/>
    <w:rsid w:val="0716795F"/>
    <w:rsid w:val="07183CB9"/>
    <w:rsid w:val="074309F6"/>
    <w:rsid w:val="0749768F"/>
    <w:rsid w:val="0769171B"/>
    <w:rsid w:val="077321B1"/>
    <w:rsid w:val="07793217"/>
    <w:rsid w:val="078801B7"/>
    <w:rsid w:val="07935A62"/>
    <w:rsid w:val="07943000"/>
    <w:rsid w:val="07A54D12"/>
    <w:rsid w:val="07B13BB2"/>
    <w:rsid w:val="07BE28AD"/>
    <w:rsid w:val="07E70687"/>
    <w:rsid w:val="07FA2691"/>
    <w:rsid w:val="08097C77"/>
    <w:rsid w:val="081952B3"/>
    <w:rsid w:val="082448B1"/>
    <w:rsid w:val="083041DF"/>
    <w:rsid w:val="084560A8"/>
    <w:rsid w:val="0855AA67"/>
    <w:rsid w:val="085D478C"/>
    <w:rsid w:val="08666168"/>
    <w:rsid w:val="08B00055"/>
    <w:rsid w:val="08E43B13"/>
    <w:rsid w:val="08F803CB"/>
    <w:rsid w:val="090E6DE2"/>
    <w:rsid w:val="091624A4"/>
    <w:rsid w:val="091A0C95"/>
    <w:rsid w:val="0925195C"/>
    <w:rsid w:val="09293CD7"/>
    <w:rsid w:val="09362346"/>
    <w:rsid w:val="0978425B"/>
    <w:rsid w:val="09994824"/>
    <w:rsid w:val="099F7E2B"/>
    <w:rsid w:val="09A51DD3"/>
    <w:rsid w:val="09A92667"/>
    <w:rsid w:val="09B0225F"/>
    <w:rsid w:val="09C0632E"/>
    <w:rsid w:val="09E3494C"/>
    <w:rsid w:val="09E813E1"/>
    <w:rsid w:val="09F22026"/>
    <w:rsid w:val="0A021334"/>
    <w:rsid w:val="0A344626"/>
    <w:rsid w:val="0A4A3E4A"/>
    <w:rsid w:val="0A50578E"/>
    <w:rsid w:val="0A6B35F9"/>
    <w:rsid w:val="0A7113D6"/>
    <w:rsid w:val="0A726EFC"/>
    <w:rsid w:val="0AAF5F67"/>
    <w:rsid w:val="0AB67731"/>
    <w:rsid w:val="0ABF44BF"/>
    <w:rsid w:val="0AE73FCE"/>
    <w:rsid w:val="0AF10EF1"/>
    <w:rsid w:val="0AFF316A"/>
    <w:rsid w:val="0B1C54A9"/>
    <w:rsid w:val="0B265F34"/>
    <w:rsid w:val="0B3A71BF"/>
    <w:rsid w:val="0B46302E"/>
    <w:rsid w:val="0B4F53AF"/>
    <w:rsid w:val="0B503DBF"/>
    <w:rsid w:val="0B662F05"/>
    <w:rsid w:val="0B6B051B"/>
    <w:rsid w:val="0B6E3B68"/>
    <w:rsid w:val="0B703535"/>
    <w:rsid w:val="0B767FBC"/>
    <w:rsid w:val="0B7DD6F5"/>
    <w:rsid w:val="0B941820"/>
    <w:rsid w:val="0B979481"/>
    <w:rsid w:val="0B981224"/>
    <w:rsid w:val="0BB7550F"/>
    <w:rsid w:val="0BB84DE3"/>
    <w:rsid w:val="0BBB4D60"/>
    <w:rsid w:val="0BDD6950"/>
    <w:rsid w:val="0BE37A72"/>
    <w:rsid w:val="0BEABD72"/>
    <w:rsid w:val="0BFB189F"/>
    <w:rsid w:val="0BFF2A12"/>
    <w:rsid w:val="0C084341"/>
    <w:rsid w:val="0C122745"/>
    <w:rsid w:val="0C163656"/>
    <w:rsid w:val="0C3235C7"/>
    <w:rsid w:val="0C372B41"/>
    <w:rsid w:val="0C47ADCE"/>
    <w:rsid w:val="0C492027"/>
    <w:rsid w:val="0C5977DB"/>
    <w:rsid w:val="0C601702"/>
    <w:rsid w:val="0C61893A"/>
    <w:rsid w:val="0C8A36FF"/>
    <w:rsid w:val="0C900012"/>
    <w:rsid w:val="0C952F90"/>
    <w:rsid w:val="0C9B786E"/>
    <w:rsid w:val="0CB101B0"/>
    <w:rsid w:val="0CC779D3"/>
    <w:rsid w:val="0CFA3905"/>
    <w:rsid w:val="0D02E578"/>
    <w:rsid w:val="0D266C90"/>
    <w:rsid w:val="0D274753"/>
    <w:rsid w:val="0D286599"/>
    <w:rsid w:val="0D30256D"/>
    <w:rsid w:val="0D564156"/>
    <w:rsid w:val="0D6541C6"/>
    <w:rsid w:val="0D665C35"/>
    <w:rsid w:val="0D75742F"/>
    <w:rsid w:val="0D904269"/>
    <w:rsid w:val="0DBD671C"/>
    <w:rsid w:val="0DC34186"/>
    <w:rsid w:val="0DD0CC74"/>
    <w:rsid w:val="0DD71E98"/>
    <w:rsid w:val="0E0011C6"/>
    <w:rsid w:val="0E0A5DCA"/>
    <w:rsid w:val="0E205DC2"/>
    <w:rsid w:val="0E214EC1"/>
    <w:rsid w:val="0E303356"/>
    <w:rsid w:val="0E452204"/>
    <w:rsid w:val="0E4B63E2"/>
    <w:rsid w:val="0E681A39"/>
    <w:rsid w:val="0E686750"/>
    <w:rsid w:val="0E6F383A"/>
    <w:rsid w:val="0E753E2D"/>
    <w:rsid w:val="0EA27FFC"/>
    <w:rsid w:val="0ED62CF9"/>
    <w:rsid w:val="0ED65CAC"/>
    <w:rsid w:val="0EDB1514"/>
    <w:rsid w:val="0EDCBC5C"/>
    <w:rsid w:val="0F0250F8"/>
    <w:rsid w:val="0F113188"/>
    <w:rsid w:val="0F16254C"/>
    <w:rsid w:val="0F225E34"/>
    <w:rsid w:val="0F3126FC"/>
    <w:rsid w:val="0F340C24"/>
    <w:rsid w:val="0F357B2E"/>
    <w:rsid w:val="0F3B0205"/>
    <w:rsid w:val="0F50016A"/>
    <w:rsid w:val="0F8B44FF"/>
    <w:rsid w:val="0FAF5C59"/>
    <w:rsid w:val="0FB86A9A"/>
    <w:rsid w:val="0FB87AA7"/>
    <w:rsid w:val="0FC85F3C"/>
    <w:rsid w:val="100606CD"/>
    <w:rsid w:val="100E3F2C"/>
    <w:rsid w:val="10100488"/>
    <w:rsid w:val="10141931"/>
    <w:rsid w:val="10376C1E"/>
    <w:rsid w:val="10466E61"/>
    <w:rsid w:val="1060573B"/>
    <w:rsid w:val="1074414F"/>
    <w:rsid w:val="10776F58"/>
    <w:rsid w:val="107B2FAF"/>
    <w:rsid w:val="108117B2"/>
    <w:rsid w:val="109951E3"/>
    <w:rsid w:val="10BC45CD"/>
    <w:rsid w:val="10DF6850"/>
    <w:rsid w:val="10E0DC12"/>
    <w:rsid w:val="10F80C30"/>
    <w:rsid w:val="10FD39C4"/>
    <w:rsid w:val="110D797F"/>
    <w:rsid w:val="111E393A"/>
    <w:rsid w:val="11252F1A"/>
    <w:rsid w:val="113F1EE5"/>
    <w:rsid w:val="1148029D"/>
    <w:rsid w:val="115079E5"/>
    <w:rsid w:val="11507B83"/>
    <w:rsid w:val="11770A77"/>
    <w:rsid w:val="1179F8C3"/>
    <w:rsid w:val="11811997"/>
    <w:rsid w:val="119A059F"/>
    <w:rsid w:val="11B5644F"/>
    <w:rsid w:val="11C21648"/>
    <w:rsid w:val="11DF30C9"/>
    <w:rsid w:val="11E93F48"/>
    <w:rsid w:val="12000579"/>
    <w:rsid w:val="120E6026"/>
    <w:rsid w:val="12292D55"/>
    <w:rsid w:val="12352B20"/>
    <w:rsid w:val="12386C7D"/>
    <w:rsid w:val="12A14823"/>
    <w:rsid w:val="12A94F2B"/>
    <w:rsid w:val="12B97DBE"/>
    <w:rsid w:val="12BA7692"/>
    <w:rsid w:val="12CB18A0"/>
    <w:rsid w:val="12D33098"/>
    <w:rsid w:val="12ED0AD1"/>
    <w:rsid w:val="12F6691D"/>
    <w:rsid w:val="13163584"/>
    <w:rsid w:val="132823F7"/>
    <w:rsid w:val="132B4331"/>
    <w:rsid w:val="1331204B"/>
    <w:rsid w:val="13347D41"/>
    <w:rsid w:val="13421B62"/>
    <w:rsid w:val="134B74B8"/>
    <w:rsid w:val="13541895"/>
    <w:rsid w:val="136B1A63"/>
    <w:rsid w:val="136B7B4E"/>
    <w:rsid w:val="13710699"/>
    <w:rsid w:val="1374634B"/>
    <w:rsid w:val="13762FBD"/>
    <w:rsid w:val="13A4281C"/>
    <w:rsid w:val="13B16155"/>
    <w:rsid w:val="13B91CAE"/>
    <w:rsid w:val="13E460AD"/>
    <w:rsid w:val="13EB3FA7"/>
    <w:rsid w:val="1403008B"/>
    <w:rsid w:val="14277929"/>
    <w:rsid w:val="144C0E6D"/>
    <w:rsid w:val="145A2722"/>
    <w:rsid w:val="146B50E8"/>
    <w:rsid w:val="14A91D56"/>
    <w:rsid w:val="14AC0FCE"/>
    <w:rsid w:val="14C33176"/>
    <w:rsid w:val="14CE54F8"/>
    <w:rsid w:val="14EB7BB0"/>
    <w:rsid w:val="14F43160"/>
    <w:rsid w:val="152C0500"/>
    <w:rsid w:val="15547B36"/>
    <w:rsid w:val="155B128E"/>
    <w:rsid w:val="156B05E1"/>
    <w:rsid w:val="15791B3C"/>
    <w:rsid w:val="157B1367"/>
    <w:rsid w:val="1592387B"/>
    <w:rsid w:val="15A3290A"/>
    <w:rsid w:val="15BD30E6"/>
    <w:rsid w:val="15CA21A7"/>
    <w:rsid w:val="15CA5E3E"/>
    <w:rsid w:val="15DB4932"/>
    <w:rsid w:val="15DF3764"/>
    <w:rsid w:val="15FA78CA"/>
    <w:rsid w:val="15FF20C7"/>
    <w:rsid w:val="160436A1"/>
    <w:rsid w:val="161B0DA9"/>
    <w:rsid w:val="16426169"/>
    <w:rsid w:val="16774218"/>
    <w:rsid w:val="16775FC6"/>
    <w:rsid w:val="168A7EC7"/>
    <w:rsid w:val="16C731E1"/>
    <w:rsid w:val="16D43419"/>
    <w:rsid w:val="16D74CB7"/>
    <w:rsid w:val="16EECF84"/>
    <w:rsid w:val="17007FC5"/>
    <w:rsid w:val="17231D33"/>
    <w:rsid w:val="172A4DE7"/>
    <w:rsid w:val="17321EED"/>
    <w:rsid w:val="1764392C"/>
    <w:rsid w:val="178E7F56"/>
    <w:rsid w:val="1790366E"/>
    <w:rsid w:val="179155AE"/>
    <w:rsid w:val="179907BB"/>
    <w:rsid w:val="17BD5C5B"/>
    <w:rsid w:val="17E86020"/>
    <w:rsid w:val="18120DA6"/>
    <w:rsid w:val="181A1ECB"/>
    <w:rsid w:val="18253800"/>
    <w:rsid w:val="18425174"/>
    <w:rsid w:val="18491C30"/>
    <w:rsid w:val="185D743E"/>
    <w:rsid w:val="18662370"/>
    <w:rsid w:val="18693427"/>
    <w:rsid w:val="18694035"/>
    <w:rsid w:val="188910BE"/>
    <w:rsid w:val="188E236F"/>
    <w:rsid w:val="189B3AC2"/>
    <w:rsid w:val="18AE3D61"/>
    <w:rsid w:val="18AF4F1D"/>
    <w:rsid w:val="18E436BB"/>
    <w:rsid w:val="18FDAA5E"/>
    <w:rsid w:val="19031D93"/>
    <w:rsid w:val="190927CD"/>
    <w:rsid w:val="192C724F"/>
    <w:rsid w:val="193E2FAD"/>
    <w:rsid w:val="1952509E"/>
    <w:rsid w:val="195D4517"/>
    <w:rsid w:val="19600F94"/>
    <w:rsid w:val="19744A23"/>
    <w:rsid w:val="1990469A"/>
    <w:rsid w:val="19A01665"/>
    <w:rsid w:val="19AB3350"/>
    <w:rsid w:val="19B9056E"/>
    <w:rsid w:val="19EF056A"/>
    <w:rsid w:val="19F85EB4"/>
    <w:rsid w:val="1A0538E9"/>
    <w:rsid w:val="1A086906"/>
    <w:rsid w:val="1A0B4E57"/>
    <w:rsid w:val="1A0D0FB7"/>
    <w:rsid w:val="1A0D713D"/>
    <w:rsid w:val="1A2C531A"/>
    <w:rsid w:val="1A2F459B"/>
    <w:rsid w:val="1A330456"/>
    <w:rsid w:val="1A425C3F"/>
    <w:rsid w:val="1A6C3687"/>
    <w:rsid w:val="1A6D6E58"/>
    <w:rsid w:val="1AAB623F"/>
    <w:rsid w:val="1AAD2F4F"/>
    <w:rsid w:val="1AAE432B"/>
    <w:rsid w:val="1AC2088A"/>
    <w:rsid w:val="1AE45BF4"/>
    <w:rsid w:val="1AF463EF"/>
    <w:rsid w:val="1B1F69DC"/>
    <w:rsid w:val="1B283D33"/>
    <w:rsid w:val="1B28433B"/>
    <w:rsid w:val="1B343EC3"/>
    <w:rsid w:val="1B3501FE"/>
    <w:rsid w:val="1B46240B"/>
    <w:rsid w:val="1B80268C"/>
    <w:rsid w:val="1B866CAC"/>
    <w:rsid w:val="1B8D003A"/>
    <w:rsid w:val="1B965637"/>
    <w:rsid w:val="1BC54453"/>
    <w:rsid w:val="1BD9502D"/>
    <w:rsid w:val="1BEF2AA3"/>
    <w:rsid w:val="1BF41E67"/>
    <w:rsid w:val="1C02577A"/>
    <w:rsid w:val="1C1918CE"/>
    <w:rsid w:val="1C271037"/>
    <w:rsid w:val="1C463AFB"/>
    <w:rsid w:val="1C57075E"/>
    <w:rsid w:val="1C6CA4D6"/>
    <w:rsid w:val="1C7859F2"/>
    <w:rsid w:val="1C7B3158"/>
    <w:rsid w:val="1C8C6544"/>
    <w:rsid w:val="1CB124AB"/>
    <w:rsid w:val="1CB56CC0"/>
    <w:rsid w:val="1CC41839"/>
    <w:rsid w:val="1CD22D6B"/>
    <w:rsid w:val="1CE3217F"/>
    <w:rsid w:val="1CE5173C"/>
    <w:rsid w:val="1CFB381C"/>
    <w:rsid w:val="1D102CD1"/>
    <w:rsid w:val="1D1327C1"/>
    <w:rsid w:val="1D304A22"/>
    <w:rsid w:val="1D3D4FF0"/>
    <w:rsid w:val="1D487C0C"/>
    <w:rsid w:val="1D6E79F7"/>
    <w:rsid w:val="1D8D2573"/>
    <w:rsid w:val="1D94745E"/>
    <w:rsid w:val="1D954F84"/>
    <w:rsid w:val="1D995B0D"/>
    <w:rsid w:val="1DE8475B"/>
    <w:rsid w:val="1E0A69B0"/>
    <w:rsid w:val="1E131710"/>
    <w:rsid w:val="1E15008A"/>
    <w:rsid w:val="1E2D4CE8"/>
    <w:rsid w:val="1E3A09B5"/>
    <w:rsid w:val="1E432C32"/>
    <w:rsid w:val="1E470974"/>
    <w:rsid w:val="1E734091"/>
    <w:rsid w:val="1E917E41"/>
    <w:rsid w:val="1EB83620"/>
    <w:rsid w:val="1EC2624D"/>
    <w:rsid w:val="1EC34812"/>
    <w:rsid w:val="1EF238DD"/>
    <w:rsid w:val="1EF469D5"/>
    <w:rsid w:val="1EF81C6E"/>
    <w:rsid w:val="1F1D7927"/>
    <w:rsid w:val="1F1E4A29"/>
    <w:rsid w:val="1F1F369F"/>
    <w:rsid w:val="1F254C19"/>
    <w:rsid w:val="1F2A683D"/>
    <w:rsid w:val="1F3C38BB"/>
    <w:rsid w:val="1F537D58"/>
    <w:rsid w:val="1F552C1D"/>
    <w:rsid w:val="1F574909"/>
    <w:rsid w:val="1F8B4890"/>
    <w:rsid w:val="1F8F513E"/>
    <w:rsid w:val="1FAB0A8F"/>
    <w:rsid w:val="1FBD73AD"/>
    <w:rsid w:val="1FC798A3"/>
    <w:rsid w:val="201436BD"/>
    <w:rsid w:val="201A88F7"/>
    <w:rsid w:val="2027665F"/>
    <w:rsid w:val="202A22FB"/>
    <w:rsid w:val="204C2272"/>
    <w:rsid w:val="204D1B46"/>
    <w:rsid w:val="205C5ED0"/>
    <w:rsid w:val="205F4217"/>
    <w:rsid w:val="20601EA5"/>
    <w:rsid w:val="20783067"/>
    <w:rsid w:val="2082018A"/>
    <w:rsid w:val="20831A0C"/>
    <w:rsid w:val="20963011"/>
    <w:rsid w:val="209E05F3"/>
    <w:rsid w:val="20CA024F"/>
    <w:rsid w:val="20ED771C"/>
    <w:rsid w:val="20EE4CBB"/>
    <w:rsid w:val="20FF72E4"/>
    <w:rsid w:val="21330530"/>
    <w:rsid w:val="213845A4"/>
    <w:rsid w:val="21470FD5"/>
    <w:rsid w:val="214B0397"/>
    <w:rsid w:val="21605633"/>
    <w:rsid w:val="216800DC"/>
    <w:rsid w:val="216E446A"/>
    <w:rsid w:val="217C2821"/>
    <w:rsid w:val="21B923A8"/>
    <w:rsid w:val="21DA585D"/>
    <w:rsid w:val="21E67C30"/>
    <w:rsid w:val="220152DE"/>
    <w:rsid w:val="223B59E0"/>
    <w:rsid w:val="22592A24"/>
    <w:rsid w:val="2265761B"/>
    <w:rsid w:val="22683653"/>
    <w:rsid w:val="226C6BFB"/>
    <w:rsid w:val="22713E95"/>
    <w:rsid w:val="22883309"/>
    <w:rsid w:val="22953F6B"/>
    <w:rsid w:val="22A4EF74"/>
    <w:rsid w:val="22A918C5"/>
    <w:rsid w:val="22BA5D51"/>
    <w:rsid w:val="22BB63F2"/>
    <w:rsid w:val="22FB5859"/>
    <w:rsid w:val="2308486B"/>
    <w:rsid w:val="230F16D0"/>
    <w:rsid w:val="232855E7"/>
    <w:rsid w:val="232E6C3E"/>
    <w:rsid w:val="233C3EB7"/>
    <w:rsid w:val="233E2995"/>
    <w:rsid w:val="236C327F"/>
    <w:rsid w:val="236D44AE"/>
    <w:rsid w:val="236E2C12"/>
    <w:rsid w:val="23775858"/>
    <w:rsid w:val="239D1036"/>
    <w:rsid w:val="24594597"/>
    <w:rsid w:val="24651B54"/>
    <w:rsid w:val="24B62002"/>
    <w:rsid w:val="24C27D98"/>
    <w:rsid w:val="24CC3981"/>
    <w:rsid w:val="24E30CCB"/>
    <w:rsid w:val="251B33A9"/>
    <w:rsid w:val="251D287F"/>
    <w:rsid w:val="2536D399"/>
    <w:rsid w:val="255D2AA0"/>
    <w:rsid w:val="256333C4"/>
    <w:rsid w:val="25695674"/>
    <w:rsid w:val="2571383E"/>
    <w:rsid w:val="25865DF5"/>
    <w:rsid w:val="258A22F7"/>
    <w:rsid w:val="25A62424"/>
    <w:rsid w:val="25D825C5"/>
    <w:rsid w:val="25E06636"/>
    <w:rsid w:val="25E20F82"/>
    <w:rsid w:val="26170261"/>
    <w:rsid w:val="261F53F5"/>
    <w:rsid w:val="26435250"/>
    <w:rsid w:val="26451972"/>
    <w:rsid w:val="266C7C5F"/>
    <w:rsid w:val="26716387"/>
    <w:rsid w:val="26B40B71"/>
    <w:rsid w:val="26BF2B49"/>
    <w:rsid w:val="26E631F3"/>
    <w:rsid w:val="26F15921"/>
    <w:rsid w:val="26F45411"/>
    <w:rsid w:val="270A253F"/>
    <w:rsid w:val="271161DD"/>
    <w:rsid w:val="27207D5A"/>
    <w:rsid w:val="275047F6"/>
    <w:rsid w:val="276E2ACE"/>
    <w:rsid w:val="2770D8B3"/>
    <w:rsid w:val="27735CBD"/>
    <w:rsid w:val="27770231"/>
    <w:rsid w:val="27A603D5"/>
    <w:rsid w:val="27A72484"/>
    <w:rsid w:val="27CE65DC"/>
    <w:rsid w:val="27E516D7"/>
    <w:rsid w:val="27FD02F5"/>
    <w:rsid w:val="280A1F20"/>
    <w:rsid w:val="280B4C5A"/>
    <w:rsid w:val="280F4ECD"/>
    <w:rsid w:val="281812C0"/>
    <w:rsid w:val="283F6659"/>
    <w:rsid w:val="285717B4"/>
    <w:rsid w:val="28655E0B"/>
    <w:rsid w:val="28765258"/>
    <w:rsid w:val="288A3D88"/>
    <w:rsid w:val="28902F18"/>
    <w:rsid w:val="28C87FB0"/>
    <w:rsid w:val="28E3148C"/>
    <w:rsid w:val="28E40D3B"/>
    <w:rsid w:val="28E940AE"/>
    <w:rsid w:val="293245C0"/>
    <w:rsid w:val="29634188"/>
    <w:rsid w:val="296541D5"/>
    <w:rsid w:val="297B3BC8"/>
    <w:rsid w:val="299C6B47"/>
    <w:rsid w:val="29B71F00"/>
    <w:rsid w:val="29CA17F5"/>
    <w:rsid w:val="29F13F32"/>
    <w:rsid w:val="29FA0F90"/>
    <w:rsid w:val="2A063491"/>
    <w:rsid w:val="2A121CBD"/>
    <w:rsid w:val="2A1B397E"/>
    <w:rsid w:val="2A1B4A63"/>
    <w:rsid w:val="2A28155F"/>
    <w:rsid w:val="2A69F9CE"/>
    <w:rsid w:val="2A6F3CFC"/>
    <w:rsid w:val="2AAF1D7B"/>
    <w:rsid w:val="2ADE9A10"/>
    <w:rsid w:val="2ADF7B05"/>
    <w:rsid w:val="2B1971F4"/>
    <w:rsid w:val="2B1A14CE"/>
    <w:rsid w:val="2B2A7653"/>
    <w:rsid w:val="2B507046"/>
    <w:rsid w:val="2B70105C"/>
    <w:rsid w:val="2B872B3A"/>
    <w:rsid w:val="2B983977"/>
    <w:rsid w:val="2B9D7E25"/>
    <w:rsid w:val="2BB8408B"/>
    <w:rsid w:val="2BB9212E"/>
    <w:rsid w:val="2BFF463C"/>
    <w:rsid w:val="2C1246C1"/>
    <w:rsid w:val="2C2B3683"/>
    <w:rsid w:val="2C526E62"/>
    <w:rsid w:val="2C542152"/>
    <w:rsid w:val="2C69FC2D"/>
    <w:rsid w:val="2C6B208A"/>
    <w:rsid w:val="2C7511FE"/>
    <w:rsid w:val="2C9143AA"/>
    <w:rsid w:val="2C991358"/>
    <w:rsid w:val="2CA13714"/>
    <w:rsid w:val="2CAC4DCA"/>
    <w:rsid w:val="2CC9EB7E"/>
    <w:rsid w:val="2CCA3785"/>
    <w:rsid w:val="2CDB58B4"/>
    <w:rsid w:val="2CDF2A15"/>
    <w:rsid w:val="2CF60726"/>
    <w:rsid w:val="2D1B002F"/>
    <w:rsid w:val="2D354BAD"/>
    <w:rsid w:val="2D61067D"/>
    <w:rsid w:val="2D6133DD"/>
    <w:rsid w:val="2D6329A9"/>
    <w:rsid w:val="2D7D7F0E"/>
    <w:rsid w:val="2D8A262B"/>
    <w:rsid w:val="2DB70322"/>
    <w:rsid w:val="2DEE2BBA"/>
    <w:rsid w:val="2DF57B0B"/>
    <w:rsid w:val="2E0221C2"/>
    <w:rsid w:val="2E036EEF"/>
    <w:rsid w:val="2E0421ED"/>
    <w:rsid w:val="2E0E04DE"/>
    <w:rsid w:val="2E212506"/>
    <w:rsid w:val="2E2E7FFF"/>
    <w:rsid w:val="2E330D7A"/>
    <w:rsid w:val="2E4E3659"/>
    <w:rsid w:val="2E5F13C2"/>
    <w:rsid w:val="2E617DF6"/>
    <w:rsid w:val="2E65757F"/>
    <w:rsid w:val="2E81758A"/>
    <w:rsid w:val="2E821554"/>
    <w:rsid w:val="2E8B798F"/>
    <w:rsid w:val="2E9B04FC"/>
    <w:rsid w:val="2EA4771D"/>
    <w:rsid w:val="2EA66FF1"/>
    <w:rsid w:val="2EA70001"/>
    <w:rsid w:val="2EB84ED5"/>
    <w:rsid w:val="2EBD258D"/>
    <w:rsid w:val="2EC1079F"/>
    <w:rsid w:val="2EC456C9"/>
    <w:rsid w:val="2EC90F31"/>
    <w:rsid w:val="2ECC2C32"/>
    <w:rsid w:val="2ECD27D0"/>
    <w:rsid w:val="2EE60E5F"/>
    <w:rsid w:val="2F315A01"/>
    <w:rsid w:val="2F4607D4"/>
    <w:rsid w:val="2F745C16"/>
    <w:rsid w:val="2F9321E0"/>
    <w:rsid w:val="2FC385BD"/>
    <w:rsid w:val="2FF56B18"/>
    <w:rsid w:val="30007DD7"/>
    <w:rsid w:val="300B5BC2"/>
    <w:rsid w:val="3016768F"/>
    <w:rsid w:val="301914BC"/>
    <w:rsid w:val="303345C6"/>
    <w:rsid w:val="30365116"/>
    <w:rsid w:val="304C5726"/>
    <w:rsid w:val="304F36B8"/>
    <w:rsid w:val="308508E4"/>
    <w:rsid w:val="30F01C58"/>
    <w:rsid w:val="30FD4330"/>
    <w:rsid w:val="3103697D"/>
    <w:rsid w:val="310A799F"/>
    <w:rsid w:val="311A5A74"/>
    <w:rsid w:val="31215055"/>
    <w:rsid w:val="312406A1"/>
    <w:rsid w:val="312E1520"/>
    <w:rsid w:val="31464ABB"/>
    <w:rsid w:val="316E4B4E"/>
    <w:rsid w:val="317C04DD"/>
    <w:rsid w:val="31862054"/>
    <w:rsid w:val="31B639EF"/>
    <w:rsid w:val="31CC4FC0"/>
    <w:rsid w:val="31CD0F9D"/>
    <w:rsid w:val="31D04385"/>
    <w:rsid w:val="31D12E18"/>
    <w:rsid w:val="31D314EB"/>
    <w:rsid w:val="31DE6AA2"/>
    <w:rsid w:val="31EA3699"/>
    <w:rsid w:val="31FD1A5A"/>
    <w:rsid w:val="320929F4"/>
    <w:rsid w:val="320934D3"/>
    <w:rsid w:val="32100F0E"/>
    <w:rsid w:val="32176A3C"/>
    <w:rsid w:val="322E4EAF"/>
    <w:rsid w:val="32378E1D"/>
    <w:rsid w:val="325F4542"/>
    <w:rsid w:val="325F4A2C"/>
    <w:rsid w:val="326276D3"/>
    <w:rsid w:val="32674CE9"/>
    <w:rsid w:val="328D1F0A"/>
    <w:rsid w:val="32904240"/>
    <w:rsid w:val="329A6E6D"/>
    <w:rsid w:val="32A472A0"/>
    <w:rsid w:val="32BE5254"/>
    <w:rsid w:val="32CA26D5"/>
    <w:rsid w:val="32DD0EA9"/>
    <w:rsid w:val="32E97DF4"/>
    <w:rsid w:val="32ED12D6"/>
    <w:rsid w:val="32EE71B8"/>
    <w:rsid w:val="32FA3DAF"/>
    <w:rsid w:val="331704BD"/>
    <w:rsid w:val="332F40F7"/>
    <w:rsid w:val="33526E22"/>
    <w:rsid w:val="33820992"/>
    <w:rsid w:val="3383783B"/>
    <w:rsid w:val="3397672D"/>
    <w:rsid w:val="33AA7583"/>
    <w:rsid w:val="33BE39E9"/>
    <w:rsid w:val="33D26ADA"/>
    <w:rsid w:val="33E74334"/>
    <w:rsid w:val="33FB393B"/>
    <w:rsid w:val="3411315F"/>
    <w:rsid w:val="341829E1"/>
    <w:rsid w:val="3447DBE7"/>
    <w:rsid w:val="344A48C2"/>
    <w:rsid w:val="34610DCE"/>
    <w:rsid w:val="34694732"/>
    <w:rsid w:val="346C527A"/>
    <w:rsid w:val="34847DD4"/>
    <w:rsid w:val="348E47AF"/>
    <w:rsid w:val="349C2188"/>
    <w:rsid w:val="34B01019"/>
    <w:rsid w:val="34B544AC"/>
    <w:rsid w:val="34BA37F6"/>
    <w:rsid w:val="34CA331B"/>
    <w:rsid w:val="34D0319D"/>
    <w:rsid w:val="34E4DC5A"/>
    <w:rsid w:val="34EA1DEE"/>
    <w:rsid w:val="34EE16F2"/>
    <w:rsid w:val="34F52A80"/>
    <w:rsid w:val="3500152A"/>
    <w:rsid w:val="35085734"/>
    <w:rsid w:val="353B06B0"/>
    <w:rsid w:val="356D4D2B"/>
    <w:rsid w:val="35A26038"/>
    <w:rsid w:val="35B48416"/>
    <w:rsid w:val="35DA1D05"/>
    <w:rsid w:val="35F76384"/>
    <w:rsid w:val="36105234"/>
    <w:rsid w:val="3615455E"/>
    <w:rsid w:val="361C403D"/>
    <w:rsid w:val="36311913"/>
    <w:rsid w:val="36315D3A"/>
    <w:rsid w:val="363B44C3"/>
    <w:rsid w:val="363C3812"/>
    <w:rsid w:val="36492D17"/>
    <w:rsid w:val="36513CE6"/>
    <w:rsid w:val="365732C7"/>
    <w:rsid w:val="36573EEC"/>
    <w:rsid w:val="365B45EF"/>
    <w:rsid w:val="3666645F"/>
    <w:rsid w:val="36760658"/>
    <w:rsid w:val="36856098"/>
    <w:rsid w:val="36D52B69"/>
    <w:rsid w:val="36D550A5"/>
    <w:rsid w:val="36E255CE"/>
    <w:rsid w:val="36E83F1F"/>
    <w:rsid w:val="36F6663C"/>
    <w:rsid w:val="3718390F"/>
    <w:rsid w:val="374D40B6"/>
    <w:rsid w:val="37597410"/>
    <w:rsid w:val="3776100E"/>
    <w:rsid w:val="378400EB"/>
    <w:rsid w:val="37884E8E"/>
    <w:rsid w:val="37887BDC"/>
    <w:rsid w:val="379149FC"/>
    <w:rsid w:val="37B24C58"/>
    <w:rsid w:val="37B95FE7"/>
    <w:rsid w:val="37BC2595"/>
    <w:rsid w:val="38082273"/>
    <w:rsid w:val="382AC7BC"/>
    <w:rsid w:val="383503BC"/>
    <w:rsid w:val="38431D54"/>
    <w:rsid w:val="388A1731"/>
    <w:rsid w:val="38926838"/>
    <w:rsid w:val="3894610C"/>
    <w:rsid w:val="389E54C2"/>
    <w:rsid w:val="38A725FD"/>
    <w:rsid w:val="38AF3BD0"/>
    <w:rsid w:val="38BC10A1"/>
    <w:rsid w:val="38C36107"/>
    <w:rsid w:val="38CD3B1E"/>
    <w:rsid w:val="38D12825"/>
    <w:rsid w:val="38DD7AB3"/>
    <w:rsid w:val="38EF3C8A"/>
    <w:rsid w:val="390019F4"/>
    <w:rsid w:val="390239BE"/>
    <w:rsid w:val="39074B64"/>
    <w:rsid w:val="392A6A70"/>
    <w:rsid w:val="393B6FA7"/>
    <w:rsid w:val="3948009B"/>
    <w:rsid w:val="39537D75"/>
    <w:rsid w:val="39615C13"/>
    <w:rsid w:val="3962445C"/>
    <w:rsid w:val="397523E2"/>
    <w:rsid w:val="397A7C1F"/>
    <w:rsid w:val="39DF609D"/>
    <w:rsid w:val="39E16FF0"/>
    <w:rsid w:val="3A0A7CAF"/>
    <w:rsid w:val="3A1219DE"/>
    <w:rsid w:val="3A4F2C33"/>
    <w:rsid w:val="3A507A24"/>
    <w:rsid w:val="3A564D36"/>
    <w:rsid w:val="3A797CAF"/>
    <w:rsid w:val="3A888442"/>
    <w:rsid w:val="3A963D2C"/>
    <w:rsid w:val="3AA679B4"/>
    <w:rsid w:val="3ACE7298"/>
    <w:rsid w:val="3ADD023E"/>
    <w:rsid w:val="3AE7082C"/>
    <w:rsid w:val="3B14708E"/>
    <w:rsid w:val="3B233CF7"/>
    <w:rsid w:val="3B7B1805"/>
    <w:rsid w:val="3B81ADF2"/>
    <w:rsid w:val="3B8B1A48"/>
    <w:rsid w:val="3B951243"/>
    <w:rsid w:val="3BBB7E54"/>
    <w:rsid w:val="3BC1190E"/>
    <w:rsid w:val="3BCB5088"/>
    <w:rsid w:val="3BDA652C"/>
    <w:rsid w:val="3BFC2946"/>
    <w:rsid w:val="3C025A83"/>
    <w:rsid w:val="3C0A47DA"/>
    <w:rsid w:val="3C0E61D6"/>
    <w:rsid w:val="3C3D6ABB"/>
    <w:rsid w:val="3C634773"/>
    <w:rsid w:val="3C696ED9"/>
    <w:rsid w:val="3C6D55F2"/>
    <w:rsid w:val="3C795D45"/>
    <w:rsid w:val="3C855B53"/>
    <w:rsid w:val="3C8F37BA"/>
    <w:rsid w:val="3CAA4150"/>
    <w:rsid w:val="3CCA47F2"/>
    <w:rsid w:val="3CDE029E"/>
    <w:rsid w:val="3CE57CE8"/>
    <w:rsid w:val="3CF00D01"/>
    <w:rsid w:val="3D13B31A"/>
    <w:rsid w:val="3D1B6DFC"/>
    <w:rsid w:val="3D1D3026"/>
    <w:rsid w:val="3D3B77E8"/>
    <w:rsid w:val="3D491BBB"/>
    <w:rsid w:val="3D570B44"/>
    <w:rsid w:val="3D591892"/>
    <w:rsid w:val="3D674F44"/>
    <w:rsid w:val="3D6961D8"/>
    <w:rsid w:val="3D805D2E"/>
    <w:rsid w:val="3D897BA2"/>
    <w:rsid w:val="3D8E5820"/>
    <w:rsid w:val="3D8F0F3B"/>
    <w:rsid w:val="3D98044D"/>
    <w:rsid w:val="3DAD0890"/>
    <w:rsid w:val="3DAE5EC2"/>
    <w:rsid w:val="3DBD107E"/>
    <w:rsid w:val="3DD148B6"/>
    <w:rsid w:val="3DD7440B"/>
    <w:rsid w:val="3E203459"/>
    <w:rsid w:val="3E2611E5"/>
    <w:rsid w:val="3E2972F7"/>
    <w:rsid w:val="3E3478B1"/>
    <w:rsid w:val="3E3908BA"/>
    <w:rsid w:val="3E416D36"/>
    <w:rsid w:val="3E4405D4"/>
    <w:rsid w:val="3E522CF1"/>
    <w:rsid w:val="3E5873EE"/>
    <w:rsid w:val="3E605C4C"/>
    <w:rsid w:val="3E6645E3"/>
    <w:rsid w:val="3E677A02"/>
    <w:rsid w:val="3E6A012A"/>
    <w:rsid w:val="3E6B3DB3"/>
    <w:rsid w:val="3E817133"/>
    <w:rsid w:val="3E8B7462"/>
    <w:rsid w:val="3EAC2DFE"/>
    <w:rsid w:val="3EB208F0"/>
    <w:rsid w:val="3EC3599D"/>
    <w:rsid w:val="3ED41958"/>
    <w:rsid w:val="3EE576C2"/>
    <w:rsid w:val="3F012022"/>
    <w:rsid w:val="3F0CD87E"/>
    <w:rsid w:val="3F2F2AA0"/>
    <w:rsid w:val="3F4E0E06"/>
    <w:rsid w:val="3F518211"/>
    <w:rsid w:val="3F520B89"/>
    <w:rsid w:val="3F546D81"/>
    <w:rsid w:val="3F555E76"/>
    <w:rsid w:val="3F572242"/>
    <w:rsid w:val="3F6AABFA"/>
    <w:rsid w:val="3F6B4F0F"/>
    <w:rsid w:val="3F6D76B7"/>
    <w:rsid w:val="3F6F40B3"/>
    <w:rsid w:val="3F755222"/>
    <w:rsid w:val="3F81564D"/>
    <w:rsid w:val="3F9102D1"/>
    <w:rsid w:val="3F9F2DE8"/>
    <w:rsid w:val="3FB05AC7"/>
    <w:rsid w:val="3FB3156E"/>
    <w:rsid w:val="3FC27A03"/>
    <w:rsid w:val="40022115"/>
    <w:rsid w:val="400C7AC2"/>
    <w:rsid w:val="4016553B"/>
    <w:rsid w:val="40315AE9"/>
    <w:rsid w:val="4031C1AC"/>
    <w:rsid w:val="4033029C"/>
    <w:rsid w:val="40356427"/>
    <w:rsid w:val="404751AE"/>
    <w:rsid w:val="40532D51"/>
    <w:rsid w:val="405E6296"/>
    <w:rsid w:val="405F5252"/>
    <w:rsid w:val="407707ED"/>
    <w:rsid w:val="40860A30"/>
    <w:rsid w:val="40864ED4"/>
    <w:rsid w:val="40A2598C"/>
    <w:rsid w:val="40B82497"/>
    <w:rsid w:val="40BF2194"/>
    <w:rsid w:val="40C003E6"/>
    <w:rsid w:val="40D870BD"/>
    <w:rsid w:val="411374C6"/>
    <w:rsid w:val="414E2D96"/>
    <w:rsid w:val="4168282C"/>
    <w:rsid w:val="416E7E42"/>
    <w:rsid w:val="416F4122"/>
    <w:rsid w:val="417743F8"/>
    <w:rsid w:val="417A3F0A"/>
    <w:rsid w:val="417E4147"/>
    <w:rsid w:val="419158DF"/>
    <w:rsid w:val="4192D02A"/>
    <w:rsid w:val="41B344B0"/>
    <w:rsid w:val="41B45A71"/>
    <w:rsid w:val="41B463C1"/>
    <w:rsid w:val="41B91C38"/>
    <w:rsid w:val="41C30FF7"/>
    <w:rsid w:val="41CA7043"/>
    <w:rsid w:val="41CE6634"/>
    <w:rsid w:val="4220E197"/>
    <w:rsid w:val="42364A19"/>
    <w:rsid w:val="42467FDC"/>
    <w:rsid w:val="4249BB8A"/>
    <w:rsid w:val="424F587D"/>
    <w:rsid w:val="425162B7"/>
    <w:rsid w:val="427A2817"/>
    <w:rsid w:val="428244BC"/>
    <w:rsid w:val="42A55293"/>
    <w:rsid w:val="42B134CA"/>
    <w:rsid w:val="42B51AA1"/>
    <w:rsid w:val="42DD4DFA"/>
    <w:rsid w:val="42E546AA"/>
    <w:rsid w:val="42ED1005"/>
    <w:rsid w:val="42EEBCF9"/>
    <w:rsid w:val="42F67F0B"/>
    <w:rsid w:val="430C7E87"/>
    <w:rsid w:val="43175FDD"/>
    <w:rsid w:val="432B1D63"/>
    <w:rsid w:val="433C5D1E"/>
    <w:rsid w:val="43421586"/>
    <w:rsid w:val="434A02DC"/>
    <w:rsid w:val="435A2FAA"/>
    <w:rsid w:val="435C1CCF"/>
    <w:rsid w:val="437A06B5"/>
    <w:rsid w:val="43823143"/>
    <w:rsid w:val="43963680"/>
    <w:rsid w:val="43AB247B"/>
    <w:rsid w:val="43CC6AB1"/>
    <w:rsid w:val="43E268C5"/>
    <w:rsid w:val="43E31AE0"/>
    <w:rsid w:val="43F910F9"/>
    <w:rsid w:val="43FB7987"/>
    <w:rsid w:val="442D0D46"/>
    <w:rsid w:val="44732085"/>
    <w:rsid w:val="449B0822"/>
    <w:rsid w:val="44B042CE"/>
    <w:rsid w:val="44C10605"/>
    <w:rsid w:val="44C371CC"/>
    <w:rsid w:val="44C40069"/>
    <w:rsid w:val="44D162A9"/>
    <w:rsid w:val="44D37FBC"/>
    <w:rsid w:val="44EE0D9E"/>
    <w:rsid w:val="44FE772F"/>
    <w:rsid w:val="451F3969"/>
    <w:rsid w:val="453236B9"/>
    <w:rsid w:val="45389237"/>
    <w:rsid w:val="453E18DA"/>
    <w:rsid w:val="454721BD"/>
    <w:rsid w:val="45640AF0"/>
    <w:rsid w:val="45704394"/>
    <w:rsid w:val="4574179F"/>
    <w:rsid w:val="459446AA"/>
    <w:rsid w:val="45C5024D"/>
    <w:rsid w:val="45DE130F"/>
    <w:rsid w:val="45ED6FE1"/>
    <w:rsid w:val="45F66658"/>
    <w:rsid w:val="4604BE65"/>
    <w:rsid w:val="4607616F"/>
    <w:rsid w:val="4618037D"/>
    <w:rsid w:val="461D6B0A"/>
    <w:rsid w:val="4627214C"/>
    <w:rsid w:val="46357180"/>
    <w:rsid w:val="46491CE2"/>
    <w:rsid w:val="465670F7"/>
    <w:rsid w:val="466C4033"/>
    <w:rsid w:val="467201E1"/>
    <w:rsid w:val="46794B93"/>
    <w:rsid w:val="468042BB"/>
    <w:rsid w:val="469043B7"/>
    <w:rsid w:val="469A5235"/>
    <w:rsid w:val="46A61E2C"/>
    <w:rsid w:val="46AF7995"/>
    <w:rsid w:val="46DC75FC"/>
    <w:rsid w:val="46DF24AD"/>
    <w:rsid w:val="46EC3F21"/>
    <w:rsid w:val="46F93B99"/>
    <w:rsid w:val="47125C02"/>
    <w:rsid w:val="4722087A"/>
    <w:rsid w:val="473311E6"/>
    <w:rsid w:val="474D3E85"/>
    <w:rsid w:val="47613FA5"/>
    <w:rsid w:val="476164D0"/>
    <w:rsid w:val="47680E90"/>
    <w:rsid w:val="47687925"/>
    <w:rsid w:val="477869DF"/>
    <w:rsid w:val="478A34FC"/>
    <w:rsid w:val="47A82C34"/>
    <w:rsid w:val="47BE0C48"/>
    <w:rsid w:val="480877B9"/>
    <w:rsid w:val="481B12BC"/>
    <w:rsid w:val="48357958"/>
    <w:rsid w:val="48401ABA"/>
    <w:rsid w:val="485252BC"/>
    <w:rsid w:val="487B4A1E"/>
    <w:rsid w:val="48CB2355"/>
    <w:rsid w:val="48E212D2"/>
    <w:rsid w:val="48E917D6"/>
    <w:rsid w:val="491A08B0"/>
    <w:rsid w:val="49303C2F"/>
    <w:rsid w:val="493277C4"/>
    <w:rsid w:val="495518E8"/>
    <w:rsid w:val="4969252B"/>
    <w:rsid w:val="496E106A"/>
    <w:rsid w:val="49740480"/>
    <w:rsid w:val="49A95F09"/>
    <w:rsid w:val="49C929DF"/>
    <w:rsid w:val="49C97851"/>
    <w:rsid w:val="49CF169A"/>
    <w:rsid w:val="49D91063"/>
    <w:rsid w:val="4A2C30EA"/>
    <w:rsid w:val="4A356329"/>
    <w:rsid w:val="4A7B4E65"/>
    <w:rsid w:val="4A9B332A"/>
    <w:rsid w:val="4A9D5931"/>
    <w:rsid w:val="4AA52745"/>
    <w:rsid w:val="4AC0E104"/>
    <w:rsid w:val="4AC40446"/>
    <w:rsid w:val="4AC719EC"/>
    <w:rsid w:val="4B030C84"/>
    <w:rsid w:val="4B0709C0"/>
    <w:rsid w:val="4B2633A8"/>
    <w:rsid w:val="4B280721"/>
    <w:rsid w:val="4B2D0BA1"/>
    <w:rsid w:val="4B5300A9"/>
    <w:rsid w:val="4B647BC0"/>
    <w:rsid w:val="4B8F224B"/>
    <w:rsid w:val="4BAF3531"/>
    <w:rsid w:val="4BFC7755"/>
    <w:rsid w:val="4C07336D"/>
    <w:rsid w:val="4C10113C"/>
    <w:rsid w:val="4C1B50C8"/>
    <w:rsid w:val="4C337026"/>
    <w:rsid w:val="4C5CB165"/>
    <w:rsid w:val="4C7D362F"/>
    <w:rsid w:val="4C8C7F34"/>
    <w:rsid w:val="4C9E39FC"/>
    <w:rsid w:val="4CB307CE"/>
    <w:rsid w:val="4CB30B9F"/>
    <w:rsid w:val="4CBF829D"/>
    <w:rsid w:val="4CC90623"/>
    <w:rsid w:val="4CE10E9D"/>
    <w:rsid w:val="4CE23492"/>
    <w:rsid w:val="4CEB28DE"/>
    <w:rsid w:val="4CF17B79"/>
    <w:rsid w:val="4CF2AF4F"/>
    <w:rsid w:val="4CF3744D"/>
    <w:rsid w:val="4CFD6825"/>
    <w:rsid w:val="4D0478AD"/>
    <w:rsid w:val="4D1818B7"/>
    <w:rsid w:val="4D1A7332"/>
    <w:rsid w:val="4D2144E2"/>
    <w:rsid w:val="4D394484"/>
    <w:rsid w:val="4D44414D"/>
    <w:rsid w:val="4D4E4E1B"/>
    <w:rsid w:val="4D565B90"/>
    <w:rsid w:val="4D7D2966"/>
    <w:rsid w:val="4D7E7A83"/>
    <w:rsid w:val="4D8207D1"/>
    <w:rsid w:val="4D862070"/>
    <w:rsid w:val="4D935633"/>
    <w:rsid w:val="4DB50115"/>
    <w:rsid w:val="4DC42B98"/>
    <w:rsid w:val="4DDA717D"/>
    <w:rsid w:val="4DDE00FE"/>
    <w:rsid w:val="4DF7740A"/>
    <w:rsid w:val="4DFD2F8A"/>
    <w:rsid w:val="4E043F3A"/>
    <w:rsid w:val="4E6B74B7"/>
    <w:rsid w:val="4E6F698F"/>
    <w:rsid w:val="4E8430D1"/>
    <w:rsid w:val="4EA76CD6"/>
    <w:rsid w:val="4EC347B3"/>
    <w:rsid w:val="4ED8A3D3"/>
    <w:rsid w:val="4EF43951"/>
    <w:rsid w:val="4EF70D4B"/>
    <w:rsid w:val="4F054B30"/>
    <w:rsid w:val="4F20302A"/>
    <w:rsid w:val="4F3F2E1E"/>
    <w:rsid w:val="4F712E9B"/>
    <w:rsid w:val="4F7F1CE3"/>
    <w:rsid w:val="4F8922EB"/>
    <w:rsid w:val="4F9D5D96"/>
    <w:rsid w:val="4FB377C5"/>
    <w:rsid w:val="4FED55C7"/>
    <w:rsid w:val="4FFC2ABD"/>
    <w:rsid w:val="5009A900"/>
    <w:rsid w:val="500D6A78"/>
    <w:rsid w:val="50267B3A"/>
    <w:rsid w:val="502D638B"/>
    <w:rsid w:val="504100F5"/>
    <w:rsid w:val="504D0707"/>
    <w:rsid w:val="50594FD8"/>
    <w:rsid w:val="508F56DF"/>
    <w:rsid w:val="509E1DC6"/>
    <w:rsid w:val="50AF51FF"/>
    <w:rsid w:val="50B12313"/>
    <w:rsid w:val="50B75234"/>
    <w:rsid w:val="50BB0282"/>
    <w:rsid w:val="50D219EE"/>
    <w:rsid w:val="50D32569"/>
    <w:rsid w:val="50DE6667"/>
    <w:rsid w:val="50DF77C8"/>
    <w:rsid w:val="50F934A0"/>
    <w:rsid w:val="51002139"/>
    <w:rsid w:val="5105587E"/>
    <w:rsid w:val="51287F7B"/>
    <w:rsid w:val="514135E6"/>
    <w:rsid w:val="514A5AAA"/>
    <w:rsid w:val="51667D68"/>
    <w:rsid w:val="518014CC"/>
    <w:rsid w:val="51A056CA"/>
    <w:rsid w:val="51B03B5F"/>
    <w:rsid w:val="51C25B72"/>
    <w:rsid w:val="51D1097E"/>
    <w:rsid w:val="51F078F0"/>
    <w:rsid w:val="51F34A6B"/>
    <w:rsid w:val="52146EE3"/>
    <w:rsid w:val="52276D4B"/>
    <w:rsid w:val="52362685"/>
    <w:rsid w:val="525C7843"/>
    <w:rsid w:val="52667EA9"/>
    <w:rsid w:val="52750905"/>
    <w:rsid w:val="527A5F1B"/>
    <w:rsid w:val="527E77AD"/>
    <w:rsid w:val="528D3EA0"/>
    <w:rsid w:val="5290114A"/>
    <w:rsid w:val="52952DDE"/>
    <w:rsid w:val="529E7E5B"/>
    <w:rsid w:val="52B62818"/>
    <w:rsid w:val="52B70A30"/>
    <w:rsid w:val="52BC2A86"/>
    <w:rsid w:val="52C8FD6B"/>
    <w:rsid w:val="52EC39F4"/>
    <w:rsid w:val="52F611D9"/>
    <w:rsid w:val="52FC4B82"/>
    <w:rsid w:val="534F73A8"/>
    <w:rsid w:val="53685B16"/>
    <w:rsid w:val="536D3478"/>
    <w:rsid w:val="537541F7"/>
    <w:rsid w:val="53A834C7"/>
    <w:rsid w:val="53BA12C5"/>
    <w:rsid w:val="53C11C27"/>
    <w:rsid w:val="53CA4C80"/>
    <w:rsid w:val="53DD1F6F"/>
    <w:rsid w:val="53EE70F3"/>
    <w:rsid w:val="53F685B1"/>
    <w:rsid w:val="53FA37B7"/>
    <w:rsid w:val="54042584"/>
    <w:rsid w:val="540A7162"/>
    <w:rsid w:val="541A1764"/>
    <w:rsid w:val="54313159"/>
    <w:rsid w:val="54370568"/>
    <w:rsid w:val="543D1333"/>
    <w:rsid w:val="546E0A00"/>
    <w:rsid w:val="546FB0D0"/>
    <w:rsid w:val="548D63DA"/>
    <w:rsid w:val="5492692E"/>
    <w:rsid w:val="54A656ED"/>
    <w:rsid w:val="54B413AF"/>
    <w:rsid w:val="54E4174D"/>
    <w:rsid w:val="552519E7"/>
    <w:rsid w:val="5531485A"/>
    <w:rsid w:val="55432656"/>
    <w:rsid w:val="55435E0E"/>
    <w:rsid w:val="557D5DB4"/>
    <w:rsid w:val="558B79DC"/>
    <w:rsid w:val="558C043F"/>
    <w:rsid w:val="558E80D8"/>
    <w:rsid w:val="558F1CDD"/>
    <w:rsid w:val="5596095B"/>
    <w:rsid w:val="55B6370E"/>
    <w:rsid w:val="55B66DC1"/>
    <w:rsid w:val="55F06C20"/>
    <w:rsid w:val="55F2308A"/>
    <w:rsid w:val="55F52488"/>
    <w:rsid w:val="55F75A60"/>
    <w:rsid w:val="56010E2D"/>
    <w:rsid w:val="561346BC"/>
    <w:rsid w:val="561A0AEC"/>
    <w:rsid w:val="562B7C58"/>
    <w:rsid w:val="563360C5"/>
    <w:rsid w:val="563B7B79"/>
    <w:rsid w:val="56521002"/>
    <w:rsid w:val="56680EAC"/>
    <w:rsid w:val="566F4052"/>
    <w:rsid w:val="567908EE"/>
    <w:rsid w:val="567C3B93"/>
    <w:rsid w:val="568B61F7"/>
    <w:rsid w:val="56921A85"/>
    <w:rsid w:val="56951575"/>
    <w:rsid w:val="56CA3E70"/>
    <w:rsid w:val="56E74177"/>
    <w:rsid w:val="56FA583F"/>
    <w:rsid w:val="56FE536D"/>
    <w:rsid w:val="570331E9"/>
    <w:rsid w:val="572A43B4"/>
    <w:rsid w:val="573548A0"/>
    <w:rsid w:val="573D4626"/>
    <w:rsid w:val="57596A47"/>
    <w:rsid w:val="576350C7"/>
    <w:rsid w:val="57743881"/>
    <w:rsid w:val="57786F24"/>
    <w:rsid w:val="577B7ACA"/>
    <w:rsid w:val="57827D4C"/>
    <w:rsid w:val="578E1DEA"/>
    <w:rsid w:val="5799157F"/>
    <w:rsid w:val="57BD0D84"/>
    <w:rsid w:val="57BD6FD6"/>
    <w:rsid w:val="57C151C8"/>
    <w:rsid w:val="57D12F2C"/>
    <w:rsid w:val="57E502DB"/>
    <w:rsid w:val="57F14ED1"/>
    <w:rsid w:val="57F938CE"/>
    <w:rsid w:val="580B5F93"/>
    <w:rsid w:val="5814471C"/>
    <w:rsid w:val="58197B00"/>
    <w:rsid w:val="581A4428"/>
    <w:rsid w:val="58226E39"/>
    <w:rsid w:val="5838665C"/>
    <w:rsid w:val="583A0626"/>
    <w:rsid w:val="58472D43"/>
    <w:rsid w:val="584A7E79"/>
    <w:rsid w:val="584E6204"/>
    <w:rsid w:val="58533496"/>
    <w:rsid w:val="587647D5"/>
    <w:rsid w:val="588E0972"/>
    <w:rsid w:val="58AB0837"/>
    <w:rsid w:val="58DF11CE"/>
    <w:rsid w:val="58DF2E9D"/>
    <w:rsid w:val="58E467E4"/>
    <w:rsid w:val="58FE3805"/>
    <w:rsid w:val="5935105C"/>
    <w:rsid w:val="594774C7"/>
    <w:rsid w:val="5948606F"/>
    <w:rsid w:val="595B09FD"/>
    <w:rsid w:val="596D0217"/>
    <w:rsid w:val="598E9C11"/>
    <w:rsid w:val="59965D30"/>
    <w:rsid w:val="59B166C6"/>
    <w:rsid w:val="59B44408"/>
    <w:rsid w:val="59C821FF"/>
    <w:rsid w:val="59E3549E"/>
    <w:rsid w:val="5A123888"/>
    <w:rsid w:val="5A195D90"/>
    <w:rsid w:val="5A2275C4"/>
    <w:rsid w:val="5A30220E"/>
    <w:rsid w:val="5A44753A"/>
    <w:rsid w:val="5A5359CF"/>
    <w:rsid w:val="5A9304C2"/>
    <w:rsid w:val="5A943D2F"/>
    <w:rsid w:val="5A9F1902"/>
    <w:rsid w:val="5AAA09EF"/>
    <w:rsid w:val="5ADF1011"/>
    <w:rsid w:val="5AE02ADF"/>
    <w:rsid w:val="5AE61B54"/>
    <w:rsid w:val="5AED13A5"/>
    <w:rsid w:val="5AEF0AD5"/>
    <w:rsid w:val="5AFF2E0B"/>
    <w:rsid w:val="5B070568"/>
    <w:rsid w:val="5B1213E7"/>
    <w:rsid w:val="5B182543"/>
    <w:rsid w:val="5B386973"/>
    <w:rsid w:val="5B445318"/>
    <w:rsid w:val="5B504A94"/>
    <w:rsid w:val="5B694D7F"/>
    <w:rsid w:val="5B6F2CF8"/>
    <w:rsid w:val="5B7756EE"/>
    <w:rsid w:val="5BD45272"/>
    <w:rsid w:val="5BE5461D"/>
    <w:rsid w:val="5C043C50"/>
    <w:rsid w:val="5C1E200D"/>
    <w:rsid w:val="5C204446"/>
    <w:rsid w:val="5C25514A"/>
    <w:rsid w:val="5C2F3252"/>
    <w:rsid w:val="5C5D0E1C"/>
    <w:rsid w:val="5C73D9B7"/>
    <w:rsid w:val="5C80AE6C"/>
    <w:rsid w:val="5C853E3A"/>
    <w:rsid w:val="5C983F8D"/>
    <w:rsid w:val="5C9B14BB"/>
    <w:rsid w:val="5CACCA18"/>
    <w:rsid w:val="5CB00EB7"/>
    <w:rsid w:val="5CE104CF"/>
    <w:rsid w:val="5CE6294A"/>
    <w:rsid w:val="5D121B72"/>
    <w:rsid w:val="5D2636A8"/>
    <w:rsid w:val="5D2D2508"/>
    <w:rsid w:val="5D38137F"/>
    <w:rsid w:val="5D436DBC"/>
    <w:rsid w:val="5D479FBE"/>
    <w:rsid w:val="5D4A130C"/>
    <w:rsid w:val="5D616655"/>
    <w:rsid w:val="5D663C6C"/>
    <w:rsid w:val="5D704AEA"/>
    <w:rsid w:val="5D885990"/>
    <w:rsid w:val="5D9892E2"/>
    <w:rsid w:val="5D9E6F62"/>
    <w:rsid w:val="5DCB1D21"/>
    <w:rsid w:val="5E1436C8"/>
    <w:rsid w:val="5E3D2C1E"/>
    <w:rsid w:val="5E471A4C"/>
    <w:rsid w:val="5E47584B"/>
    <w:rsid w:val="5E56783C"/>
    <w:rsid w:val="5E58305B"/>
    <w:rsid w:val="5E6811DC"/>
    <w:rsid w:val="5E8C7702"/>
    <w:rsid w:val="5E937939"/>
    <w:rsid w:val="5E9A5E23"/>
    <w:rsid w:val="5EA66A16"/>
    <w:rsid w:val="5EAB1BC0"/>
    <w:rsid w:val="5EB56C59"/>
    <w:rsid w:val="5F025C57"/>
    <w:rsid w:val="5F0674B4"/>
    <w:rsid w:val="5F0E1BA3"/>
    <w:rsid w:val="5F155F37"/>
    <w:rsid w:val="5F334021"/>
    <w:rsid w:val="5F48187B"/>
    <w:rsid w:val="5F4E70DB"/>
    <w:rsid w:val="5F600737"/>
    <w:rsid w:val="5F65EC12"/>
    <w:rsid w:val="5F6A1E40"/>
    <w:rsid w:val="5F752C58"/>
    <w:rsid w:val="5F7A57AC"/>
    <w:rsid w:val="5F8730C1"/>
    <w:rsid w:val="5FB563AD"/>
    <w:rsid w:val="5FBB029F"/>
    <w:rsid w:val="5FD924D3"/>
    <w:rsid w:val="5FFE7476"/>
    <w:rsid w:val="60183961"/>
    <w:rsid w:val="601B6F8F"/>
    <w:rsid w:val="604C539B"/>
    <w:rsid w:val="604F6C39"/>
    <w:rsid w:val="60686F12"/>
    <w:rsid w:val="606C2FDA"/>
    <w:rsid w:val="607D37A6"/>
    <w:rsid w:val="607F3AE0"/>
    <w:rsid w:val="608C332D"/>
    <w:rsid w:val="60912DAE"/>
    <w:rsid w:val="60A2320D"/>
    <w:rsid w:val="60CC64DC"/>
    <w:rsid w:val="60E85D18"/>
    <w:rsid w:val="60ED1779"/>
    <w:rsid w:val="60ED2035"/>
    <w:rsid w:val="60F31CBA"/>
    <w:rsid w:val="60F35132"/>
    <w:rsid w:val="61156D8B"/>
    <w:rsid w:val="61161505"/>
    <w:rsid w:val="61181721"/>
    <w:rsid w:val="612E5F61"/>
    <w:rsid w:val="614729D3"/>
    <w:rsid w:val="61485A7E"/>
    <w:rsid w:val="616746BE"/>
    <w:rsid w:val="61979D0C"/>
    <w:rsid w:val="61C57886"/>
    <w:rsid w:val="61E80059"/>
    <w:rsid w:val="62066DD7"/>
    <w:rsid w:val="620677CB"/>
    <w:rsid w:val="62285994"/>
    <w:rsid w:val="62344338"/>
    <w:rsid w:val="62373E29"/>
    <w:rsid w:val="626A5FAC"/>
    <w:rsid w:val="627F184B"/>
    <w:rsid w:val="6280757E"/>
    <w:rsid w:val="628D3823"/>
    <w:rsid w:val="628F0DA7"/>
    <w:rsid w:val="629973C3"/>
    <w:rsid w:val="62C34D3C"/>
    <w:rsid w:val="62C48276"/>
    <w:rsid w:val="62DD677E"/>
    <w:rsid w:val="63141A74"/>
    <w:rsid w:val="631877B6"/>
    <w:rsid w:val="632D3EE0"/>
    <w:rsid w:val="633F075A"/>
    <w:rsid w:val="63456F71"/>
    <w:rsid w:val="634959B7"/>
    <w:rsid w:val="6370FD62"/>
    <w:rsid w:val="63902C16"/>
    <w:rsid w:val="63957059"/>
    <w:rsid w:val="63E47A29"/>
    <w:rsid w:val="63E8B38E"/>
    <w:rsid w:val="63FB09CE"/>
    <w:rsid w:val="63FD4099"/>
    <w:rsid w:val="64195594"/>
    <w:rsid w:val="642503DD"/>
    <w:rsid w:val="645555EA"/>
    <w:rsid w:val="645E569D"/>
    <w:rsid w:val="64685528"/>
    <w:rsid w:val="64A354EB"/>
    <w:rsid w:val="64A906EB"/>
    <w:rsid w:val="64B259E8"/>
    <w:rsid w:val="64DC6DF9"/>
    <w:rsid w:val="64DE67DD"/>
    <w:rsid w:val="64F61D79"/>
    <w:rsid w:val="64F8789F"/>
    <w:rsid w:val="64FC4DB6"/>
    <w:rsid w:val="650C7F70"/>
    <w:rsid w:val="650F6997"/>
    <w:rsid w:val="651A5A67"/>
    <w:rsid w:val="651F307E"/>
    <w:rsid w:val="653308D7"/>
    <w:rsid w:val="653F54CE"/>
    <w:rsid w:val="657D2FF9"/>
    <w:rsid w:val="658F4B20"/>
    <w:rsid w:val="65953340"/>
    <w:rsid w:val="659BD191"/>
    <w:rsid w:val="65AC2438"/>
    <w:rsid w:val="65B44B48"/>
    <w:rsid w:val="65F82955"/>
    <w:rsid w:val="65FC6DB9"/>
    <w:rsid w:val="66065FEC"/>
    <w:rsid w:val="6615042E"/>
    <w:rsid w:val="663340FC"/>
    <w:rsid w:val="663D4821"/>
    <w:rsid w:val="66486604"/>
    <w:rsid w:val="66521231"/>
    <w:rsid w:val="66570927"/>
    <w:rsid w:val="667967BE"/>
    <w:rsid w:val="66996E60"/>
    <w:rsid w:val="669C425A"/>
    <w:rsid w:val="66A15050"/>
    <w:rsid w:val="66C63634"/>
    <w:rsid w:val="66D165FA"/>
    <w:rsid w:val="66F259B1"/>
    <w:rsid w:val="670F6CD8"/>
    <w:rsid w:val="671958AB"/>
    <w:rsid w:val="672A4DF8"/>
    <w:rsid w:val="67346B89"/>
    <w:rsid w:val="67513297"/>
    <w:rsid w:val="675E375D"/>
    <w:rsid w:val="676715EE"/>
    <w:rsid w:val="676E209B"/>
    <w:rsid w:val="67717495"/>
    <w:rsid w:val="678C6994"/>
    <w:rsid w:val="67917B37"/>
    <w:rsid w:val="67931B01"/>
    <w:rsid w:val="679529C6"/>
    <w:rsid w:val="67A930D3"/>
    <w:rsid w:val="67B35CFF"/>
    <w:rsid w:val="67C779FD"/>
    <w:rsid w:val="67C80470"/>
    <w:rsid w:val="67D53EC8"/>
    <w:rsid w:val="67E4410B"/>
    <w:rsid w:val="67F02AB0"/>
    <w:rsid w:val="67FE3705"/>
    <w:rsid w:val="68071BA7"/>
    <w:rsid w:val="68071E37"/>
    <w:rsid w:val="6815237C"/>
    <w:rsid w:val="682034F5"/>
    <w:rsid w:val="682D0FA9"/>
    <w:rsid w:val="6846536B"/>
    <w:rsid w:val="684A2A06"/>
    <w:rsid w:val="685C6397"/>
    <w:rsid w:val="6886220B"/>
    <w:rsid w:val="688AA83E"/>
    <w:rsid w:val="68A13DAA"/>
    <w:rsid w:val="68EA12D9"/>
    <w:rsid w:val="6902622F"/>
    <w:rsid w:val="69044122"/>
    <w:rsid w:val="692549DB"/>
    <w:rsid w:val="69446E53"/>
    <w:rsid w:val="69491B82"/>
    <w:rsid w:val="69594684"/>
    <w:rsid w:val="696A6892"/>
    <w:rsid w:val="69749038"/>
    <w:rsid w:val="698152DA"/>
    <w:rsid w:val="69925BE1"/>
    <w:rsid w:val="69982B3D"/>
    <w:rsid w:val="69A375C2"/>
    <w:rsid w:val="69AA4EE0"/>
    <w:rsid w:val="69B0CF70"/>
    <w:rsid w:val="69B12712"/>
    <w:rsid w:val="69BB4CAC"/>
    <w:rsid w:val="69BB772E"/>
    <w:rsid w:val="69E403F2"/>
    <w:rsid w:val="69E95A08"/>
    <w:rsid w:val="69FB4AF0"/>
    <w:rsid w:val="6A187869"/>
    <w:rsid w:val="6A2829D5"/>
    <w:rsid w:val="6A2E5B11"/>
    <w:rsid w:val="6A3250C3"/>
    <w:rsid w:val="6A325601"/>
    <w:rsid w:val="6A3D094A"/>
    <w:rsid w:val="6A540DC0"/>
    <w:rsid w:val="6A6367DD"/>
    <w:rsid w:val="6A94006A"/>
    <w:rsid w:val="6A9C6F1F"/>
    <w:rsid w:val="6AB666DC"/>
    <w:rsid w:val="6AC07882"/>
    <w:rsid w:val="6AF26B3F"/>
    <w:rsid w:val="6AF93DA9"/>
    <w:rsid w:val="6B040620"/>
    <w:rsid w:val="6B1271E1"/>
    <w:rsid w:val="6B30AB50"/>
    <w:rsid w:val="6B4A697B"/>
    <w:rsid w:val="6B711992"/>
    <w:rsid w:val="6B9E2823"/>
    <w:rsid w:val="6BC009EB"/>
    <w:rsid w:val="6BC976D6"/>
    <w:rsid w:val="6BD801FD"/>
    <w:rsid w:val="6BDA3811"/>
    <w:rsid w:val="6BF91F83"/>
    <w:rsid w:val="6C094140"/>
    <w:rsid w:val="6C12124D"/>
    <w:rsid w:val="6C164AAF"/>
    <w:rsid w:val="6C64BF36"/>
    <w:rsid w:val="6C7E7BBA"/>
    <w:rsid w:val="6C94616E"/>
    <w:rsid w:val="6C97799E"/>
    <w:rsid w:val="6CC4553B"/>
    <w:rsid w:val="6CE475F5"/>
    <w:rsid w:val="6CF44DF0"/>
    <w:rsid w:val="6D0F11FC"/>
    <w:rsid w:val="6D10648E"/>
    <w:rsid w:val="6D1103DB"/>
    <w:rsid w:val="6D1427D7"/>
    <w:rsid w:val="6D2FD872"/>
    <w:rsid w:val="6D4172DD"/>
    <w:rsid w:val="6D464F20"/>
    <w:rsid w:val="6D466BB0"/>
    <w:rsid w:val="6D674CFD"/>
    <w:rsid w:val="6D6F26C8"/>
    <w:rsid w:val="6D747AF6"/>
    <w:rsid w:val="6DA2484C"/>
    <w:rsid w:val="6DB91B96"/>
    <w:rsid w:val="6DBF20C8"/>
    <w:rsid w:val="6DDA5D08"/>
    <w:rsid w:val="6DED7C9F"/>
    <w:rsid w:val="6DFFEF3B"/>
    <w:rsid w:val="6E1715DF"/>
    <w:rsid w:val="6E2B56BE"/>
    <w:rsid w:val="6E2E4332"/>
    <w:rsid w:val="6E2F3C06"/>
    <w:rsid w:val="6E36250E"/>
    <w:rsid w:val="6E3E2BE0"/>
    <w:rsid w:val="6E4753F3"/>
    <w:rsid w:val="6E575682"/>
    <w:rsid w:val="6E751B6B"/>
    <w:rsid w:val="6E8757F0"/>
    <w:rsid w:val="6E892704"/>
    <w:rsid w:val="6E957F0D"/>
    <w:rsid w:val="6EA12D56"/>
    <w:rsid w:val="6ECC7148"/>
    <w:rsid w:val="6ECD1202"/>
    <w:rsid w:val="6ECF1126"/>
    <w:rsid w:val="6ED403F8"/>
    <w:rsid w:val="6EE90259"/>
    <w:rsid w:val="6F0539E3"/>
    <w:rsid w:val="6F0CB902"/>
    <w:rsid w:val="6F1D77E2"/>
    <w:rsid w:val="6F6F06E0"/>
    <w:rsid w:val="6F745D74"/>
    <w:rsid w:val="6FA10F68"/>
    <w:rsid w:val="6FA565AF"/>
    <w:rsid w:val="6FA7439C"/>
    <w:rsid w:val="6FC52A74"/>
    <w:rsid w:val="6FEA4288"/>
    <w:rsid w:val="6FEB638B"/>
    <w:rsid w:val="6FF326E3"/>
    <w:rsid w:val="6FF343A6"/>
    <w:rsid w:val="6FF9096F"/>
    <w:rsid w:val="6FF90E65"/>
    <w:rsid w:val="70187047"/>
    <w:rsid w:val="702459EC"/>
    <w:rsid w:val="7047675D"/>
    <w:rsid w:val="704855C1"/>
    <w:rsid w:val="704931F3"/>
    <w:rsid w:val="704C6E71"/>
    <w:rsid w:val="70700C31"/>
    <w:rsid w:val="708078C7"/>
    <w:rsid w:val="70B76860"/>
    <w:rsid w:val="70C2DD67"/>
    <w:rsid w:val="711A2939"/>
    <w:rsid w:val="71254779"/>
    <w:rsid w:val="71332AA2"/>
    <w:rsid w:val="713559D7"/>
    <w:rsid w:val="713B3405"/>
    <w:rsid w:val="713F6856"/>
    <w:rsid w:val="71436346"/>
    <w:rsid w:val="71560783"/>
    <w:rsid w:val="7159F9C6"/>
    <w:rsid w:val="715E333F"/>
    <w:rsid w:val="71BA262C"/>
    <w:rsid w:val="71C50B09"/>
    <w:rsid w:val="71CF3736"/>
    <w:rsid w:val="71FD39A8"/>
    <w:rsid w:val="720F7C8C"/>
    <w:rsid w:val="723044F4"/>
    <w:rsid w:val="72323CC5"/>
    <w:rsid w:val="723E08BB"/>
    <w:rsid w:val="72457E9C"/>
    <w:rsid w:val="728632A9"/>
    <w:rsid w:val="72AC3573"/>
    <w:rsid w:val="72B15531"/>
    <w:rsid w:val="72B91A69"/>
    <w:rsid w:val="72DC25AE"/>
    <w:rsid w:val="730C2D3A"/>
    <w:rsid w:val="7338355D"/>
    <w:rsid w:val="7355410F"/>
    <w:rsid w:val="735C60B9"/>
    <w:rsid w:val="73691134"/>
    <w:rsid w:val="736930F1"/>
    <w:rsid w:val="73782C63"/>
    <w:rsid w:val="737A1DC7"/>
    <w:rsid w:val="738E7591"/>
    <w:rsid w:val="739F08F8"/>
    <w:rsid w:val="73BC5F3C"/>
    <w:rsid w:val="73C07A86"/>
    <w:rsid w:val="73E13BF4"/>
    <w:rsid w:val="74277E77"/>
    <w:rsid w:val="744D0915"/>
    <w:rsid w:val="745D0C15"/>
    <w:rsid w:val="74975334"/>
    <w:rsid w:val="74AA26D9"/>
    <w:rsid w:val="74DD81E3"/>
    <w:rsid w:val="74F57957"/>
    <w:rsid w:val="74F62BFD"/>
    <w:rsid w:val="750A677E"/>
    <w:rsid w:val="75160541"/>
    <w:rsid w:val="752B348C"/>
    <w:rsid w:val="753B38D5"/>
    <w:rsid w:val="755960EA"/>
    <w:rsid w:val="75596138"/>
    <w:rsid w:val="756D21AE"/>
    <w:rsid w:val="75750A98"/>
    <w:rsid w:val="757A7E5C"/>
    <w:rsid w:val="7586655B"/>
    <w:rsid w:val="759A405B"/>
    <w:rsid w:val="759C7DD3"/>
    <w:rsid w:val="75E023B5"/>
    <w:rsid w:val="75ED531F"/>
    <w:rsid w:val="75EF4D05"/>
    <w:rsid w:val="760C5CCA"/>
    <w:rsid w:val="761142DA"/>
    <w:rsid w:val="762C3E70"/>
    <w:rsid w:val="765D6CFB"/>
    <w:rsid w:val="76625916"/>
    <w:rsid w:val="7667B1CB"/>
    <w:rsid w:val="76784DC0"/>
    <w:rsid w:val="767F0696"/>
    <w:rsid w:val="76865A17"/>
    <w:rsid w:val="7687E864"/>
    <w:rsid w:val="76893BBA"/>
    <w:rsid w:val="768D3BBF"/>
    <w:rsid w:val="768F5B89"/>
    <w:rsid w:val="76BA97E0"/>
    <w:rsid w:val="76CD6B26"/>
    <w:rsid w:val="76D67314"/>
    <w:rsid w:val="76EC6B38"/>
    <w:rsid w:val="76FC5DE7"/>
    <w:rsid w:val="771A5453"/>
    <w:rsid w:val="771E3744"/>
    <w:rsid w:val="77495D38"/>
    <w:rsid w:val="7756610C"/>
    <w:rsid w:val="77754FC3"/>
    <w:rsid w:val="77955421"/>
    <w:rsid w:val="77A02249"/>
    <w:rsid w:val="77AB69F3"/>
    <w:rsid w:val="77B8636F"/>
    <w:rsid w:val="77BA3E25"/>
    <w:rsid w:val="77F9775E"/>
    <w:rsid w:val="780C4338"/>
    <w:rsid w:val="781C169F"/>
    <w:rsid w:val="781E3F3A"/>
    <w:rsid w:val="7825FC8B"/>
    <w:rsid w:val="78390578"/>
    <w:rsid w:val="78504696"/>
    <w:rsid w:val="7873597F"/>
    <w:rsid w:val="78943D2E"/>
    <w:rsid w:val="7896F60D"/>
    <w:rsid w:val="78A51694"/>
    <w:rsid w:val="78A551F0"/>
    <w:rsid w:val="78B45656"/>
    <w:rsid w:val="78B90CE7"/>
    <w:rsid w:val="78B95140"/>
    <w:rsid w:val="78BE6476"/>
    <w:rsid w:val="78C57641"/>
    <w:rsid w:val="78CF7283"/>
    <w:rsid w:val="78D6184E"/>
    <w:rsid w:val="78D636B9"/>
    <w:rsid w:val="78E0811B"/>
    <w:rsid w:val="78F23FBB"/>
    <w:rsid w:val="78F85C68"/>
    <w:rsid w:val="78FB12B4"/>
    <w:rsid w:val="78FB5C61"/>
    <w:rsid w:val="791F31F5"/>
    <w:rsid w:val="792C09DA"/>
    <w:rsid w:val="79334EF2"/>
    <w:rsid w:val="79422CF8"/>
    <w:rsid w:val="79500B45"/>
    <w:rsid w:val="79621333"/>
    <w:rsid w:val="796B643A"/>
    <w:rsid w:val="79703A50"/>
    <w:rsid w:val="797D7F1B"/>
    <w:rsid w:val="798968C0"/>
    <w:rsid w:val="79951709"/>
    <w:rsid w:val="79A04290"/>
    <w:rsid w:val="79D829F5"/>
    <w:rsid w:val="79DF717D"/>
    <w:rsid w:val="79F5B724"/>
    <w:rsid w:val="79FB35E8"/>
    <w:rsid w:val="79FF5300"/>
    <w:rsid w:val="7A1856CB"/>
    <w:rsid w:val="7A4C199E"/>
    <w:rsid w:val="7A872128"/>
    <w:rsid w:val="7A9B4F1C"/>
    <w:rsid w:val="7AA238EA"/>
    <w:rsid w:val="7ABD0F17"/>
    <w:rsid w:val="7AC47C9F"/>
    <w:rsid w:val="7AC51B7A"/>
    <w:rsid w:val="7AD4198C"/>
    <w:rsid w:val="7AE9510B"/>
    <w:rsid w:val="7AEEA41B"/>
    <w:rsid w:val="7AF15A4C"/>
    <w:rsid w:val="7B010652"/>
    <w:rsid w:val="7B3B1E3C"/>
    <w:rsid w:val="7B5BF58E"/>
    <w:rsid w:val="7B6C0247"/>
    <w:rsid w:val="7B821D99"/>
    <w:rsid w:val="7BA010DA"/>
    <w:rsid w:val="7BA58F7B"/>
    <w:rsid w:val="7BACDC3D"/>
    <w:rsid w:val="7BBA0FB3"/>
    <w:rsid w:val="7BCF8E08"/>
    <w:rsid w:val="7BD556B8"/>
    <w:rsid w:val="7BF2699E"/>
    <w:rsid w:val="7C153BCC"/>
    <w:rsid w:val="7C174DC7"/>
    <w:rsid w:val="7C183F2B"/>
    <w:rsid w:val="7C226B35"/>
    <w:rsid w:val="7C247978"/>
    <w:rsid w:val="7C686495"/>
    <w:rsid w:val="7C686722"/>
    <w:rsid w:val="7C6E7FFB"/>
    <w:rsid w:val="7C6F4493"/>
    <w:rsid w:val="7C9721C8"/>
    <w:rsid w:val="7CA85A9F"/>
    <w:rsid w:val="7CAC4679"/>
    <w:rsid w:val="7CB63E70"/>
    <w:rsid w:val="7CB6799F"/>
    <w:rsid w:val="7CCC5441"/>
    <w:rsid w:val="7CD10CAA"/>
    <w:rsid w:val="7D2E6217"/>
    <w:rsid w:val="7D380D29"/>
    <w:rsid w:val="7D44147C"/>
    <w:rsid w:val="7D592A4D"/>
    <w:rsid w:val="7DB61C4E"/>
    <w:rsid w:val="7DBF0B02"/>
    <w:rsid w:val="7DC96587"/>
    <w:rsid w:val="7DCA57B3"/>
    <w:rsid w:val="7DDC6AC7"/>
    <w:rsid w:val="7E3F39F1"/>
    <w:rsid w:val="7E821DA9"/>
    <w:rsid w:val="7E8237C0"/>
    <w:rsid w:val="7E851565"/>
    <w:rsid w:val="7EA655BD"/>
    <w:rsid w:val="7EA73F3D"/>
    <w:rsid w:val="7EB50157"/>
    <w:rsid w:val="7EE254D4"/>
    <w:rsid w:val="7F1254A6"/>
    <w:rsid w:val="7F187E99"/>
    <w:rsid w:val="7F1C0B34"/>
    <w:rsid w:val="7F2C21C7"/>
    <w:rsid w:val="7F446C78"/>
    <w:rsid w:val="7F480E70"/>
    <w:rsid w:val="7F4C286A"/>
    <w:rsid w:val="7F52307E"/>
    <w:rsid w:val="7F6B4040"/>
    <w:rsid w:val="7F82847F"/>
    <w:rsid w:val="7F962014"/>
    <w:rsid w:val="7FA62FD2"/>
    <w:rsid w:val="7FB00303"/>
    <w:rsid w:val="7FD512CC"/>
    <w:rsid w:val="7FE35310"/>
    <w:rsid w:val="7FEDFCFD"/>
    <w:rsid w:val="7FFDF04D"/>
    <w:rsid w:val="FBF9AA23"/>
    <w:rsid w:val="FD6F085F"/>
    <w:rsid w:val="FFF30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1"/>
    <w:qFormat/>
    <w:uiPriority w:val="9"/>
    <w:pPr>
      <w:keepNext/>
      <w:keepLines/>
      <w:spacing w:before="260" w:after="260" w:line="416" w:lineRule="auto"/>
      <w:outlineLvl w:val="1"/>
    </w:pPr>
    <w:rPr>
      <w:rFonts w:ascii="Cambria" w:hAnsi="Cambria"/>
      <w:b/>
      <w:bCs/>
      <w:kern w:val="0"/>
      <w:sz w:val="32"/>
      <w:szCs w:val="32"/>
    </w:rPr>
  </w:style>
  <w:style w:type="paragraph" w:styleId="3">
    <w:name w:val="heading 3"/>
    <w:basedOn w:val="1"/>
    <w:next w:val="1"/>
    <w:qFormat/>
    <w:uiPriority w:val="9"/>
    <w:pPr>
      <w:spacing w:beforeAutospacing="1" w:afterAutospacing="1"/>
      <w:jc w:val="left"/>
      <w:outlineLvl w:val="2"/>
    </w:pPr>
    <w:rPr>
      <w:rFonts w:hint="eastAsia" w:ascii="宋体" w:hAnsi="宋体"/>
      <w:b/>
      <w:bCs/>
      <w:kern w:val="0"/>
      <w:sz w:val="27"/>
      <w:szCs w:val="27"/>
    </w:rPr>
  </w:style>
  <w:style w:type="paragraph" w:styleId="4">
    <w:name w:val="heading 4"/>
    <w:basedOn w:val="1"/>
    <w:next w:val="1"/>
    <w:unhideWhenUsed/>
    <w:qFormat/>
    <w:uiPriority w:val="9"/>
    <w:pPr>
      <w:spacing w:before="100" w:beforeAutospacing="1" w:after="100" w:afterAutospacing="1"/>
      <w:jc w:val="left"/>
      <w:outlineLvl w:val="3"/>
    </w:pPr>
    <w:rPr>
      <w:rFonts w:hint="eastAsia" w:ascii="宋体" w:hAnsi="宋体"/>
      <w:b/>
      <w:bCs/>
      <w:kern w:val="0"/>
      <w:sz w:val="2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0"/>
    <w:unhideWhenUsed/>
    <w:qFormat/>
    <w:uiPriority w:val="99"/>
    <w:pPr>
      <w:jc w:val="left"/>
    </w:pPr>
  </w:style>
  <w:style w:type="paragraph" w:styleId="6">
    <w:name w:val="Balloon Text"/>
    <w:basedOn w:val="1"/>
    <w:link w:val="22"/>
    <w:unhideWhenUsed/>
    <w:qFormat/>
    <w:uiPriority w:val="99"/>
    <w:rPr>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5"/>
    <w:next w:val="5"/>
    <w:link w:val="25"/>
    <w:unhideWhenUsed/>
    <w:qFormat/>
    <w:uiPriority w:val="99"/>
    <w:rPr>
      <w:b/>
      <w:bCs/>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rPr>
  </w:style>
  <w:style w:type="character" w:styleId="15">
    <w:name w:val="FollowedHyperlink"/>
    <w:unhideWhenUsed/>
    <w:qFormat/>
    <w:uiPriority w:val="99"/>
    <w:rPr>
      <w:color w:val="954F72"/>
      <w:u w:val="single"/>
    </w:rPr>
  </w:style>
  <w:style w:type="character" w:styleId="16">
    <w:name w:val="line number"/>
    <w:unhideWhenUsed/>
    <w:qFormat/>
    <w:uiPriority w:val="99"/>
  </w:style>
  <w:style w:type="character" w:styleId="17">
    <w:name w:val="Hyperlink"/>
    <w:unhideWhenUsed/>
    <w:qFormat/>
    <w:uiPriority w:val="99"/>
    <w:rPr>
      <w:color w:val="0563C1"/>
      <w:u w:val="single"/>
    </w:rPr>
  </w:style>
  <w:style w:type="character" w:styleId="18">
    <w:name w:val="annotation reference"/>
    <w:unhideWhenUsed/>
    <w:qFormat/>
    <w:uiPriority w:val="0"/>
    <w:rPr>
      <w:sz w:val="21"/>
      <w:szCs w:val="21"/>
    </w:rPr>
  </w:style>
  <w:style w:type="character" w:styleId="19">
    <w:name w:val="footnote reference"/>
    <w:unhideWhenUsed/>
    <w:qFormat/>
    <w:uiPriority w:val="0"/>
    <w:rPr>
      <w:vertAlign w:val="superscript"/>
    </w:rPr>
  </w:style>
  <w:style w:type="character" w:customStyle="1" w:styleId="20">
    <w:name w:val="批注文字 字符"/>
    <w:link w:val="5"/>
    <w:qFormat/>
    <w:uiPriority w:val="99"/>
    <w:rPr>
      <w:rFonts w:ascii="Times New Roman" w:hAnsi="Times New Roman" w:eastAsia="宋体" w:cs="Times New Roman"/>
      <w:szCs w:val="24"/>
    </w:rPr>
  </w:style>
  <w:style w:type="character" w:customStyle="1" w:styleId="21">
    <w:name w:val="标题 2 字符"/>
    <w:link w:val="2"/>
    <w:qFormat/>
    <w:uiPriority w:val="9"/>
    <w:rPr>
      <w:rFonts w:ascii="Cambria" w:hAnsi="Cambria" w:eastAsia="宋体" w:cs="Times New Roman"/>
      <w:b/>
      <w:bCs/>
      <w:kern w:val="0"/>
      <w:sz w:val="32"/>
      <w:szCs w:val="32"/>
    </w:rPr>
  </w:style>
  <w:style w:type="character" w:customStyle="1" w:styleId="22">
    <w:name w:val="批注框文本 字符"/>
    <w:link w:val="6"/>
    <w:semiHidden/>
    <w:qFormat/>
    <w:uiPriority w:val="99"/>
    <w:rPr>
      <w:rFonts w:ascii="Times New Roman" w:hAnsi="Times New Roman" w:eastAsia="宋体" w:cs="Times New Roman"/>
      <w:sz w:val="18"/>
      <w:szCs w:val="18"/>
    </w:rPr>
  </w:style>
  <w:style w:type="character" w:customStyle="1" w:styleId="23">
    <w:name w:val="页脚 字符"/>
    <w:link w:val="7"/>
    <w:qFormat/>
    <w:uiPriority w:val="99"/>
    <w:rPr>
      <w:sz w:val="18"/>
      <w:szCs w:val="18"/>
    </w:rPr>
  </w:style>
  <w:style w:type="character" w:customStyle="1" w:styleId="24">
    <w:name w:val="页眉 字符"/>
    <w:link w:val="8"/>
    <w:qFormat/>
    <w:uiPriority w:val="99"/>
    <w:rPr>
      <w:sz w:val="18"/>
      <w:szCs w:val="18"/>
    </w:rPr>
  </w:style>
  <w:style w:type="character" w:customStyle="1" w:styleId="25">
    <w:name w:val="批注主题 字符"/>
    <w:link w:val="10"/>
    <w:semiHidden/>
    <w:qFormat/>
    <w:uiPriority w:val="99"/>
    <w:rPr>
      <w:rFonts w:ascii="Times New Roman" w:hAnsi="Times New Roman" w:eastAsia="宋体" w:cs="Times New Roman"/>
      <w:b/>
      <w:bCs/>
      <w:szCs w:val="24"/>
    </w:rPr>
  </w:style>
  <w:style w:type="character" w:customStyle="1" w:styleId="26">
    <w:name w:val="王奕，内文 Char"/>
    <w:link w:val="27"/>
    <w:qFormat/>
    <w:uiPriority w:val="0"/>
    <w:rPr>
      <w:rFonts w:ascii="Times New Roman" w:hAnsi="Times New Roman" w:eastAsia="宋体" w:cs="MS Shell Dlg"/>
      <w:color w:val="000000"/>
      <w:kern w:val="0"/>
      <w:sz w:val="24"/>
      <w:szCs w:val="24"/>
    </w:rPr>
  </w:style>
  <w:style w:type="paragraph" w:customStyle="1" w:styleId="27">
    <w:name w:val="王奕，内文"/>
    <w:basedOn w:val="9"/>
    <w:link w:val="26"/>
    <w:qFormat/>
    <w:uiPriority w:val="0"/>
    <w:pPr>
      <w:widowControl/>
      <w:spacing w:line="360" w:lineRule="auto"/>
      <w:ind w:firstLine="200" w:firstLineChars="200"/>
    </w:pPr>
    <w:rPr>
      <w:color w:val="000000"/>
      <w:kern w:val="0"/>
    </w:rPr>
  </w:style>
  <w:style w:type="character" w:customStyle="1" w:styleId="28">
    <w:name w:val="未处理的提及2"/>
    <w:unhideWhenUsed/>
    <w:qFormat/>
    <w:uiPriority w:val="99"/>
    <w:rPr>
      <w:color w:val="605E5C"/>
      <w:shd w:val="clear" w:color="auto" w:fill="E1DFDD"/>
    </w:rPr>
  </w:style>
  <w:style w:type="character" w:customStyle="1" w:styleId="29">
    <w:name w:val="f101"/>
    <w:qFormat/>
    <w:uiPriority w:val="0"/>
    <w:rPr>
      <w:sz w:val="24"/>
      <w:szCs w:val="24"/>
    </w:rPr>
  </w:style>
  <w:style w:type="character" w:customStyle="1" w:styleId="30">
    <w:name w:val="未处理的提及1"/>
    <w:unhideWhenUsed/>
    <w:qFormat/>
    <w:uiPriority w:val="99"/>
    <w:rPr>
      <w:color w:val="605E5C"/>
      <w:shd w:val="clear" w:color="auto" w:fill="E1DFDD"/>
    </w:rPr>
  </w:style>
  <w:style w:type="paragraph" w:customStyle="1" w:styleId="31">
    <w:name w:val="_Style 22"/>
    <w:basedOn w:val="1"/>
    <w:next w:val="32"/>
    <w:qFormat/>
    <w:uiPriority w:val="99"/>
    <w:pPr>
      <w:ind w:firstLine="420" w:firstLineChars="200"/>
    </w:pPr>
    <w:rPr>
      <w:color w:val="000000"/>
      <w:sz w:val="28"/>
    </w:rPr>
  </w:style>
  <w:style w:type="paragraph" w:customStyle="1" w:styleId="32">
    <w:name w:val="列出段落1"/>
    <w:basedOn w:val="1"/>
    <w:qFormat/>
    <w:uiPriority w:val="34"/>
    <w:pPr>
      <w:ind w:firstLine="420" w:firstLineChars="200"/>
    </w:pPr>
  </w:style>
  <w:style w:type="paragraph" w:customStyle="1" w:styleId="33">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34">
    <w:name w:val="修订3"/>
    <w:unhideWhenUsed/>
    <w:qFormat/>
    <w:uiPriority w:val="99"/>
    <w:rPr>
      <w:rFonts w:ascii="Times New Roman" w:hAnsi="Times New Roman" w:eastAsia="宋体" w:cs="Times New Roman"/>
      <w:kern w:val="2"/>
      <w:sz w:val="21"/>
      <w:szCs w:val="24"/>
      <w:lang w:val="en-US" w:eastAsia="zh-CN" w:bidi="ar-SA"/>
    </w:rPr>
  </w:style>
  <w:style w:type="paragraph" w:customStyle="1" w:styleId="35">
    <w:name w:val="Default"/>
    <w:qFormat/>
    <w:uiPriority w:val="0"/>
    <w:pPr>
      <w:widowControl w:val="0"/>
      <w:autoSpaceDE w:val="0"/>
      <w:autoSpaceDN w:val="0"/>
      <w:adjustRightInd w:val="0"/>
    </w:pPr>
    <w:rPr>
      <w:rFonts w:ascii="Times New Roman" w:hAnsi="Times New Roman" w:eastAsia="等线" w:cs="Times New Roman"/>
      <w:color w:val="000000"/>
      <w:sz w:val="24"/>
      <w:szCs w:val="24"/>
      <w:lang w:val="en-US" w:eastAsia="zh-CN" w:bidi="ar-SA"/>
    </w:rPr>
  </w:style>
  <w:style w:type="paragraph" w:customStyle="1" w:styleId="36">
    <w:name w:val="修订2"/>
    <w:semiHidden/>
    <w:qFormat/>
    <w:uiPriority w:val="99"/>
    <w:rPr>
      <w:rFonts w:ascii="Times New Roman" w:hAnsi="Times New Roman" w:eastAsia="宋体" w:cs="Times New Roman"/>
      <w:kern w:val="2"/>
      <w:sz w:val="21"/>
      <w:szCs w:val="24"/>
      <w:lang w:val="en-US" w:eastAsia="zh-CN" w:bidi="ar-SA"/>
    </w:rPr>
  </w:style>
  <w:style w:type="paragraph" w:styleId="37">
    <w:name w:val="List Paragraph"/>
    <w:basedOn w:val="1"/>
    <w:qFormat/>
    <w:uiPriority w:val="34"/>
    <w:pPr>
      <w:ind w:firstLine="420" w:firstLineChars="200"/>
    </w:pPr>
    <w:rPr>
      <w:rFonts w:ascii="Calibri" w:hAnsi="Calibri"/>
      <w:szCs w:val="22"/>
    </w:rPr>
  </w:style>
  <w:style w:type="paragraph" w:customStyle="1" w:styleId="38">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1495</Words>
  <Characters>8525</Characters>
  <Lines>71</Lines>
  <Paragraphs>19</Paragraphs>
  <TotalTime>165</TotalTime>
  <ScaleCrop>false</ScaleCrop>
  <LinksUpToDate>false</LinksUpToDate>
  <CharactersWithSpaces>10001</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2024-05-16T11:10:00Z</dcterms:created>
  <dc:creator>Ren.Jia(任 佳)</dc:creator>
  <cp:lastModifiedBy>王朝壹</cp:lastModifiedBy>
  <cp:lastPrinted>2024-05-23T10:05:00Z</cp:lastPrinted>
  <dcterms:modified xsi:type="dcterms:W3CDTF">2026-07-27T16:04:20Z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158EA91D32DF487C9BBAD651363A4238_13</vt:lpwstr>
  </property>
  <property fmtid="{D5CDD505-2E9C-101B-9397-08002B2CF9AE}" pid="4" name="KSOTemplateDocerSaveRecord">
    <vt:lpwstr>eyJoZGlkIjoiYTM5ZjdiYWNjMjkyMGJiNWZjYjZjYmU1M2MyNTYzODQiLCJ1c2VySWQiOiIxMTk4NTg3NTIyIn0=</vt:lpwstr>
  </property>
</Properties>
</file>