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6A569">
      <w:pPr>
        <w:spacing w:line="600" w:lineRule="exact"/>
        <w:jc w:val="center"/>
        <w:rPr>
          <w:rFonts w:eastAsia="方正小标宋简体"/>
          <w:bCs/>
          <w:sz w:val="44"/>
          <w:szCs w:val="44"/>
        </w:rPr>
      </w:pPr>
      <w:r>
        <w:rPr>
          <w:rFonts w:hint="eastAsia" w:eastAsia="方正小标宋简体"/>
          <w:bCs/>
          <w:sz w:val="44"/>
          <w:szCs w:val="44"/>
        </w:rPr>
        <w:t>γ放射免疫计数器</w:t>
      </w:r>
      <w:r>
        <w:rPr>
          <w:rFonts w:eastAsia="方正小标宋简体"/>
          <w:bCs/>
          <w:sz w:val="44"/>
          <w:szCs w:val="44"/>
        </w:rPr>
        <w:t>注册审查指导原则</w:t>
      </w:r>
    </w:p>
    <w:p w14:paraId="278692B6">
      <w:pPr>
        <w:spacing w:line="600" w:lineRule="exact"/>
        <w:jc w:val="center"/>
        <w:rPr>
          <w:rFonts w:eastAsia="方正小标宋简体"/>
          <w:bCs/>
          <w:sz w:val="44"/>
          <w:szCs w:val="44"/>
        </w:rPr>
      </w:pPr>
      <w:r>
        <w:rPr>
          <w:rFonts w:hint="eastAsia" w:eastAsia="方正小标宋简体"/>
          <w:bCs/>
          <w:sz w:val="44"/>
          <w:szCs w:val="44"/>
        </w:rPr>
        <w:t>（征求意见稿）</w:t>
      </w:r>
    </w:p>
    <w:p w14:paraId="32DEECDB">
      <w:pPr>
        <w:spacing w:line="520" w:lineRule="exact"/>
        <w:ind w:firstLine="640"/>
        <w:jc w:val="center"/>
        <w:rPr>
          <w:rFonts w:hint="eastAsia" w:eastAsia="方正小标宋简体"/>
          <w:spacing w:val="-6"/>
          <w:sz w:val="44"/>
          <w:szCs w:val="44"/>
        </w:rPr>
      </w:pPr>
    </w:p>
    <w:p w14:paraId="01F7E3E8">
      <w:pPr>
        <w:pStyle w:val="8"/>
        <w:rPr>
          <w:rFonts w:hint="eastAsia" w:ascii="Times New Roman" w:hAnsi="Times New Roman"/>
        </w:rPr>
      </w:pPr>
    </w:p>
    <w:p w14:paraId="73E7F67C">
      <w:pPr>
        <w:spacing w:line="520" w:lineRule="exact"/>
        <w:ind w:firstLine="640" w:firstLineChars="200"/>
        <w:rPr>
          <w:rFonts w:hint="eastAsia" w:eastAsia="仿宋_GB2312"/>
          <w:sz w:val="32"/>
          <w:szCs w:val="32"/>
        </w:rPr>
      </w:pPr>
      <w:r>
        <w:rPr>
          <w:rFonts w:hint="eastAsia" w:eastAsia="仿宋_GB2312"/>
          <w:sz w:val="32"/>
          <w:szCs w:val="32"/>
        </w:rPr>
        <w:t>本指导原则旨在指导注册申请人对γ放射免疫计数器注册申报资料的准备及撰写，同时也为技术审评部门审查注册申报资料提供参考。</w:t>
      </w:r>
    </w:p>
    <w:p w14:paraId="22504A58">
      <w:pPr>
        <w:spacing w:line="520" w:lineRule="exact"/>
        <w:ind w:firstLine="640" w:firstLineChars="200"/>
        <w:rPr>
          <w:rFonts w:hint="eastAsia" w:eastAsia="仿宋_GB2312"/>
          <w:sz w:val="32"/>
          <w:szCs w:val="32"/>
        </w:rPr>
      </w:pPr>
      <w:r>
        <w:rPr>
          <w:rFonts w:hint="eastAsia" w:eastAsia="仿宋_GB2312"/>
          <w:sz w:val="32"/>
          <w:szCs w:val="32"/>
          <w:lang w:val="en-US" w:eastAsia="zh-CN"/>
        </w:rPr>
        <w:t>哦</w:t>
      </w:r>
      <w:r>
        <w:rPr>
          <w:rFonts w:hint="eastAsia" w:eastAsia="仿宋_GB2312"/>
          <w:sz w:val="32"/>
          <w:szCs w:val="32"/>
        </w:rPr>
        <w:t>依据产品的具体特性确定其中内容是否适用。若不适用，需具体阐述理由及相应的科学依据，并依据产品的具体特性对注册申报资料的内容进行充实和细化。</w:t>
      </w:r>
    </w:p>
    <w:p w14:paraId="45A90B26">
      <w:pPr>
        <w:spacing w:line="520" w:lineRule="exact"/>
        <w:ind w:firstLine="640" w:firstLineChars="200"/>
        <w:rPr>
          <w:rFonts w:hint="eastAsia" w:eastAsia="仿宋_GB2312"/>
          <w:sz w:val="32"/>
          <w:szCs w:val="32"/>
        </w:rPr>
      </w:pPr>
      <w:r>
        <w:rPr>
          <w:rFonts w:hint="eastAsia" w:eastAsia="仿宋_GB2312"/>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2C4D4B20">
      <w:pPr>
        <w:spacing w:line="520" w:lineRule="exact"/>
        <w:ind w:firstLine="640" w:firstLineChars="200"/>
        <w:rPr>
          <w:rFonts w:hint="eastAsia" w:eastAsia="仿宋_GB2312"/>
          <w:sz w:val="32"/>
          <w:szCs w:val="32"/>
        </w:rPr>
      </w:pPr>
      <w:r>
        <w:rPr>
          <w:rFonts w:hint="eastAsia" w:eastAsia="仿宋_GB2312"/>
          <w:sz w:val="32"/>
          <w:szCs w:val="32"/>
        </w:rPr>
        <w:t>本指导原则是在现行法规和标准体系以及当前认知水平下制定，随着法规和标准的不断完善，以及科学技术的不断发展，相关内容也将适时进行调整。</w:t>
      </w:r>
    </w:p>
    <w:p w14:paraId="4BB402C8">
      <w:pPr>
        <w:numPr>
          <w:ilvl w:val="0"/>
          <w:numId w:val="1"/>
        </w:numPr>
        <w:spacing w:line="520" w:lineRule="exact"/>
        <w:ind w:firstLine="640" w:firstLineChars="200"/>
        <w:rPr>
          <w:rFonts w:eastAsia="黑体"/>
          <w:kern w:val="44"/>
          <w:sz w:val="32"/>
          <w:szCs w:val="32"/>
        </w:rPr>
      </w:pPr>
      <w:r>
        <w:rPr>
          <w:rFonts w:eastAsia="黑体"/>
          <w:kern w:val="44"/>
          <w:sz w:val="32"/>
          <w:szCs w:val="32"/>
        </w:rPr>
        <w:t>适用范围</w:t>
      </w:r>
    </w:p>
    <w:p w14:paraId="47645FC4">
      <w:pPr>
        <w:spacing w:line="520" w:lineRule="exact"/>
        <w:ind w:firstLine="640" w:firstLineChars="200"/>
        <w:rPr>
          <w:rFonts w:eastAsia="仿宋_GB2312"/>
          <w:sz w:val="32"/>
          <w:szCs w:val="32"/>
        </w:rPr>
      </w:pPr>
      <w:r>
        <w:rPr>
          <w:rFonts w:eastAsia="仿宋_GB2312"/>
          <w:sz w:val="32"/>
          <w:szCs w:val="32"/>
        </w:rPr>
        <w:t>本指导原则适用于利用</w:t>
      </w:r>
      <w:r>
        <w:rPr>
          <w:rFonts w:hint="eastAsia" w:eastAsia="仿宋_GB2312"/>
          <w:sz w:val="32"/>
          <w:szCs w:val="32"/>
        </w:rPr>
        <w:t>碘-</w:t>
      </w:r>
      <w:r>
        <w:rPr>
          <w:rFonts w:eastAsia="仿宋_GB2312"/>
          <w:sz w:val="32"/>
          <w:szCs w:val="32"/>
        </w:rPr>
        <w:t>125</w:t>
      </w:r>
      <w:r>
        <w:rPr>
          <w:rFonts w:hint="eastAsia" w:eastAsia="仿宋_GB2312"/>
          <w:sz w:val="32"/>
          <w:szCs w:val="32"/>
        </w:rPr>
        <w:t>等放射性核素发出的</w:t>
      </w:r>
      <w:r>
        <w:rPr>
          <w:rFonts w:eastAsia="仿宋_GB2312"/>
          <w:sz w:val="32"/>
          <w:szCs w:val="32"/>
        </w:rPr>
        <w:t>γ</w:t>
      </w:r>
      <w:r>
        <w:rPr>
          <w:rFonts w:hint="eastAsia" w:eastAsia="仿宋_GB2312"/>
          <w:sz w:val="32"/>
          <w:szCs w:val="32"/>
        </w:rPr>
        <w:t>放射性射线进行测定的γ放射免疫计数器注册审查。γ放射免疫计数器在临床上与放免试剂盒配合使用，用于人体样本中待测物的定性和</w:t>
      </w:r>
      <w:r>
        <w:rPr>
          <w:rFonts w:eastAsia="仿宋_GB2312"/>
          <w:sz w:val="32"/>
          <w:szCs w:val="32"/>
        </w:rPr>
        <w:t>/</w:t>
      </w:r>
      <w:r>
        <w:rPr>
          <w:rFonts w:hint="eastAsia" w:eastAsia="仿宋_GB2312"/>
          <w:sz w:val="32"/>
          <w:szCs w:val="32"/>
        </w:rPr>
        <w:t>或定量分析</w:t>
      </w:r>
      <w:r>
        <w:rPr>
          <w:rFonts w:eastAsia="仿宋_GB2312"/>
          <w:sz w:val="32"/>
          <w:szCs w:val="32"/>
        </w:rPr>
        <w:t>。</w:t>
      </w:r>
      <w:r>
        <w:rPr>
          <w:rFonts w:hint="eastAsia" w:eastAsia="仿宋_GB2312"/>
          <w:sz w:val="32"/>
          <w:szCs w:val="32"/>
        </w:rPr>
        <w:t>该</w:t>
      </w:r>
      <w:r>
        <w:rPr>
          <w:rFonts w:eastAsia="仿宋_GB2312"/>
          <w:sz w:val="32"/>
          <w:szCs w:val="32"/>
        </w:rPr>
        <w:t>产品</w:t>
      </w:r>
      <w:r>
        <w:rPr>
          <w:rFonts w:hint="eastAsia" w:eastAsia="仿宋_GB2312"/>
          <w:sz w:val="32"/>
          <w:szCs w:val="32"/>
        </w:rPr>
        <w:t>的</w:t>
      </w:r>
      <w:r>
        <w:rPr>
          <w:rFonts w:eastAsia="仿宋_GB2312"/>
          <w:sz w:val="32"/>
          <w:szCs w:val="32"/>
        </w:rPr>
        <w:t>管理类别</w:t>
      </w:r>
      <w:r>
        <w:rPr>
          <w:rFonts w:hint="eastAsia" w:eastAsia="仿宋_GB2312"/>
          <w:sz w:val="32"/>
          <w:szCs w:val="32"/>
        </w:rPr>
        <w:t>为</w:t>
      </w:r>
      <w:r>
        <w:rPr>
          <w:rFonts w:eastAsia="仿宋_GB2312"/>
          <w:sz w:val="32"/>
          <w:szCs w:val="32"/>
        </w:rPr>
        <w:t>Ⅱ类，</w:t>
      </w:r>
      <w:r>
        <w:rPr>
          <w:rFonts w:hint="eastAsia" w:eastAsia="仿宋_GB2312"/>
          <w:sz w:val="32"/>
          <w:szCs w:val="32"/>
        </w:rPr>
        <w:t>产品</w:t>
      </w:r>
      <w:r>
        <w:rPr>
          <w:rFonts w:eastAsia="仿宋_GB2312"/>
          <w:sz w:val="32"/>
          <w:szCs w:val="32"/>
        </w:rPr>
        <w:t>分类编码</w:t>
      </w:r>
      <w:r>
        <w:rPr>
          <w:rFonts w:hint="eastAsia" w:eastAsia="仿宋_GB2312"/>
          <w:sz w:val="32"/>
          <w:szCs w:val="32"/>
        </w:rPr>
        <w:t>为22-0</w:t>
      </w:r>
      <w:r>
        <w:rPr>
          <w:rFonts w:eastAsia="仿宋_GB2312"/>
          <w:sz w:val="32"/>
          <w:szCs w:val="32"/>
        </w:rPr>
        <w:t>8</w:t>
      </w:r>
      <w:r>
        <w:rPr>
          <w:rFonts w:hint="eastAsia" w:eastAsia="仿宋_GB2312"/>
          <w:sz w:val="32"/>
          <w:szCs w:val="32"/>
        </w:rPr>
        <w:t>-01。</w:t>
      </w:r>
    </w:p>
    <w:p w14:paraId="5FAED295">
      <w:pPr>
        <w:numPr>
          <w:ilvl w:val="0"/>
          <w:numId w:val="2"/>
        </w:numPr>
        <w:spacing w:line="520" w:lineRule="exact"/>
        <w:ind w:firstLine="640" w:firstLineChars="200"/>
        <w:rPr>
          <w:rFonts w:eastAsia="黑体"/>
          <w:bCs/>
          <w:kern w:val="44"/>
          <w:sz w:val="32"/>
          <w:szCs w:val="32"/>
        </w:rPr>
      </w:pPr>
      <w:bookmarkStart w:id="0" w:name="OLE_LINK1"/>
      <w:r>
        <w:rPr>
          <w:rFonts w:hint="eastAsia" w:eastAsia="黑体"/>
          <w:bCs/>
          <w:kern w:val="44"/>
          <w:sz w:val="32"/>
          <w:szCs w:val="32"/>
        </w:rPr>
        <w:t>注册</w:t>
      </w:r>
      <w:r>
        <w:rPr>
          <w:rFonts w:eastAsia="黑体"/>
          <w:bCs/>
          <w:kern w:val="44"/>
          <w:sz w:val="32"/>
          <w:szCs w:val="32"/>
        </w:rPr>
        <w:t>审查要点</w:t>
      </w:r>
    </w:p>
    <w:p w14:paraId="46FEA9A2">
      <w:pPr>
        <w:spacing w:line="520" w:lineRule="exact"/>
        <w:ind w:firstLine="640" w:firstLineChars="200"/>
        <w:rPr>
          <w:rFonts w:hint="eastAsia" w:eastAsia="楷体_GB2312"/>
          <w:bCs/>
          <w:sz w:val="32"/>
          <w:szCs w:val="32"/>
        </w:rPr>
      </w:pPr>
      <w:r>
        <w:rPr>
          <w:rFonts w:hint="eastAsia" w:eastAsia="楷体_GB2312"/>
          <w:bCs/>
          <w:sz w:val="32"/>
          <w:szCs w:val="32"/>
        </w:rPr>
        <w:t>（一）监管信息</w:t>
      </w:r>
    </w:p>
    <w:bookmarkEnd w:id="0"/>
    <w:p w14:paraId="4BFC9CA3">
      <w:pPr>
        <w:spacing w:line="520" w:lineRule="exact"/>
        <w:ind w:firstLine="640" w:firstLineChars="200"/>
        <w:rPr>
          <w:rFonts w:eastAsia="仿宋_GB2312"/>
          <w:sz w:val="32"/>
          <w:szCs w:val="32"/>
        </w:rPr>
      </w:pPr>
      <w:r>
        <w:rPr>
          <w:rFonts w:eastAsia="仿宋_GB2312"/>
          <w:sz w:val="32"/>
          <w:szCs w:val="32"/>
        </w:rPr>
        <w:t>注册申请人应提供产品名称、分类编码、注册单元划分等；产品列表、既往沟通记录、主文档授权</w:t>
      </w:r>
      <w:r>
        <w:rPr>
          <w:rFonts w:hint="eastAsia" w:eastAsia="仿宋_GB2312"/>
          <w:sz w:val="32"/>
          <w:szCs w:val="32"/>
        </w:rPr>
        <w:t>信息</w:t>
      </w:r>
      <w:r>
        <w:rPr>
          <w:rFonts w:eastAsia="仿宋_GB2312"/>
          <w:sz w:val="32"/>
          <w:szCs w:val="32"/>
        </w:rPr>
        <w:t>及其他管理信息等。</w:t>
      </w:r>
    </w:p>
    <w:p w14:paraId="2737C9F2">
      <w:pPr>
        <w:spacing w:line="520" w:lineRule="exact"/>
        <w:ind w:firstLine="640"/>
        <w:rPr>
          <w:rFonts w:hint="eastAsia" w:eastAsia="仿宋_GB2312"/>
          <w:sz w:val="32"/>
          <w:szCs w:val="32"/>
        </w:rPr>
      </w:pPr>
      <w:r>
        <w:rPr>
          <w:rFonts w:hint="eastAsia" w:eastAsia="仿宋_GB2312"/>
          <w:sz w:val="32"/>
          <w:szCs w:val="32"/>
        </w:rPr>
        <w:t>1.产品名称</w:t>
      </w:r>
    </w:p>
    <w:p w14:paraId="5DBDA911">
      <w:pPr>
        <w:spacing w:line="520" w:lineRule="exact"/>
        <w:ind w:firstLine="640"/>
        <w:rPr>
          <w:rFonts w:hint="eastAsia" w:eastAsia="仿宋_GB2312"/>
          <w:sz w:val="32"/>
          <w:szCs w:val="32"/>
        </w:rPr>
      </w:pPr>
      <w:r>
        <w:rPr>
          <w:rFonts w:hint="eastAsia" w:eastAsia="仿宋_GB2312"/>
          <w:sz w:val="32"/>
          <w:szCs w:val="32"/>
        </w:rPr>
        <w:t>产品的命名应符合国家关于医疗器械命名规则的要求，建议参考《医疗器械分类目录》中的产品名称举例确定命名，一般为γ放射免疫计数器或全自动γ放射免疫计数器。可根据《医疗器械通用名称命名规则》《临床检验器械通用名称命名指导原则》的要求，参考《医疗器械分类目录》中的产品名称举例确定命名，并详细描述确定依据。</w:t>
      </w:r>
    </w:p>
    <w:p w14:paraId="45A6B61C">
      <w:pPr>
        <w:spacing w:line="520" w:lineRule="exact"/>
        <w:ind w:firstLine="640"/>
        <w:rPr>
          <w:rFonts w:hint="eastAsia" w:eastAsia="仿宋_GB2312"/>
          <w:sz w:val="32"/>
          <w:szCs w:val="32"/>
        </w:rPr>
      </w:pPr>
      <w:r>
        <w:rPr>
          <w:rFonts w:hint="eastAsia" w:eastAsia="仿宋_GB2312"/>
          <w:sz w:val="32"/>
          <w:szCs w:val="32"/>
        </w:rPr>
        <w:t>2.分类编码</w:t>
      </w:r>
    </w:p>
    <w:p w14:paraId="5E940E5D">
      <w:pPr>
        <w:spacing w:line="520" w:lineRule="exact"/>
        <w:ind w:firstLine="640"/>
        <w:rPr>
          <w:rFonts w:hint="eastAsia" w:eastAsia="仿宋_GB2312"/>
          <w:sz w:val="32"/>
          <w:szCs w:val="32"/>
          <w:lang w:val="en-US" w:eastAsia="zh-CN"/>
        </w:rPr>
      </w:pPr>
      <w:r>
        <w:rPr>
          <w:rFonts w:hint="eastAsia" w:eastAsia="仿宋_GB2312"/>
          <w:sz w:val="32"/>
          <w:szCs w:val="32"/>
          <w:lang w:val="en-US" w:eastAsia="zh-CN"/>
        </w:rPr>
        <w:t>根据《医疗器械分类目录》，</w:t>
      </w:r>
      <w:r>
        <w:rPr>
          <w:rFonts w:hint="eastAsia" w:eastAsia="仿宋_GB2312"/>
          <w:sz w:val="32"/>
          <w:szCs w:val="32"/>
        </w:rPr>
        <w:t>γ放射免疫计数器</w:t>
      </w:r>
      <w:r>
        <w:rPr>
          <w:rFonts w:hint="eastAsia" w:eastAsia="仿宋_GB2312"/>
          <w:sz w:val="32"/>
          <w:szCs w:val="32"/>
          <w:lang w:val="en-US" w:eastAsia="zh-CN"/>
        </w:rPr>
        <w:t>管理类别为Ⅱ类，分类编码为22-08-01。</w:t>
      </w:r>
    </w:p>
    <w:p w14:paraId="0EBF2A1B">
      <w:pPr>
        <w:spacing w:line="520" w:lineRule="exact"/>
        <w:ind w:firstLine="640"/>
        <w:rPr>
          <w:rFonts w:hint="eastAsia" w:eastAsia="仿宋_GB2312"/>
          <w:sz w:val="32"/>
          <w:szCs w:val="32"/>
        </w:rPr>
      </w:pPr>
      <w:r>
        <w:rPr>
          <w:rFonts w:hint="eastAsia" w:eastAsia="仿宋_GB2312"/>
          <w:sz w:val="32"/>
          <w:szCs w:val="32"/>
          <w:lang w:val="en-US" w:eastAsia="zh-CN"/>
        </w:rPr>
        <w:t>3</w:t>
      </w:r>
      <w:r>
        <w:rPr>
          <w:rFonts w:hint="eastAsia" w:eastAsia="仿宋_GB2312"/>
          <w:sz w:val="32"/>
          <w:szCs w:val="32"/>
        </w:rPr>
        <w:t>.注册单元划分的原则和实例</w:t>
      </w:r>
    </w:p>
    <w:p w14:paraId="2C6F548C">
      <w:pPr>
        <w:spacing w:line="520" w:lineRule="exact"/>
        <w:ind w:firstLine="640"/>
        <w:rPr>
          <w:rFonts w:hint="eastAsia" w:eastAsia="仿宋_GB2312"/>
          <w:sz w:val="32"/>
          <w:szCs w:val="32"/>
        </w:rPr>
      </w:pPr>
      <w:r>
        <w:rPr>
          <w:rFonts w:hint="eastAsia" w:eastAsia="仿宋_GB2312"/>
          <w:sz w:val="32"/>
          <w:szCs w:val="32"/>
        </w:rPr>
        <w:t>注册单元划分应符合《医疗器械注册单元划分指导原则》的要求，原则上以产品的技术原理、结构组成、性能指标和适用范围为划分依据。</w:t>
      </w:r>
    </w:p>
    <w:p w14:paraId="4B1AA24A">
      <w:pPr>
        <w:spacing w:line="520" w:lineRule="exact"/>
        <w:ind w:firstLine="640"/>
        <w:rPr>
          <w:rFonts w:hint="eastAsia" w:eastAsia="仿宋_GB2312"/>
          <w:sz w:val="32"/>
          <w:szCs w:val="32"/>
          <w:lang w:val="en"/>
        </w:rPr>
      </w:pPr>
      <w:r>
        <w:rPr>
          <w:rFonts w:hint="eastAsia" w:eastAsia="仿宋_GB2312"/>
          <w:sz w:val="32"/>
          <w:szCs w:val="32"/>
        </w:rPr>
        <w:t>以下情形建议划分为不同注册单元</w:t>
      </w:r>
      <w:r>
        <w:rPr>
          <w:rFonts w:hint="eastAsia" w:eastAsia="仿宋_GB2312"/>
          <w:sz w:val="32"/>
          <w:szCs w:val="32"/>
          <w:lang w:val="en"/>
        </w:rPr>
        <w:t>:</w:t>
      </w:r>
    </w:p>
    <w:p w14:paraId="463C02DC">
      <w:pPr>
        <w:widowControl/>
        <w:spacing w:line="520" w:lineRule="exact"/>
        <w:ind w:right="-67" w:rightChars="-32" w:firstLine="640" w:firstLineChars="200"/>
        <w:rPr>
          <w:rFonts w:eastAsia="仿宋_GB2312"/>
          <w:sz w:val="32"/>
          <w:szCs w:val="32"/>
          <w:lang w:val="en"/>
        </w:rPr>
      </w:pPr>
      <w:r>
        <w:rPr>
          <w:rFonts w:hint="eastAsia" w:eastAsia="仿宋_GB2312"/>
          <w:sz w:val="32"/>
          <w:szCs w:val="32"/>
          <w:lang w:val="en-US" w:eastAsia="zh-CN"/>
        </w:rPr>
        <w:t>3</w:t>
      </w:r>
      <w:r>
        <w:rPr>
          <w:rFonts w:hint="eastAsia" w:eastAsia="仿宋_GB2312"/>
          <w:sz w:val="32"/>
          <w:szCs w:val="32"/>
        </w:rPr>
        <w:t>.</w:t>
      </w:r>
      <w:r>
        <w:rPr>
          <w:rFonts w:eastAsia="仿宋_GB2312"/>
          <w:sz w:val="32"/>
          <w:szCs w:val="32"/>
        </w:rPr>
        <w:t>1</w:t>
      </w:r>
      <w:r>
        <w:rPr>
          <w:rFonts w:hint="eastAsia" w:eastAsia="仿宋_GB2312"/>
          <w:sz w:val="32"/>
          <w:szCs w:val="32"/>
          <w:lang w:val="en"/>
        </w:rPr>
        <w:t>不同自动化程度应划分为不同的注册单元。</w:t>
      </w:r>
    </w:p>
    <w:p w14:paraId="448EFF4F">
      <w:pPr>
        <w:widowControl/>
        <w:spacing w:line="520" w:lineRule="exact"/>
        <w:ind w:right="-67" w:rightChars="-32" w:firstLine="640" w:firstLineChars="200"/>
        <w:rPr>
          <w:rFonts w:hint="eastAsia" w:eastAsia="仿宋_GB2312"/>
          <w:sz w:val="32"/>
          <w:szCs w:val="32"/>
          <w:lang w:val="en"/>
        </w:rPr>
      </w:pPr>
      <w:r>
        <w:rPr>
          <w:rFonts w:hint="eastAsia" w:eastAsia="仿宋_GB2312"/>
          <w:sz w:val="32"/>
          <w:szCs w:val="32"/>
          <w:lang w:val="en-US" w:eastAsia="zh-CN"/>
        </w:rPr>
        <w:t>3</w:t>
      </w:r>
      <w:r>
        <w:rPr>
          <w:rFonts w:hint="eastAsia" w:eastAsia="仿宋_GB2312"/>
          <w:sz w:val="32"/>
          <w:szCs w:val="32"/>
        </w:rPr>
        <w:t>.</w:t>
      </w:r>
      <w:r>
        <w:rPr>
          <w:rFonts w:eastAsia="仿宋_GB2312"/>
          <w:sz w:val="32"/>
          <w:szCs w:val="32"/>
        </w:rPr>
        <w:t>2</w:t>
      </w:r>
      <w:r>
        <w:rPr>
          <w:rFonts w:hint="eastAsia" w:eastAsia="仿宋_GB2312"/>
          <w:sz w:val="32"/>
          <w:szCs w:val="32"/>
          <w:lang w:val="en"/>
        </w:rPr>
        <w:t>不同功能/性能划分为不同的注册单元。</w:t>
      </w:r>
    </w:p>
    <w:p w14:paraId="6D077B68">
      <w:pPr>
        <w:widowControl/>
        <w:spacing w:line="520" w:lineRule="exact"/>
        <w:ind w:right="-67" w:rightChars="-32" w:firstLine="640" w:firstLineChars="200"/>
        <w:rPr>
          <w:rFonts w:hint="eastAsia" w:eastAsia="仿宋_GB2312"/>
          <w:sz w:val="32"/>
          <w:szCs w:val="32"/>
        </w:rPr>
      </w:pPr>
      <w:r>
        <w:rPr>
          <w:rFonts w:hint="eastAsia" w:eastAsia="仿宋_GB2312"/>
          <w:sz w:val="32"/>
          <w:szCs w:val="32"/>
          <w:lang w:val="en-US" w:eastAsia="zh-CN"/>
        </w:rPr>
        <w:t>4</w:t>
      </w:r>
      <w:r>
        <w:rPr>
          <w:rFonts w:hint="eastAsia" w:eastAsia="仿宋_GB2312"/>
          <w:sz w:val="32"/>
          <w:szCs w:val="32"/>
        </w:rPr>
        <w:t>.产品列表</w:t>
      </w:r>
    </w:p>
    <w:p w14:paraId="795D417B">
      <w:pPr>
        <w:widowControl/>
        <w:spacing w:line="520" w:lineRule="exact"/>
        <w:ind w:right="-67" w:rightChars="-32" w:firstLine="640" w:firstLineChars="200"/>
        <w:rPr>
          <w:rFonts w:hint="eastAsia" w:eastAsia="仿宋_GB2312"/>
          <w:sz w:val="32"/>
          <w:szCs w:val="32"/>
        </w:rPr>
      </w:pPr>
      <w:r>
        <w:rPr>
          <w:rFonts w:hint="eastAsia" w:eastAsia="仿宋_GB2312"/>
          <w:sz w:val="32"/>
          <w:szCs w:val="32"/>
        </w:rPr>
        <w:t>以表格形式列出拟申报产品的型号、规格、结构组成、附件，以及每个型号规格的标识（如型号或部件的编号，器械唯一标识等）和描述说明（如通道数、主要功能）。</w:t>
      </w:r>
    </w:p>
    <w:p w14:paraId="7FE1812E">
      <w:pPr>
        <w:widowControl/>
        <w:spacing w:line="520" w:lineRule="exact"/>
        <w:ind w:right="-67" w:rightChars="-32" w:firstLine="640" w:firstLineChars="200"/>
        <w:rPr>
          <w:rFonts w:hint="eastAsia" w:eastAsia="仿宋_GB2312"/>
          <w:sz w:val="32"/>
          <w:szCs w:val="32"/>
        </w:rPr>
      </w:pPr>
      <w:r>
        <w:rPr>
          <w:rFonts w:hint="eastAsia" w:eastAsia="仿宋_GB2312"/>
          <w:sz w:val="32"/>
          <w:szCs w:val="32"/>
          <w:lang w:val="en-US" w:eastAsia="zh-CN"/>
        </w:rPr>
        <w:t>5</w:t>
      </w:r>
      <w:r>
        <w:rPr>
          <w:rFonts w:hint="eastAsia" w:eastAsia="仿宋_GB2312"/>
          <w:sz w:val="32"/>
          <w:szCs w:val="32"/>
        </w:rPr>
        <w:t>.其他管理信息</w:t>
      </w:r>
    </w:p>
    <w:p w14:paraId="26CF9D33">
      <w:pPr>
        <w:widowControl/>
        <w:spacing w:line="520" w:lineRule="exact"/>
        <w:ind w:right="-67" w:rightChars="-32" w:firstLine="640" w:firstLineChars="200"/>
        <w:rPr>
          <w:rFonts w:eastAsia="仿宋_GB2312"/>
          <w:sz w:val="32"/>
          <w:szCs w:val="32"/>
        </w:rPr>
      </w:pPr>
      <w:r>
        <w:rPr>
          <w:rFonts w:hint="eastAsia" w:eastAsia="仿宋_GB2312"/>
          <w:sz w:val="32"/>
          <w:szCs w:val="32"/>
        </w:rPr>
        <w:t>应符合《关于公布医疗器械注册申报资料要求和批准证明文件格式的公告》要求。</w:t>
      </w:r>
    </w:p>
    <w:p w14:paraId="30F74807">
      <w:pPr>
        <w:keepNext/>
        <w:keepLines/>
        <w:spacing w:line="520" w:lineRule="exact"/>
        <w:ind w:firstLine="640" w:firstLineChars="200"/>
        <w:outlineLvl w:val="1"/>
        <w:rPr>
          <w:rFonts w:eastAsia="楷体_GB2312"/>
          <w:sz w:val="32"/>
          <w:szCs w:val="32"/>
        </w:rPr>
      </w:pPr>
      <w:r>
        <w:rPr>
          <w:rFonts w:eastAsia="楷体_GB2312"/>
          <w:sz w:val="32"/>
          <w:szCs w:val="32"/>
        </w:rPr>
        <w:t>（二）综述资料</w:t>
      </w:r>
    </w:p>
    <w:p w14:paraId="5992C01A">
      <w:pPr>
        <w:widowControl/>
        <w:spacing w:line="520" w:lineRule="exact"/>
        <w:ind w:firstLine="616" w:firstLineChars="200"/>
        <w:jc w:val="left"/>
        <w:rPr>
          <w:rFonts w:eastAsia="仿宋_GB2312"/>
          <w:spacing w:val="-6"/>
          <w:sz w:val="32"/>
          <w:szCs w:val="32"/>
        </w:rPr>
      </w:pPr>
      <w:r>
        <w:rPr>
          <w:rFonts w:eastAsia="仿宋_GB2312"/>
          <w:spacing w:val="-6"/>
          <w:sz w:val="32"/>
          <w:szCs w:val="32"/>
        </w:rPr>
        <w:t>1.概述</w:t>
      </w:r>
    </w:p>
    <w:p w14:paraId="675CDD43">
      <w:pPr>
        <w:spacing w:line="520" w:lineRule="exact"/>
        <w:ind w:firstLine="640"/>
        <w:rPr>
          <w:rFonts w:hint="eastAsia" w:eastAsia="仿宋_GB2312" w:cs="仿宋_GB2312"/>
          <w:sz w:val="32"/>
          <w:szCs w:val="32"/>
          <w:lang w:bidi="ar"/>
        </w:rPr>
      </w:pPr>
      <w:r>
        <w:rPr>
          <w:rFonts w:hint="eastAsia" w:eastAsia="仿宋_GB2312" w:cs="仿宋_GB2312"/>
          <w:sz w:val="32"/>
          <w:szCs w:val="32"/>
          <w:lang w:bidi="ar"/>
        </w:rPr>
        <w:t>注册申请人应描述申报产品的名称及确定依据、管理类别、适用范围。若适用，申请人需要提供申报产品的背景信息概述。</w:t>
      </w:r>
    </w:p>
    <w:p w14:paraId="118E3D8D">
      <w:pPr>
        <w:widowControl/>
        <w:spacing w:line="520" w:lineRule="exact"/>
        <w:ind w:firstLine="616" w:firstLineChars="200"/>
        <w:jc w:val="left"/>
        <w:rPr>
          <w:rFonts w:hint="eastAsia" w:eastAsia="仿宋_GB2312"/>
          <w:spacing w:val="-6"/>
          <w:sz w:val="32"/>
          <w:szCs w:val="32"/>
        </w:rPr>
      </w:pPr>
      <w:r>
        <w:rPr>
          <w:rFonts w:hint="eastAsia" w:eastAsia="仿宋_GB2312"/>
          <w:spacing w:val="-6"/>
          <w:sz w:val="32"/>
          <w:szCs w:val="32"/>
        </w:rPr>
        <w:t>2.产品描述</w:t>
      </w:r>
    </w:p>
    <w:p w14:paraId="1E864646">
      <w:pPr>
        <w:widowControl/>
        <w:spacing w:line="520" w:lineRule="exact"/>
        <w:ind w:firstLine="616" w:firstLineChars="200"/>
        <w:jc w:val="left"/>
        <w:rPr>
          <w:rFonts w:hint="eastAsia" w:eastAsia="仿宋_GB2312"/>
          <w:spacing w:val="-6"/>
          <w:sz w:val="32"/>
          <w:szCs w:val="32"/>
        </w:rPr>
      </w:pPr>
      <w:r>
        <w:rPr>
          <w:rFonts w:hint="eastAsia" w:eastAsia="仿宋_GB2312"/>
          <w:spacing w:val="-6"/>
          <w:sz w:val="32"/>
          <w:szCs w:val="32"/>
        </w:rPr>
        <w:t>2.1结构及组成</w:t>
      </w:r>
    </w:p>
    <w:p w14:paraId="244D64C8">
      <w:pPr>
        <w:widowControl/>
        <w:spacing w:line="520" w:lineRule="exact"/>
        <w:ind w:firstLine="616" w:firstLineChars="200"/>
        <w:rPr>
          <w:rFonts w:hint="eastAsia" w:eastAsia="仿宋_GB2312"/>
          <w:spacing w:val="-6"/>
          <w:sz w:val="32"/>
          <w:szCs w:val="32"/>
        </w:rPr>
      </w:pPr>
      <w:r>
        <w:rPr>
          <w:rFonts w:hint="eastAsia" w:eastAsia="仿宋_GB2312"/>
          <w:spacing w:val="-6"/>
          <w:sz w:val="32"/>
          <w:szCs w:val="32"/>
        </w:rPr>
        <w:t>γ放射免疫计数器通常由探测模块、信号处理电路、传动机构、应用软件中的一种或几种组成。申请人应当根据拟申报产品的具体特征详细描述各组成模块、各模块的具体组成结构，并详细描述拟申报产品的主要功能及各组成模块的功能，可以采用图示结合文字描述的形式给予明确说明。</w:t>
      </w:r>
    </w:p>
    <w:p w14:paraId="4CA33F3F">
      <w:pPr>
        <w:widowControl/>
        <w:spacing w:line="520" w:lineRule="exact"/>
        <w:ind w:firstLine="616" w:firstLineChars="200"/>
        <w:rPr>
          <w:rFonts w:hint="eastAsia" w:eastAsia="仿宋_GB2312"/>
          <w:spacing w:val="-6"/>
          <w:sz w:val="32"/>
          <w:szCs w:val="32"/>
        </w:rPr>
      </w:pPr>
      <w:r>
        <w:rPr>
          <w:rFonts w:hint="eastAsia" w:eastAsia="仿宋_GB2312"/>
          <w:spacing w:val="-6"/>
          <w:sz w:val="32"/>
          <w:szCs w:val="32"/>
        </w:rPr>
        <w:t>根据通道数量划分，γ放射免疫计数器有单通道和多通道两种类型。</w:t>
      </w:r>
    </w:p>
    <w:p w14:paraId="620875F9">
      <w:pPr>
        <w:widowControl/>
        <w:spacing w:line="520" w:lineRule="exact"/>
        <w:ind w:firstLine="616" w:firstLineChars="200"/>
        <w:rPr>
          <w:rFonts w:hint="eastAsia" w:eastAsia="仿宋_GB2312"/>
          <w:spacing w:val="-6"/>
          <w:sz w:val="32"/>
          <w:szCs w:val="32"/>
        </w:rPr>
      </w:pPr>
      <w:r>
        <w:rPr>
          <w:rFonts w:hint="eastAsia" w:eastAsia="仿宋_GB2312"/>
          <w:spacing w:val="-6"/>
          <w:sz w:val="32"/>
          <w:szCs w:val="32"/>
        </w:rPr>
        <w:t>根据自动化程度划分，γ放射免疫计数器目前主要有手动、全自动连续检测两种。</w:t>
      </w:r>
    </w:p>
    <w:p w14:paraId="4654C313">
      <w:pPr>
        <w:widowControl/>
        <w:spacing w:line="520" w:lineRule="exact"/>
        <w:ind w:firstLine="616" w:firstLineChars="200"/>
        <w:jc w:val="left"/>
        <w:rPr>
          <w:rFonts w:eastAsia="仿宋_GB2312"/>
          <w:spacing w:val="-6"/>
          <w:sz w:val="32"/>
          <w:szCs w:val="32"/>
        </w:rPr>
      </w:pPr>
      <w:r>
        <w:rPr>
          <w:rFonts w:hint="eastAsia" w:eastAsia="仿宋_GB2312"/>
          <w:spacing w:val="-6"/>
          <w:sz w:val="32"/>
          <w:szCs w:val="32"/>
        </w:rPr>
        <w:t>2.2工作原理</w:t>
      </w:r>
    </w:p>
    <w:p w14:paraId="338D4874">
      <w:pPr>
        <w:spacing w:line="520" w:lineRule="exact"/>
        <w:ind w:firstLine="640" w:firstLineChars="200"/>
        <w:rPr>
          <w:rFonts w:eastAsia="仿宋_GB2312"/>
          <w:bCs/>
          <w:sz w:val="32"/>
          <w:szCs w:val="32"/>
        </w:rPr>
      </w:pPr>
      <w:r>
        <w:rPr>
          <w:rFonts w:eastAsia="仿宋_GB2312"/>
          <w:bCs/>
          <w:sz w:val="32"/>
          <w:szCs w:val="32"/>
        </w:rPr>
        <w:t>γ放射免疫计数器是基于</w:t>
      </w:r>
      <w:r>
        <w:rPr>
          <w:rFonts w:eastAsia="仿宋_GB2312"/>
          <w:b/>
          <w:sz w:val="32"/>
          <w:szCs w:val="32"/>
        </w:rPr>
        <w:t>放射免疫分析（RIA）与闪烁探测</w:t>
      </w:r>
      <w:r>
        <w:rPr>
          <w:rFonts w:eastAsia="仿宋_GB2312"/>
          <w:bCs/>
          <w:sz w:val="32"/>
          <w:szCs w:val="32"/>
        </w:rPr>
        <w:t>原理的定量检测仪器，核心用于测定γ放射性同位素标记物的活度，进而推算样品中目标物质（如激素、抗体、肿瘤标志物）的浓度。其工作流程如下：待测样品经放射性核素（常用 ¹²⁵I）标记后，与特异性抗体/抗原发生免疫结合反应，形成抗原抗体复合物；复合物释放的γ射线进入井型NaI(Tl)闪烁晶体，通过光电效应或康普顿散射使晶体原子激发，退激时产生与射线能量成正比的闪烁光；闪烁光经光电倍增管转换为电信号并逐级倍增，再经放大器、甄别器与脉冲分析器处理，筛选有效脉冲并计数；最终通过计数率与标准曲线的对应关系，计算出样品中目标物质的浓度。仪器配备铅屏蔽以降低背景辐射，采用井型晶体与4π结构设计提升探测效率，确保高灵敏度与准确性，广泛应用于临床诊断与生物医学研究。</w:t>
      </w:r>
    </w:p>
    <w:p w14:paraId="29660D40">
      <w:pPr>
        <w:spacing w:line="520" w:lineRule="exact"/>
        <w:ind w:firstLine="640" w:firstLineChars="200"/>
        <w:rPr>
          <w:rFonts w:eastAsia="仿宋_GB2312"/>
          <w:bCs/>
          <w:sz w:val="32"/>
          <w:szCs w:val="32"/>
        </w:rPr>
      </w:pPr>
      <w:r>
        <w:rPr>
          <w:rFonts w:eastAsia="仿宋_GB2312"/>
          <w:bCs/>
          <w:sz w:val="32"/>
          <w:szCs w:val="32"/>
        </w:rPr>
        <w:t>工作原理见图1。</w:t>
      </w:r>
    </w:p>
    <w:p w14:paraId="047970D1">
      <w:pPr>
        <w:pStyle w:val="8"/>
        <w:jc w:val="center"/>
        <w:rPr>
          <w:rFonts w:ascii="Times New Roman" w:hAnsi="Times New Roman" w:eastAsia="仿宋_GB2312"/>
        </w:rPr>
      </w:pPr>
      <w:r>
        <w:drawing>
          <wp:inline distT="0" distB="0" distL="114300" distR="114300">
            <wp:extent cx="5543550" cy="3568065"/>
            <wp:effectExtent l="0" t="0" r="635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543550" cy="3568065"/>
                    </a:xfrm>
                    <a:prstGeom prst="rect">
                      <a:avLst/>
                    </a:prstGeom>
                    <a:noFill/>
                    <a:ln>
                      <a:noFill/>
                    </a:ln>
                  </pic:spPr>
                </pic:pic>
              </a:graphicData>
            </a:graphic>
          </wp:inline>
        </w:drawing>
      </w:r>
    </w:p>
    <w:p w14:paraId="3D931D6F">
      <w:pPr>
        <w:widowControl/>
        <w:spacing w:line="520" w:lineRule="exact"/>
        <w:jc w:val="center"/>
        <w:rPr>
          <w:rFonts w:eastAsia="仿宋_GB2312"/>
          <w:spacing w:val="-6"/>
          <w:sz w:val="28"/>
          <w:szCs w:val="28"/>
        </w:rPr>
      </w:pPr>
      <w:r>
        <w:rPr>
          <w:rFonts w:hint="eastAsia" w:eastAsia="黑体" w:cs="黑体"/>
          <w:spacing w:val="-6"/>
          <w:sz w:val="28"/>
          <w:szCs w:val="28"/>
        </w:rPr>
        <w:t>图</w:t>
      </w:r>
      <w:r>
        <w:rPr>
          <w:rFonts w:eastAsia="黑体" w:cs="黑体"/>
          <w:spacing w:val="-6"/>
          <w:sz w:val="28"/>
          <w:szCs w:val="28"/>
        </w:rPr>
        <w:t>1</w:t>
      </w:r>
      <w:r>
        <w:rPr>
          <w:rFonts w:hint="eastAsia" w:eastAsia="黑体" w:cs="黑体"/>
          <w:spacing w:val="-6"/>
          <w:sz w:val="28"/>
          <w:szCs w:val="28"/>
        </w:rPr>
        <w:t xml:space="preserve"> γ放射免疫计数器工作原理图</w:t>
      </w:r>
    </w:p>
    <w:p w14:paraId="0D3F5323">
      <w:pPr>
        <w:widowControl/>
        <w:spacing w:line="520" w:lineRule="exact"/>
        <w:ind w:firstLine="616" w:firstLineChars="200"/>
        <w:jc w:val="left"/>
        <w:rPr>
          <w:rFonts w:eastAsia="仿宋_GB2312"/>
          <w:spacing w:val="-6"/>
          <w:sz w:val="32"/>
          <w:szCs w:val="32"/>
        </w:rPr>
      </w:pPr>
      <w:r>
        <w:rPr>
          <w:rFonts w:eastAsia="仿宋_GB2312"/>
          <w:spacing w:val="-6"/>
          <w:sz w:val="32"/>
          <w:szCs w:val="32"/>
        </w:rPr>
        <w:t>2.3型号规格</w:t>
      </w:r>
    </w:p>
    <w:p w14:paraId="1B412F57">
      <w:pPr>
        <w:widowControl/>
        <w:spacing w:line="520" w:lineRule="exact"/>
        <w:ind w:firstLine="616" w:firstLineChars="200"/>
        <w:rPr>
          <w:rFonts w:eastAsia="仿宋_GB2312"/>
          <w:spacing w:val="-6"/>
          <w:sz w:val="32"/>
          <w:szCs w:val="32"/>
        </w:rPr>
      </w:pPr>
      <w:r>
        <w:rPr>
          <w:rFonts w:eastAsia="仿宋_GB2312"/>
          <w:spacing w:val="-6"/>
          <w:sz w:val="32"/>
          <w:szCs w:val="32"/>
        </w:rPr>
        <w:t>对于存在多种型号规格的γ放射免疫计数器，应当明确各型号规格的区别。应当采用对比表或带有说明性文字的图片、图表，描述各种型号规格的配置、功能、产品特征和技术参数等内容。</w:t>
      </w:r>
    </w:p>
    <w:p w14:paraId="2CE6900D">
      <w:pPr>
        <w:widowControl/>
        <w:spacing w:line="520" w:lineRule="exact"/>
        <w:ind w:firstLine="616" w:firstLineChars="200"/>
        <w:jc w:val="left"/>
        <w:rPr>
          <w:rFonts w:eastAsia="仿宋_GB2312"/>
          <w:spacing w:val="-6"/>
          <w:sz w:val="32"/>
          <w:szCs w:val="32"/>
        </w:rPr>
      </w:pPr>
      <w:r>
        <w:rPr>
          <w:rFonts w:eastAsia="仿宋_GB2312"/>
          <w:spacing w:val="-6"/>
          <w:sz w:val="32"/>
          <w:szCs w:val="32"/>
        </w:rPr>
        <w:t>2.4包装说明</w:t>
      </w:r>
    </w:p>
    <w:p w14:paraId="08FB3278">
      <w:pPr>
        <w:widowControl/>
        <w:spacing w:line="520" w:lineRule="exact"/>
        <w:ind w:firstLine="616" w:firstLineChars="200"/>
        <w:jc w:val="left"/>
        <w:rPr>
          <w:rFonts w:eastAsia="仿宋_GB2312"/>
          <w:spacing w:val="-6"/>
          <w:sz w:val="32"/>
          <w:szCs w:val="32"/>
        </w:rPr>
      </w:pPr>
      <w:r>
        <w:rPr>
          <w:rFonts w:eastAsia="仿宋_GB2312"/>
          <w:spacing w:val="-6"/>
          <w:sz w:val="32"/>
          <w:szCs w:val="32"/>
        </w:rPr>
        <w:t>应说明所有产品组成的包装信息。</w:t>
      </w:r>
    </w:p>
    <w:p w14:paraId="23684858">
      <w:pPr>
        <w:widowControl/>
        <w:spacing w:line="520" w:lineRule="exact"/>
        <w:ind w:firstLine="616" w:firstLineChars="200"/>
        <w:jc w:val="left"/>
        <w:rPr>
          <w:rFonts w:eastAsia="仿宋_GB2312"/>
          <w:spacing w:val="-6"/>
          <w:sz w:val="32"/>
          <w:szCs w:val="32"/>
        </w:rPr>
      </w:pPr>
      <w:r>
        <w:rPr>
          <w:rFonts w:eastAsia="仿宋_GB2312"/>
          <w:spacing w:val="-6"/>
          <w:sz w:val="32"/>
          <w:szCs w:val="32"/>
        </w:rPr>
        <w:t>2.5研发历程</w:t>
      </w:r>
    </w:p>
    <w:p w14:paraId="34A3E1BA">
      <w:pPr>
        <w:widowControl/>
        <w:spacing w:line="520" w:lineRule="exact"/>
        <w:ind w:firstLine="616" w:firstLineChars="200"/>
      </w:pPr>
      <w:r>
        <w:rPr>
          <w:rFonts w:eastAsia="仿宋_GB2312"/>
          <w:spacing w:val="-6"/>
          <w:sz w:val="32"/>
          <w:szCs w:val="32"/>
        </w:rPr>
        <w:t>阐述申请注册产品的研发背景和目的。如有参考的同类产品或前代产品，应当提供同类产品或前代产品的信息，并说明选择其作为研发参考的原因。</w:t>
      </w:r>
    </w:p>
    <w:p w14:paraId="50257BA8">
      <w:pPr>
        <w:widowControl/>
        <w:spacing w:line="520" w:lineRule="exact"/>
        <w:ind w:firstLine="616" w:firstLineChars="200"/>
        <w:jc w:val="left"/>
        <w:rPr>
          <w:rFonts w:eastAsia="仿宋_GB2312"/>
          <w:spacing w:val="-6"/>
          <w:sz w:val="32"/>
          <w:szCs w:val="32"/>
        </w:rPr>
      </w:pPr>
      <w:r>
        <w:rPr>
          <w:rFonts w:hint="eastAsia" w:eastAsia="仿宋_GB2312"/>
          <w:spacing w:val="-6"/>
          <w:sz w:val="32"/>
          <w:szCs w:val="32"/>
        </w:rPr>
        <w:t>3</w:t>
      </w:r>
      <w:r>
        <w:rPr>
          <w:rFonts w:eastAsia="仿宋_GB2312"/>
          <w:spacing w:val="-6"/>
          <w:sz w:val="32"/>
          <w:szCs w:val="32"/>
        </w:rPr>
        <w:t>.适用范围和禁忌证</w:t>
      </w:r>
    </w:p>
    <w:p w14:paraId="51D2FED1">
      <w:pPr>
        <w:widowControl/>
        <w:spacing w:line="520" w:lineRule="exact"/>
        <w:ind w:firstLine="616" w:firstLineChars="200"/>
        <w:jc w:val="left"/>
        <w:rPr>
          <w:rFonts w:eastAsia="仿宋_GB2312"/>
          <w:spacing w:val="-6"/>
          <w:sz w:val="32"/>
          <w:szCs w:val="32"/>
        </w:rPr>
      </w:pPr>
      <w:r>
        <w:rPr>
          <w:rFonts w:hint="eastAsia" w:eastAsia="仿宋_GB2312"/>
          <w:spacing w:val="-6"/>
          <w:sz w:val="32"/>
          <w:szCs w:val="32"/>
        </w:rPr>
        <w:t>3.1适用范围</w:t>
      </w:r>
    </w:p>
    <w:p w14:paraId="5FCC28D2">
      <w:pPr>
        <w:widowControl/>
        <w:spacing w:line="520" w:lineRule="exact"/>
        <w:ind w:firstLine="616" w:firstLineChars="200"/>
        <w:rPr>
          <w:rFonts w:hint="eastAsia" w:eastAsia="仿宋_GB2312"/>
          <w:spacing w:val="-6"/>
          <w:sz w:val="32"/>
          <w:szCs w:val="32"/>
        </w:rPr>
      </w:pPr>
      <w:r>
        <w:rPr>
          <w:rFonts w:hint="eastAsia" w:eastAsia="仿宋_GB2312"/>
          <w:spacing w:val="-6"/>
          <w:sz w:val="32"/>
          <w:szCs w:val="32"/>
        </w:rPr>
        <w:t>该产品基于放射免疫法进行检测的原理，与放免试剂盒配合使用，用于人体样本中待测物的定性和/或定量分析。</w:t>
      </w:r>
    </w:p>
    <w:p w14:paraId="3F5F2E04">
      <w:pPr>
        <w:widowControl/>
        <w:spacing w:line="520" w:lineRule="exact"/>
        <w:ind w:firstLine="616" w:firstLineChars="200"/>
        <w:rPr>
          <w:color w:val="0000FF"/>
        </w:rPr>
      </w:pPr>
      <w:r>
        <w:rPr>
          <w:rFonts w:hint="eastAsia" w:eastAsia="仿宋_GB2312"/>
          <w:spacing w:val="-6"/>
          <w:sz w:val="32"/>
          <w:szCs w:val="32"/>
        </w:rPr>
        <w:t>如仪器与配套试剂盒为封闭系统，建议描述中说明与配套试剂盒共同使用，明确被测样本类型和预期检测项目。样本类型包括血清、血浆、尿液、</w:t>
      </w:r>
      <w:r>
        <w:rPr>
          <w:rFonts w:eastAsia="仿宋_GB2312"/>
          <w:spacing w:val="-6"/>
          <w:sz w:val="32"/>
          <w:szCs w:val="32"/>
        </w:rPr>
        <w:t>脑脊液</w:t>
      </w:r>
      <w:r>
        <w:rPr>
          <w:rFonts w:hint="eastAsia" w:eastAsia="仿宋_GB2312"/>
          <w:spacing w:val="-6"/>
          <w:sz w:val="32"/>
          <w:szCs w:val="32"/>
        </w:rPr>
        <w:t>等临床分析常见的样本类型，应当根据研究资料的具体结果明确写明申报产品适用的样本类型；预期检测项目应当根据研究资料的具体结果写明申报产品可以检测的被分析物的大类名称，如免疫球蛋白、激素、酶类、肿瘤标志物、维生素、过敏原等。</w:t>
      </w:r>
    </w:p>
    <w:p w14:paraId="3F0F9ED7">
      <w:pPr>
        <w:widowControl/>
        <w:spacing w:line="520" w:lineRule="exact"/>
        <w:ind w:firstLine="616" w:firstLineChars="200"/>
        <w:jc w:val="left"/>
        <w:rPr>
          <w:rFonts w:eastAsia="仿宋_GB2312"/>
          <w:spacing w:val="-6"/>
          <w:sz w:val="32"/>
          <w:szCs w:val="32"/>
        </w:rPr>
      </w:pPr>
      <w:r>
        <w:rPr>
          <w:rFonts w:eastAsia="仿宋_GB2312"/>
          <w:spacing w:val="-6"/>
          <w:sz w:val="32"/>
          <w:szCs w:val="32"/>
        </w:rPr>
        <w:t>3.2预期使用环境</w:t>
      </w:r>
    </w:p>
    <w:p w14:paraId="640C26AF">
      <w:pPr>
        <w:widowControl/>
        <w:spacing w:line="520" w:lineRule="exact"/>
        <w:ind w:firstLine="616" w:firstLineChars="200"/>
        <w:rPr>
          <w:rFonts w:eastAsia="仿宋_GB2312"/>
          <w:spacing w:val="-6"/>
          <w:sz w:val="32"/>
          <w:szCs w:val="32"/>
        </w:rPr>
      </w:pPr>
      <w:r>
        <w:rPr>
          <w:rFonts w:eastAsia="仿宋_GB2312"/>
          <w:spacing w:val="-6"/>
          <w:sz w:val="32"/>
          <w:szCs w:val="32"/>
        </w:rPr>
        <w:t>该产品预期使用于医疗机构、实验室等。</w:t>
      </w:r>
    </w:p>
    <w:p w14:paraId="13956485">
      <w:pPr>
        <w:widowControl/>
        <w:spacing w:line="520" w:lineRule="exact"/>
        <w:ind w:firstLine="616" w:firstLineChars="200"/>
        <w:rPr>
          <w:rFonts w:hint="eastAsia" w:eastAsia="仿宋_GB2312"/>
          <w:spacing w:val="-6"/>
          <w:sz w:val="32"/>
          <w:szCs w:val="32"/>
        </w:rPr>
      </w:pPr>
      <w:r>
        <w:rPr>
          <w:rFonts w:eastAsia="仿宋_GB2312"/>
          <w:spacing w:val="-6"/>
          <w:sz w:val="32"/>
          <w:szCs w:val="32"/>
        </w:rPr>
        <w:t>明确可能影响其安全性和有效性的环境条件，如温度、湿度、</w:t>
      </w:r>
      <w:r>
        <w:rPr>
          <w:rFonts w:hint="eastAsia" w:eastAsia="仿宋_GB2312"/>
          <w:spacing w:val="-6"/>
          <w:sz w:val="32"/>
          <w:szCs w:val="32"/>
        </w:rPr>
        <w:t>电磁干扰</w:t>
      </w:r>
      <w:r>
        <w:rPr>
          <w:rFonts w:eastAsia="仿宋_GB2312"/>
          <w:spacing w:val="-6"/>
          <w:sz w:val="32"/>
          <w:szCs w:val="32"/>
        </w:rPr>
        <w:t>、振动、海拔等</w:t>
      </w:r>
      <w:r>
        <w:rPr>
          <w:rFonts w:hint="eastAsia" w:eastAsia="仿宋_GB2312"/>
          <w:spacing w:val="-6"/>
          <w:sz w:val="32"/>
          <w:szCs w:val="32"/>
        </w:rPr>
        <w:t>。</w:t>
      </w:r>
    </w:p>
    <w:p w14:paraId="12873F50">
      <w:pPr>
        <w:widowControl/>
        <w:spacing w:line="520" w:lineRule="exact"/>
        <w:ind w:firstLine="616" w:firstLineChars="200"/>
        <w:jc w:val="left"/>
        <w:rPr>
          <w:rFonts w:hint="eastAsia" w:eastAsia="仿宋_GB2312"/>
          <w:spacing w:val="-6"/>
          <w:sz w:val="32"/>
          <w:szCs w:val="32"/>
        </w:rPr>
      </w:pPr>
      <w:r>
        <w:rPr>
          <w:rFonts w:eastAsia="仿宋_GB2312"/>
          <w:spacing w:val="-6"/>
          <w:sz w:val="32"/>
          <w:szCs w:val="32"/>
        </w:rPr>
        <w:t>4.产品的不良事件历史记录</w:t>
      </w:r>
      <w:r>
        <w:rPr>
          <w:rFonts w:hint="eastAsia" w:eastAsia="仿宋_GB2312"/>
          <w:spacing w:val="-6"/>
          <w:sz w:val="32"/>
          <w:szCs w:val="32"/>
        </w:rPr>
        <w:t>（如适用）</w:t>
      </w:r>
    </w:p>
    <w:p w14:paraId="178B165D">
      <w:pPr>
        <w:widowControl/>
        <w:spacing w:line="520" w:lineRule="exact"/>
        <w:ind w:firstLine="640" w:firstLineChars="200"/>
        <w:jc w:val="left"/>
        <w:rPr>
          <w:rFonts w:eastAsia="仿宋_GB2312"/>
          <w:spacing w:val="-6"/>
          <w:sz w:val="32"/>
          <w:szCs w:val="32"/>
        </w:rPr>
      </w:pPr>
      <w:r>
        <w:rPr>
          <w:rFonts w:eastAsia="仿宋_GB2312"/>
          <w:sz w:val="32"/>
          <w:szCs w:val="32"/>
        </w:rPr>
        <w:t>应当提交申报产品的</w:t>
      </w:r>
      <w:r>
        <w:rPr>
          <w:rFonts w:eastAsia="仿宋_GB2312"/>
          <w:bCs/>
          <w:sz w:val="32"/>
          <w:szCs w:val="32"/>
          <w:lang w:val="en-CA"/>
        </w:rPr>
        <w:t>上市、</w:t>
      </w:r>
      <w:r>
        <w:rPr>
          <w:rFonts w:eastAsia="仿宋_GB2312"/>
          <w:bCs/>
          <w:sz w:val="32"/>
          <w:szCs w:val="32"/>
        </w:rPr>
        <w:t>销售、</w:t>
      </w:r>
      <w:r>
        <w:rPr>
          <w:rFonts w:eastAsia="仿宋_GB2312"/>
          <w:bCs/>
          <w:sz w:val="32"/>
          <w:szCs w:val="32"/>
          <w:lang w:val="en-CA"/>
        </w:rPr>
        <w:t>不良事件和召回</w:t>
      </w:r>
      <w:r>
        <w:rPr>
          <w:rFonts w:eastAsia="仿宋_GB2312"/>
          <w:bCs/>
          <w:sz w:val="32"/>
          <w:szCs w:val="32"/>
        </w:rPr>
        <w:t>等相关情况分析资料。</w:t>
      </w:r>
    </w:p>
    <w:p w14:paraId="1B637352">
      <w:pPr>
        <w:widowControl/>
        <w:spacing w:line="520" w:lineRule="exact"/>
        <w:ind w:firstLine="640" w:firstLineChars="200"/>
        <w:jc w:val="left"/>
        <w:rPr>
          <w:rFonts w:eastAsia="楷体_GB2312"/>
          <w:sz w:val="32"/>
          <w:szCs w:val="32"/>
        </w:rPr>
      </w:pPr>
      <w:r>
        <w:rPr>
          <w:rFonts w:hint="eastAsia" w:eastAsia="楷体_GB2312"/>
          <w:sz w:val="32"/>
          <w:szCs w:val="32"/>
        </w:rPr>
        <w:t>（三）</w:t>
      </w:r>
      <w:r>
        <w:rPr>
          <w:rFonts w:eastAsia="楷体_GB2312"/>
          <w:sz w:val="32"/>
          <w:szCs w:val="32"/>
        </w:rPr>
        <w:t>非临床资料</w:t>
      </w:r>
    </w:p>
    <w:p w14:paraId="0AB34BFE">
      <w:pPr>
        <w:widowControl/>
        <w:spacing w:line="520" w:lineRule="exact"/>
        <w:ind w:firstLine="616" w:firstLineChars="200"/>
        <w:jc w:val="left"/>
        <w:rPr>
          <w:rFonts w:hint="eastAsia" w:eastAsia="仿宋_GB2312"/>
          <w:spacing w:val="-6"/>
          <w:sz w:val="32"/>
          <w:szCs w:val="32"/>
        </w:rPr>
      </w:pPr>
      <w:r>
        <w:rPr>
          <w:rFonts w:hint="eastAsia" w:eastAsia="仿宋_GB2312"/>
          <w:spacing w:val="-6"/>
          <w:sz w:val="32"/>
          <w:szCs w:val="32"/>
        </w:rPr>
        <w:t>1.产品风险管理资料</w:t>
      </w:r>
    </w:p>
    <w:p w14:paraId="094E574A">
      <w:pPr>
        <w:widowControl/>
        <w:spacing w:line="520" w:lineRule="exact"/>
        <w:ind w:firstLine="616" w:firstLineChars="200"/>
        <w:rPr>
          <w:rFonts w:hint="eastAsia" w:eastAsia="仿宋_GB2312"/>
          <w:spacing w:val="-6"/>
          <w:sz w:val="32"/>
          <w:szCs w:val="32"/>
        </w:rPr>
      </w:pPr>
      <w:r>
        <w:rPr>
          <w:rFonts w:hint="eastAsia" w:eastAsia="仿宋_GB2312"/>
          <w:spacing w:val="-6"/>
          <w:sz w:val="32"/>
          <w:szCs w:val="32"/>
        </w:rPr>
        <w:t>注册申请人需对产品全生命周期实施风险管理，依据GB/T 42062《医疗器械风险管理对医疗器械的应用》，提供产品风险管理报告。</w:t>
      </w:r>
    </w:p>
    <w:p w14:paraId="745B3E8F">
      <w:pPr>
        <w:widowControl/>
        <w:spacing w:line="520" w:lineRule="exact"/>
        <w:ind w:firstLine="616" w:firstLineChars="200"/>
        <w:rPr>
          <w:rFonts w:hint="eastAsia" w:eastAsia="仿宋_GB2312"/>
          <w:spacing w:val="-6"/>
          <w:sz w:val="32"/>
          <w:szCs w:val="32"/>
          <w:lang w:val="zh-CN"/>
        </w:rPr>
      </w:pPr>
      <w:r>
        <w:rPr>
          <w:rFonts w:hint="eastAsia" w:eastAsia="仿宋_GB2312"/>
          <w:spacing w:val="-6"/>
          <w:sz w:val="32"/>
          <w:szCs w:val="32"/>
          <w:lang w:val="zh-CN"/>
        </w:rPr>
        <w:t>申请人需重点说明：申报产品的研制阶段已对有关可能的危</w:t>
      </w:r>
      <w:r>
        <w:rPr>
          <w:rFonts w:hint="eastAsia" w:eastAsia="仿宋_GB2312"/>
          <w:spacing w:val="-6"/>
          <w:sz w:val="32"/>
          <w:szCs w:val="32"/>
        </w:rPr>
        <w:t>险</w:t>
      </w:r>
      <w:r>
        <w:rPr>
          <w:rFonts w:hint="eastAsia" w:eastAsia="仿宋_GB2312"/>
          <w:spacing w:val="-6"/>
          <w:sz w:val="32"/>
          <w:szCs w:val="32"/>
          <w:lang w:val="zh-CN"/>
        </w:rPr>
        <w:t>及产生的风险进行了估计和评价，针对性地实施了降低风险的技术和管理方面的措施。产品性能测试对上述措施的有效性进行了验证，达到了通用和专用标准的要求。申请人对所有剩余风险进行了评价，全部达到可接受的水平。产品风险分析资料需为申请人关于产品安全性的承诺提供支持。</w:t>
      </w:r>
    </w:p>
    <w:p w14:paraId="65F310C2">
      <w:pPr>
        <w:widowControl/>
        <w:spacing w:line="520" w:lineRule="exact"/>
        <w:ind w:firstLine="640" w:firstLineChars="200"/>
        <w:rPr>
          <w:rFonts w:hint="eastAsia" w:eastAsia="仿宋_GB2312"/>
          <w:sz w:val="32"/>
          <w:szCs w:val="32"/>
          <w:lang w:val="zh-CN"/>
        </w:rPr>
      </w:pPr>
      <w:r>
        <w:rPr>
          <w:rFonts w:hint="eastAsia" w:eastAsia="仿宋_GB2312"/>
          <w:sz w:val="32"/>
          <w:szCs w:val="32"/>
          <w:lang w:val="zh-CN"/>
        </w:rPr>
        <w:t>风险管理报告一般包括以下内容：</w:t>
      </w:r>
    </w:p>
    <w:p w14:paraId="3496A49D">
      <w:pPr>
        <w:widowControl/>
        <w:spacing w:line="520" w:lineRule="exact"/>
        <w:ind w:firstLine="640" w:firstLineChars="200"/>
        <w:rPr>
          <w:rFonts w:hint="eastAsia" w:eastAsia="仿宋_GB2312"/>
          <w:sz w:val="32"/>
          <w:szCs w:val="32"/>
          <w:lang w:val="zh-CN"/>
        </w:rPr>
      </w:pPr>
      <w:r>
        <w:rPr>
          <w:rFonts w:hint="eastAsia" w:eastAsia="仿宋_GB2312"/>
          <w:sz w:val="32"/>
          <w:szCs w:val="32"/>
        </w:rPr>
        <w:t>1.1</w:t>
      </w:r>
      <w:r>
        <w:rPr>
          <w:rFonts w:hint="eastAsia" w:eastAsia="仿宋_GB2312"/>
          <w:sz w:val="32"/>
          <w:szCs w:val="32"/>
          <w:lang w:val="zh-CN"/>
        </w:rPr>
        <w:t>申报产品的风险管理组织。</w:t>
      </w:r>
    </w:p>
    <w:p w14:paraId="2C37983D">
      <w:pPr>
        <w:widowControl/>
        <w:spacing w:line="520" w:lineRule="exact"/>
        <w:ind w:firstLine="640" w:firstLineChars="200"/>
        <w:rPr>
          <w:rFonts w:hint="eastAsia" w:eastAsia="仿宋_GB2312"/>
          <w:sz w:val="32"/>
          <w:szCs w:val="32"/>
          <w:lang w:val="zh-CN"/>
        </w:rPr>
      </w:pPr>
      <w:r>
        <w:rPr>
          <w:rFonts w:hint="eastAsia" w:eastAsia="仿宋_GB2312"/>
          <w:sz w:val="32"/>
          <w:szCs w:val="32"/>
        </w:rPr>
        <w:t>1.2</w:t>
      </w:r>
      <w:r>
        <w:rPr>
          <w:rFonts w:hint="eastAsia" w:eastAsia="仿宋_GB2312"/>
          <w:sz w:val="32"/>
          <w:szCs w:val="32"/>
          <w:lang w:val="zh-CN"/>
        </w:rPr>
        <w:t>申报产品的组成。</w:t>
      </w:r>
    </w:p>
    <w:p w14:paraId="475D506C">
      <w:pPr>
        <w:widowControl/>
        <w:spacing w:line="520" w:lineRule="exact"/>
        <w:ind w:firstLine="640" w:firstLineChars="200"/>
        <w:rPr>
          <w:rFonts w:hint="eastAsia" w:eastAsia="仿宋_GB2312"/>
          <w:sz w:val="32"/>
          <w:szCs w:val="32"/>
          <w:lang w:val="zh-CN"/>
        </w:rPr>
      </w:pPr>
      <w:r>
        <w:rPr>
          <w:rFonts w:hint="eastAsia" w:eastAsia="仿宋_GB2312"/>
          <w:sz w:val="32"/>
          <w:szCs w:val="32"/>
        </w:rPr>
        <w:t>1.3</w:t>
      </w:r>
      <w:r>
        <w:rPr>
          <w:rFonts w:hint="eastAsia" w:eastAsia="仿宋_GB2312"/>
          <w:sz w:val="32"/>
          <w:szCs w:val="32"/>
          <w:lang w:val="zh-CN"/>
        </w:rPr>
        <w:t>申报产品符合的安全标准。</w:t>
      </w:r>
    </w:p>
    <w:p w14:paraId="5377CE53">
      <w:pPr>
        <w:widowControl/>
        <w:spacing w:line="520" w:lineRule="exact"/>
        <w:ind w:firstLine="640" w:firstLineChars="200"/>
        <w:rPr>
          <w:rFonts w:hint="eastAsia" w:eastAsia="仿宋_GB2312"/>
          <w:sz w:val="32"/>
          <w:szCs w:val="32"/>
          <w:lang w:val="zh-CN"/>
        </w:rPr>
      </w:pPr>
      <w:r>
        <w:rPr>
          <w:rFonts w:hint="eastAsia" w:eastAsia="仿宋_GB2312"/>
          <w:sz w:val="32"/>
          <w:szCs w:val="32"/>
        </w:rPr>
        <w:t>1.4</w:t>
      </w:r>
      <w:r>
        <w:rPr>
          <w:rFonts w:hint="eastAsia" w:eastAsia="仿宋_GB2312"/>
          <w:sz w:val="32"/>
          <w:szCs w:val="32"/>
          <w:lang w:val="zh-CN"/>
        </w:rPr>
        <w:t>申报产品的预期用途，与安全性有关的特征的判定（见附表</w:t>
      </w:r>
      <w:r>
        <w:rPr>
          <w:rFonts w:hint="eastAsia" w:eastAsia="黑体"/>
          <w:bCs/>
          <w:sz w:val="32"/>
          <w:szCs w:val="32"/>
        </w:rPr>
        <w:t>9-</w:t>
      </w:r>
      <w:r>
        <w:rPr>
          <w:rFonts w:hint="eastAsia" w:eastAsia="仿宋_GB2312"/>
          <w:sz w:val="32"/>
          <w:szCs w:val="32"/>
          <w:lang w:val="zh-CN"/>
        </w:rPr>
        <w:t>1、附表</w:t>
      </w:r>
      <w:r>
        <w:rPr>
          <w:rFonts w:hint="eastAsia" w:eastAsia="黑体"/>
          <w:bCs/>
          <w:sz w:val="32"/>
          <w:szCs w:val="32"/>
        </w:rPr>
        <w:t>9-</w:t>
      </w:r>
      <w:r>
        <w:rPr>
          <w:rFonts w:hint="eastAsia" w:eastAsia="仿宋_GB2312"/>
          <w:sz w:val="32"/>
          <w:szCs w:val="32"/>
        </w:rPr>
        <w:t>2</w:t>
      </w:r>
      <w:r>
        <w:rPr>
          <w:rFonts w:hint="eastAsia" w:eastAsia="仿宋_GB2312"/>
          <w:sz w:val="32"/>
          <w:szCs w:val="32"/>
          <w:lang w:val="zh-CN"/>
        </w:rPr>
        <w:t>）。</w:t>
      </w:r>
    </w:p>
    <w:p w14:paraId="32B1D6F0">
      <w:pPr>
        <w:widowControl/>
        <w:spacing w:line="520" w:lineRule="exact"/>
        <w:ind w:firstLine="640" w:firstLineChars="200"/>
        <w:rPr>
          <w:rFonts w:hint="eastAsia" w:eastAsia="仿宋_GB2312"/>
          <w:sz w:val="32"/>
          <w:szCs w:val="32"/>
          <w:lang w:val="zh-CN"/>
        </w:rPr>
      </w:pPr>
      <w:r>
        <w:rPr>
          <w:rFonts w:hint="eastAsia" w:eastAsia="仿宋_GB2312"/>
          <w:sz w:val="32"/>
          <w:szCs w:val="32"/>
        </w:rPr>
        <w:t>1.5</w:t>
      </w:r>
      <w:r>
        <w:rPr>
          <w:rFonts w:hint="eastAsia" w:eastAsia="仿宋_GB2312"/>
          <w:sz w:val="32"/>
          <w:szCs w:val="32"/>
          <w:lang w:val="zh-CN"/>
        </w:rPr>
        <w:t>对申报产品的可能危</w:t>
      </w:r>
      <w:r>
        <w:rPr>
          <w:rFonts w:hint="eastAsia" w:eastAsia="仿宋_GB2312"/>
          <w:sz w:val="32"/>
          <w:szCs w:val="32"/>
        </w:rPr>
        <w:t>险</w:t>
      </w:r>
      <w:r>
        <w:rPr>
          <w:rFonts w:hint="eastAsia" w:eastAsia="仿宋_GB2312"/>
          <w:sz w:val="32"/>
          <w:szCs w:val="32"/>
          <w:lang w:val="zh-CN"/>
        </w:rPr>
        <w:t>作出判定。</w:t>
      </w:r>
    </w:p>
    <w:p w14:paraId="3A0EC602">
      <w:pPr>
        <w:widowControl/>
        <w:spacing w:line="520" w:lineRule="exact"/>
        <w:ind w:firstLine="640" w:firstLineChars="200"/>
        <w:rPr>
          <w:rFonts w:hint="eastAsia" w:eastAsia="仿宋_GB2312"/>
          <w:sz w:val="32"/>
          <w:szCs w:val="32"/>
          <w:lang w:val="zh-CN"/>
        </w:rPr>
      </w:pPr>
      <w:r>
        <w:rPr>
          <w:rFonts w:hint="eastAsia" w:eastAsia="仿宋_GB2312"/>
          <w:sz w:val="32"/>
          <w:szCs w:val="32"/>
        </w:rPr>
        <w:t>1.6</w:t>
      </w:r>
      <w:r>
        <w:rPr>
          <w:rFonts w:hint="eastAsia" w:eastAsia="仿宋_GB2312"/>
          <w:sz w:val="32"/>
          <w:szCs w:val="32"/>
          <w:lang w:val="zh-CN"/>
        </w:rPr>
        <w:t>对所判定的危</w:t>
      </w:r>
      <w:r>
        <w:rPr>
          <w:rFonts w:hint="eastAsia" w:eastAsia="仿宋_GB2312"/>
          <w:sz w:val="32"/>
          <w:szCs w:val="32"/>
        </w:rPr>
        <w:t>险</w:t>
      </w:r>
      <w:r>
        <w:rPr>
          <w:rFonts w:hint="eastAsia" w:eastAsia="仿宋_GB2312"/>
          <w:sz w:val="32"/>
          <w:szCs w:val="32"/>
          <w:lang w:val="zh-CN"/>
        </w:rPr>
        <w:t>采取的降低风险的控制措施。</w:t>
      </w:r>
    </w:p>
    <w:p w14:paraId="16D1B739">
      <w:pPr>
        <w:widowControl/>
        <w:spacing w:line="520" w:lineRule="exact"/>
        <w:ind w:firstLine="640" w:firstLineChars="200"/>
        <w:rPr>
          <w:rFonts w:hint="eastAsia" w:eastAsia="仿宋_GB2312"/>
          <w:sz w:val="32"/>
          <w:szCs w:val="32"/>
        </w:rPr>
      </w:pPr>
      <w:r>
        <w:rPr>
          <w:rFonts w:hint="eastAsia" w:eastAsia="仿宋_GB2312"/>
          <w:sz w:val="32"/>
          <w:szCs w:val="32"/>
        </w:rPr>
        <w:t>1.7</w:t>
      </w:r>
      <w:r>
        <w:rPr>
          <w:rFonts w:hint="eastAsia" w:eastAsia="仿宋_GB2312"/>
          <w:sz w:val="32"/>
          <w:szCs w:val="32"/>
          <w:lang w:val="zh-CN"/>
        </w:rPr>
        <w:t>对采取控制措施后的剩余风险进行估计和评价</w:t>
      </w:r>
      <w:r>
        <w:rPr>
          <w:rFonts w:hint="eastAsia" w:eastAsia="仿宋_GB2312"/>
          <w:sz w:val="32"/>
          <w:szCs w:val="32"/>
        </w:rPr>
        <w:t>。</w:t>
      </w:r>
    </w:p>
    <w:p w14:paraId="4024FCC7">
      <w:pPr>
        <w:widowControl/>
        <w:spacing w:line="520" w:lineRule="exact"/>
        <w:ind w:firstLine="640" w:firstLineChars="200"/>
        <w:rPr>
          <w:rFonts w:hint="eastAsia" w:eastAsia="仿宋_GB2312"/>
          <w:sz w:val="32"/>
          <w:szCs w:val="32"/>
          <w:lang w:val="zh-CN"/>
        </w:rPr>
      </w:pPr>
      <w:r>
        <w:rPr>
          <w:rFonts w:hint="eastAsia" w:eastAsia="仿宋_GB2312"/>
          <w:sz w:val="32"/>
          <w:szCs w:val="32"/>
          <w:lang w:val="zh-CN"/>
        </w:rPr>
        <w:t>1.8对风险管理计划的实施情况</w:t>
      </w:r>
      <w:r>
        <w:rPr>
          <w:rFonts w:hint="eastAsia" w:eastAsia="仿宋_GB2312"/>
          <w:sz w:val="32"/>
          <w:szCs w:val="32"/>
        </w:rPr>
        <w:t>进行</w:t>
      </w:r>
      <w:r>
        <w:rPr>
          <w:rFonts w:hint="eastAsia" w:eastAsia="仿宋_GB2312"/>
          <w:sz w:val="32"/>
          <w:szCs w:val="32"/>
          <w:lang w:val="zh-CN"/>
        </w:rPr>
        <w:t>评审。</w:t>
      </w:r>
    </w:p>
    <w:p w14:paraId="4AEB0D25">
      <w:pPr>
        <w:widowControl/>
        <w:spacing w:line="520" w:lineRule="exact"/>
        <w:ind w:firstLine="640" w:firstLineChars="200"/>
        <w:rPr>
          <w:rFonts w:hint="eastAsia" w:eastAsia="仿宋_GB2312"/>
          <w:sz w:val="32"/>
          <w:szCs w:val="32"/>
          <w:lang w:val="zh-CN"/>
        </w:rPr>
      </w:pPr>
      <w:r>
        <w:rPr>
          <w:rFonts w:hint="eastAsia" w:eastAsia="仿宋_GB2312"/>
          <w:sz w:val="32"/>
          <w:szCs w:val="32"/>
          <w:lang w:val="zh-CN"/>
        </w:rPr>
        <w:t>1.9</w:t>
      </w:r>
      <w:r>
        <w:rPr>
          <w:rFonts w:hint="eastAsia" w:eastAsia="仿宋_GB2312"/>
          <w:sz w:val="32"/>
          <w:szCs w:val="32"/>
        </w:rPr>
        <w:t>对生产和生产后活动收集与评审信息。</w:t>
      </w:r>
    </w:p>
    <w:p w14:paraId="4FADB438">
      <w:pPr>
        <w:widowControl/>
        <w:spacing w:line="520" w:lineRule="exact"/>
        <w:ind w:firstLine="640" w:firstLineChars="200"/>
        <w:rPr>
          <w:rFonts w:hint="eastAsia" w:eastAsia="仿宋_GB2312"/>
          <w:sz w:val="32"/>
          <w:szCs w:val="32"/>
        </w:rPr>
      </w:pPr>
      <w:r>
        <w:rPr>
          <w:rFonts w:hint="eastAsia" w:eastAsia="仿宋_GB2312"/>
          <w:sz w:val="32"/>
          <w:szCs w:val="32"/>
        </w:rPr>
        <w:t>2.医疗器械安全和性能基本原则清单</w:t>
      </w:r>
    </w:p>
    <w:p w14:paraId="6629AB9D">
      <w:pPr>
        <w:widowControl/>
        <w:spacing w:line="520" w:lineRule="exact"/>
        <w:ind w:firstLine="640" w:firstLineChars="200"/>
        <w:rPr>
          <w:rFonts w:hint="eastAsia" w:eastAsia="仿宋_GB2312"/>
          <w:sz w:val="32"/>
          <w:szCs w:val="32"/>
        </w:rPr>
      </w:pPr>
      <w:r>
        <w:rPr>
          <w:rFonts w:hint="eastAsia" w:eastAsia="仿宋_GB2312"/>
          <w:sz w:val="32"/>
          <w:szCs w:val="32"/>
        </w:rPr>
        <w:t>说明申报产品符合《医疗器械安全和性能基本原则清单》各项适用要求所采用的方法，以及证明其符合性的文件。对于《医疗器械安全和性能基本原则清单》中不适用的各项要求，应当说明理由。</w:t>
      </w:r>
    </w:p>
    <w:p w14:paraId="5325ECF3">
      <w:pPr>
        <w:widowControl/>
        <w:spacing w:line="520" w:lineRule="exact"/>
        <w:ind w:firstLine="640" w:firstLineChars="200"/>
        <w:rPr>
          <w:rFonts w:eastAsia="仿宋_GB2312"/>
          <w:sz w:val="32"/>
          <w:szCs w:val="32"/>
        </w:rPr>
      </w:pPr>
      <w:r>
        <w:rPr>
          <w:rFonts w:eastAsia="仿宋_GB2312"/>
          <w:sz w:val="32"/>
          <w:szCs w:val="32"/>
        </w:rPr>
        <w:t>3.产品技术要求及检验报告</w:t>
      </w:r>
    </w:p>
    <w:p w14:paraId="78D97095">
      <w:pPr>
        <w:widowControl/>
        <w:spacing w:line="520" w:lineRule="exact"/>
        <w:ind w:firstLine="640" w:firstLineChars="200"/>
        <w:rPr>
          <w:rFonts w:eastAsia="仿宋_GB2312"/>
          <w:sz w:val="32"/>
          <w:szCs w:val="32"/>
        </w:rPr>
      </w:pPr>
      <w:r>
        <w:rPr>
          <w:rFonts w:eastAsia="仿宋_GB2312"/>
          <w:sz w:val="32"/>
          <w:szCs w:val="32"/>
        </w:rPr>
        <w:t>3.1产品技术要求</w:t>
      </w:r>
    </w:p>
    <w:p w14:paraId="17174793">
      <w:pPr>
        <w:widowControl/>
        <w:spacing w:line="520" w:lineRule="exact"/>
        <w:ind w:firstLine="640" w:firstLineChars="200"/>
        <w:rPr>
          <w:rFonts w:eastAsia="仿宋_GB2312"/>
          <w:sz w:val="32"/>
          <w:szCs w:val="32"/>
        </w:rPr>
      </w:pPr>
      <w:r>
        <w:rPr>
          <w:rFonts w:eastAsia="仿宋_GB2312"/>
          <w:sz w:val="32"/>
          <w:szCs w:val="32"/>
        </w:rPr>
        <w:t>产品技术要求的制定需符合《医疗器械产品技术要求编写指导原则》的要求。技术指标需不低于相关的</w:t>
      </w:r>
      <w:r>
        <w:rPr>
          <w:rFonts w:hint="eastAsia" w:eastAsia="仿宋_GB2312"/>
          <w:sz w:val="32"/>
          <w:szCs w:val="32"/>
        </w:rPr>
        <w:t>强制性或推荐性</w:t>
      </w:r>
      <w:r>
        <w:rPr>
          <w:rFonts w:eastAsia="仿宋_GB2312"/>
          <w:sz w:val="32"/>
          <w:szCs w:val="32"/>
        </w:rPr>
        <w:t>国家标准和行业标准。检验方法宜优先采用强制性国家标准、</w:t>
      </w:r>
      <w:r>
        <w:rPr>
          <w:rFonts w:hint="eastAsia" w:eastAsia="仿宋_GB2312"/>
          <w:sz w:val="32"/>
          <w:szCs w:val="32"/>
        </w:rPr>
        <w:t>推荐性</w:t>
      </w:r>
      <w:r>
        <w:rPr>
          <w:rFonts w:eastAsia="仿宋_GB2312"/>
          <w:sz w:val="32"/>
          <w:szCs w:val="32"/>
        </w:rPr>
        <w:t>国家标准</w:t>
      </w:r>
      <w:r>
        <w:rPr>
          <w:rFonts w:hint="eastAsia" w:eastAsia="仿宋_GB2312"/>
          <w:sz w:val="32"/>
          <w:szCs w:val="32"/>
        </w:rPr>
        <w:t>和</w:t>
      </w:r>
      <w:r>
        <w:rPr>
          <w:rFonts w:eastAsia="仿宋_GB2312"/>
          <w:sz w:val="32"/>
          <w:szCs w:val="32"/>
        </w:rPr>
        <w:t>行业标准中的方法，若采用其他方法则需说明合理性原因并在研究资料中提供验证资料。对于强制性相关国家标准、行业标准中不适用的条款，需说明不适用的原因。</w:t>
      </w:r>
    </w:p>
    <w:p w14:paraId="03A09E07">
      <w:pPr>
        <w:widowControl/>
        <w:spacing w:line="520" w:lineRule="exact"/>
        <w:ind w:firstLine="640" w:firstLineChars="200"/>
        <w:rPr>
          <w:rFonts w:hint="eastAsia" w:eastAsia="仿宋_GB2312"/>
          <w:sz w:val="32"/>
          <w:szCs w:val="32"/>
        </w:rPr>
      </w:pPr>
      <w:r>
        <w:rPr>
          <w:rFonts w:hint="eastAsia" w:eastAsia="仿宋_GB2312"/>
          <w:sz w:val="32"/>
          <w:szCs w:val="32"/>
        </w:rPr>
        <w:t>3.1.1型号/规格及其划分说明</w:t>
      </w:r>
    </w:p>
    <w:p w14:paraId="13E74D60">
      <w:pPr>
        <w:pStyle w:val="8"/>
        <w:spacing w:line="520" w:lineRule="exact"/>
        <w:ind w:firstLine="641"/>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说明产品的型号、规格，明确产品型号、规格的划分说明，明确不同型号间产品差异。</w:t>
      </w:r>
    </w:p>
    <w:p w14:paraId="304DEF20">
      <w:pPr>
        <w:pStyle w:val="8"/>
        <w:spacing w:line="520" w:lineRule="exact"/>
        <w:ind w:firstLine="641"/>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产品中包含软件组件，应明确软件的名称、型号规格（若适用）、发布版本、版本命名规则，软件模块若有单独的版本、版本命名规则均需说明。</w:t>
      </w:r>
    </w:p>
    <w:p w14:paraId="1EB0C131">
      <w:pPr>
        <w:widowControl/>
        <w:spacing w:line="520" w:lineRule="exact"/>
        <w:ind w:firstLine="640" w:firstLineChars="200"/>
        <w:rPr>
          <w:rFonts w:hint="eastAsia" w:eastAsia="仿宋_GB2312"/>
          <w:sz w:val="32"/>
          <w:szCs w:val="32"/>
        </w:rPr>
      </w:pPr>
      <w:r>
        <w:rPr>
          <w:rFonts w:hint="eastAsia" w:eastAsia="仿宋_GB2312"/>
          <w:sz w:val="32"/>
          <w:szCs w:val="32"/>
        </w:rPr>
        <w:t>3.1.2</w:t>
      </w:r>
      <w:r>
        <w:rPr>
          <w:rFonts w:hint="eastAsia" w:eastAsia="仿宋_GB2312"/>
          <w:bCs/>
          <w:sz w:val="32"/>
          <w:szCs w:val="32"/>
        </w:rPr>
        <w:t>性能指标、检验方法应参考</w:t>
      </w:r>
      <w:r>
        <w:rPr>
          <w:rFonts w:eastAsia="仿宋_GB2312"/>
          <w:bCs/>
          <w:sz w:val="32"/>
          <w:szCs w:val="32"/>
        </w:rPr>
        <w:t>GB</w:t>
      </w:r>
      <w:r>
        <w:rPr>
          <w:rFonts w:hint="eastAsia" w:eastAsia="仿宋_GB2312"/>
          <w:bCs/>
          <w:sz w:val="32"/>
          <w:szCs w:val="32"/>
        </w:rPr>
        <w:t>/T 1</w:t>
      </w:r>
      <w:r>
        <w:rPr>
          <w:rFonts w:eastAsia="仿宋_GB2312"/>
          <w:bCs/>
          <w:sz w:val="32"/>
          <w:szCs w:val="32"/>
        </w:rPr>
        <w:t>0255</w:t>
      </w:r>
      <w:r>
        <w:rPr>
          <w:rFonts w:hint="eastAsia" w:eastAsia="仿宋_GB2312"/>
          <w:bCs/>
          <w:sz w:val="32"/>
          <w:szCs w:val="32"/>
        </w:rPr>
        <w:t>《γ放射免疫计数器》，主要包括外观、机械特性、本底计数率、探测效率、重复性等指标要求</w:t>
      </w:r>
      <w:r>
        <w:rPr>
          <w:rFonts w:hint="eastAsia" w:eastAsia="仿宋_GB2312"/>
          <w:sz w:val="32"/>
          <w:szCs w:val="32"/>
        </w:rPr>
        <w:t>。</w:t>
      </w:r>
    </w:p>
    <w:p w14:paraId="1D315BBE">
      <w:pPr>
        <w:widowControl/>
        <w:spacing w:line="520" w:lineRule="exact"/>
        <w:ind w:firstLine="640" w:firstLineChars="200"/>
        <w:rPr>
          <w:rFonts w:eastAsia="仿宋_GB2312"/>
          <w:sz w:val="32"/>
          <w:szCs w:val="32"/>
        </w:rPr>
      </w:pPr>
      <w:r>
        <w:rPr>
          <w:rFonts w:hint="eastAsia" w:eastAsia="仿宋_GB2312"/>
          <w:sz w:val="32"/>
          <w:szCs w:val="32"/>
        </w:rPr>
        <w:t>如产品有额外模块实现额外功能，应增加相应评价指标要求。全自动仪器应增加对加样装置的功能性指标的要求，如最大样品数和机械特性等。</w:t>
      </w:r>
    </w:p>
    <w:p w14:paraId="704A7DF9">
      <w:pPr>
        <w:widowControl/>
        <w:spacing w:line="520" w:lineRule="exact"/>
        <w:ind w:firstLine="640" w:firstLineChars="200"/>
        <w:rPr>
          <w:rFonts w:hint="eastAsia" w:eastAsia="仿宋_GB2312"/>
          <w:sz w:val="32"/>
          <w:szCs w:val="32"/>
        </w:rPr>
      </w:pPr>
      <w:r>
        <w:rPr>
          <w:rFonts w:hint="eastAsia" w:eastAsia="仿宋_GB2312"/>
          <w:sz w:val="32"/>
          <w:szCs w:val="32"/>
        </w:rPr>
        <w:t>3.1.3安全要求</w:t>
      </w:r>
    </w:p>
    <w:p w14:paraId="1CA66DE9">
      <w:pPr>
        <w:widowControl/>
        <w:spacing w:line="520" w:lineRule="exact"/>
        <w:ind w:firstLine="640" w:firstLineChars="200"/>
        <w:rPr>
          <w:rFonts w:hint="eastAsia" w:eastAsia="仿宋_GB2312"/>
          <w:sz w:val="32"/>
          <w:szCs w:val="32"/>
        </w:rPr>
      </w:pPr>
      <w:r>
        <w:rPr>
          <w:rFonts w:hint="eastAsia" w:eastAsia="仿宋_GB2312"/>
          <w:sz w:val="32"/>
          <w:szCs w:val="32"/>
        </w:rPr>
        <w:t>应符合GB 4793、GB/T 42125.1、YY/T 0648中适用条款的要求。</w:t>
      </w:r>
    </w:p>
    <w:p w14:paraId="134F9770">
      <w:pPr>
        <w:widowControl/>
        <w:spacing w:line="520" w:lineRule="exact"/>
        <w:ind w:firstLine="640" w:firstLineChars="200"/>
        <w:rPr>
          <w:rFonts w:hint="eastAsia" w:eastAsia="仿宋_GB2312"/>
          <w:sz w:val="32"/>
          <w:szCs w:val="32"/>
        </w:rPr>
      </w:pPr>
      <w:r>
        <w:rPr>
          <w:rFonts w:hint="eastAsia" w:eastAsia="仿宋_GB2312"/>
          <w:sz w:val="32"/>
          <w:szCs w:val="32"/>
        </w:rPr>
        <w:t>3.1.4电磁兼容要求</w:t>
      </w:r>
    </w:p>
    <w:p w14:paraId="22833DEA">
      <w:pPr>
        <w:widowControl/>
        <w:spacing w:line="520" w:lineRule="exact"/>
        <w:ind w:firstLine="640" w:firstLineChars="200"/>
        <w:rPr>
          <w:rFonts w:eastAsia="仿宋_GB2312"/>
          <w:sz w:val="32"/>
          <w:szCs w:val="32"/>
        </w:rPr>
      </w:pPr>
      <w:r>
        <w:rPr>
          <w:rFonts w:hint="eastAsia" w:eastAsia="仿宋_GB2312"/>
          <w:sz w:val="32"/>
          <w:szCs w:val="32"/>
        </w:rPr>
        <w:t>应符合GB/T 18268.1、GB/T 18268.26中适用条款的要求。3</w:t>
      </w:r>
      <w:r>
        <w:rPr>
          <w:rFonts w:eastAsia="仿宋_GB2312"/>
          <w:sz w:val="32"/>
          <w:szCs w:val="32"/>
        </w:rPr>
        <w:t>.1.5软件功能要求</w:t>
      </w:r>
      <w:r>
        <w:rPr>
          <w:rFonts w:hint="eastAsia" w:eastAsia="仿宋_GB2312"/>
          <w:sz w:val="32"/>
          <w:szCs w:val="32"/>
        </w:rPr>
        <w:t>（若有）</w:t>
      </w:r>
    </w:p>
    <w:p w14:paraId="5841D053">
      <w:pPr>
        <w:widowControl/>
        <w:spacing w:line="520" w:lineRule="exact"/>
        <w:ind w:firstLine="640" w:firstLineChars="200"/>
        <w:rPr>
          <w:rFonts w:eastAsia="仿宋_GB2312"/>
          <w:sz w:val="32"/>
          <w:szCs w:val="32"/>
        </w:rPr>
      </w:pPr>
      <w:r>
        <w:rPr>
          <w:rFonts w:eastAsia="仿宋_GB2312"/>
          <w:sz w:val="32"/>
          <w:szCs w:val="32"/>
        </w:rPr>
        <w:t>参照《医疗器械软件注册审查指导原则（2022年修订版）》的要求，性能指标应明确软件的功能、使用限制、接口、访问控制、运行环境（若适用）、性能效率（若适用）等要求。软件的功能应明确软件的全部核心功能（含安全功能）纲要。</w:t>
      </w:r>
    </w:p>
    <w:p w14:paraId="3616858A">
      <w:pPr>
        <w:widowControl/>
        <w:spacing w:line="520" w:lineRule="exact"/>
        <w:ind w:firstLine="640" w:firstLineChars="200"/>
        <w:rPr>
          <w:rFonts w:hint="eastAsia" w:eastAsia="仿宋_GB2312"/>
          <w:sz w:val="32"/>
          <w:szCs w:val="32"/>
        </w:rPr>
      </w:pPr>
      <w:r>
        <w:rPr>
          <w:rFonts w:hint="eastAsia" w:eastAsia="仿宋_GB2312"/>
          <w:sz w:val="32"/>
          <w:szCs w:val="32"/>
        </w:rPr>
        <w:t>3.2产品检验报告</w:t>
      </w:r>
    </w:p>
    <w:p w14:paraId="30252461">
      <w:pPr>
        <w:widowControl/>
        <w:spacing w:line="520" w:lineRule="exact"/>
        <w:ind w:firstLine="640" w:firstLineChars="200"/>
        <w:rPr>
          <w:rFonts w:eastAsia="仿宋_GB2312"/>
          <w:sz w:val="32"/>
          <w:szCs w:val="32"/>
        </w:rPr>
      </w:pPr>
      <w:r>
        <w:rPr>
          <w:rFonts w:eastAsia="仿宋_GB2312"/>
          <w:sz w:val="32"/>
          <w:szCs w:val="32"/>
        </w:rPr>
        <w:t>注册申请人应提供产品检验报告，产品检验报告应符合国务院药品监督管理部门的要求，可以是医疗器械注册申请人的自检报告，也可以是委托具有医疗器械检验资质的医疗器械检验机构出具的检验报告。</w:t>
      </w:r>
    </w:p>
    <w:p w14:paraId="2294685D">
      <w:pPr>
        <w:widowControl/>
        <w:spacing w:line="520" w:lineRule="exact"/>
        <w:ind w:firstLine="640" w:firstLineChars="200"/>
        <w:rPr>
          <w:rFonts w:eastAsia="仿宋_GB2312"/>
          <w:sz w:val="32"/>
          <w:szCs w:val="32"/>
        </w:rPr>
      </w:pPr>
      <w:r>
        <w:rPr>
          <w:rFonts w:eastAsia="仿宋_GB2312"/>
          <w:sz w:val="32"/>
          <w:szCs w:val="32"/>
        </w:rPr>
        <w:t>同一注册单元应按产品技术指标的覆盖性来选择典型产品。典型产品应是同一注册单元内能够代表本单元内其他产品安全性和有效性的产品，应考虑功能最齐全、结构最复杂的型号。若一个型号规格不能覆盖，应选择不同型号规格进行差异性检验。</w:t>
      </w:r>
    </w:p>
    <w:p w14:paraId="56AEA3C0">
      <w:pPr>
        <w:widowControl/>
        <w:spacing w:line="520" w:lineRule="exact"/>
        <w:ind w:firstLine="640" w:firstLineChars="200"/>
        <w:rPr>
          <w:rFonts w:hint="eastAsia" w:eastAsia="仿宋_GB2312"/>
          <w:sz w:val="32"/>
          <w:szCs w:val="32"/>
        </w:rPr>
      </w:pPr>
      <w:r>
        <w:rPr>
          <w:rFonts w:hint="eastAsia" w:eastAsia="仿宋_GB2312"/>
          <w:sz w:val="32"/>
          <w:szCs w:val="32"/>
        </w:rPr>
        <w:t>4.研究资料</w:t>
      </w:r>
    </w:p>
    <w:p w14:paraId="3A49604E">
      <w:pPr>
        <w:widowControl/>
        <w:spacing w:line="520" w:lineRule="exact"/>
        <w:ind w:firstLine="640" w:firstLineChars="200"/>
        <w:rPr>
          <w:rFonts w:hint="eastAsia" w:eastAsia="仿宋_GB2312"/>
          <w:sz w:val="32"/>
          <w:szCs w:val="32"/>
        </w:rPr>
      </w:pPr>
      <w:r>
        <w:rPr>
          <w:rFonts w:hint="eastAsia" w:eastAsia="仿宋_GB2312"/>
          <w:sz w:val="32"/>
          <w:szCs w:val="32"/>
        </w:rPr>
        <w:t>4.1性能研究</w:t>
      </w:r>
    </w:p>
    <w:p w14:paraId="76B383E4">
      <w:pPr>
        <w:widowControl/>
        <w:spacing w:line="520" w:lineRule="exact"/>
        <w:ind w:firstLine="640" w:firstLineChars="200"/>
        <w:rPr>
          <w:rFonts w:hint="eastAsia" w:eastAsia="仿宋_GB2312"/>
          <w:sz w:val="32"/>
          <w:szCs w:val="32"/>
        </w:rPr>
      </w:pPr>
      <w:r>
        <w:rPr>
          <w:rFonts w:hint="eastAsia" w:eastAsia="仿宋_GB2312"/>
          <w:sz w:val="32"/>
          <w:szCs w:val="32"/>
        </w:rPr>
        <w:t>4.1.1功能性指标研究资料</w:t>
      </w:r>
    </w:p>
    <w:p w14:paraId="71227E3F">
      <w:pPr>
        <w:widowControl/>
        <w:spacing w:line="520" w:lineRule="exact"/>
        <w:ind w:firstLine="640" w:firstLineChars="200"/>
        <w:rPr>
          <w:rFonts w:hint="eastAsia" w:eastAsia="仿宋_GB2312"/>
          <w:sz w:val="32"/>
          <w:szCs w:val="32"/>
          <w:lang w:val="en-US" w:eastAsia="zh-CN"/>
        </w:rPr>
      </w:pPr>
      <w:r>
        <w:rPr>
          <w:rFonts w:hint="eastAsia" w:eastAsia="仿宋_GB2312"/>
          <w:sz w:val="32"/>
          <w:szCs w:val="32"/>
        </w:rPr>
        <w:t>应根据综述资料中有关申报产品结构组成和各主要组件、模块的情况，提供详细的研究资料。至少应包括对探测器模块、屏蔽模块、机械传动模块的功能性指标或模块中主要元器件功能性指标的研究资料。研究资料应重点关注以下内容：</w:t>
      </w:r>
      <w:r>
        <w:rPr>
          <w:rFonts w:hint="eastAsia" w:eastAsia="仿宋_GB2312"/>
          <w:sz w:val="32"/>
          <w:szCs w:val="32"/>
        </w:rPr>
        <w:br w:type="textWrapping"/>
      </w:r>
      <w:r>
        <w:rPr>
          <w:rFonts w:hint="eastAsia" w:eastAsia="仿宋_GB2312"/>
          <w:sz w:val="32"/>
          <w:szCs w:val="32"/>
        </w:rPr>
        <w:t>（1）探测效率：应满足GB/T 10255中相应等级的要求，并提供详细的测试数据和测试条件说明；</w:t>
      </w:r>
      <w:r>
        <w:rPr>
          <w:rFonts w:hint="eastAsia" w:eastAsia="仿宋_GB2312"/>
          <w:sz w:val="32"/>
          <w:szCs w:val="32"/>
        </w:rPr>
        <w:br w:type="textWrapping"/>
      </w:r>
      <w:r>
        <w:rPr>
          <w:rFonts w:hint="eastAsia" w:eastAsia="仿宋_GB2312"/>
          <w:sz w:val="32"/>
          <w:szCs w:val="32"/>
        </w:rPr>
        <w:t>（2）本底计数率：应满足GB/T 10255中相应等级的要求；</w:t>
      </w:r>
      <w:r>
        <w:rPr>
          <w:rFonts w:hint="eastAsia" w:eastAsia="仿宋_GB2312"/>
          <w:sz w:val="32"/>
          <w:szCs w:val="32"/>
        </w:rPr>
        <w:br w:type="textWrapping"/>
      </w:r>
      <w:r>
        <w:rPr>
          <w:rFonts w:hint="eastAsia" w:eastAsia="仿宋_GB2312"/>
          <w:sz w:val="32"/>
          <w:szCs w:val="32"/>
        </w:rPr>
        <w:t>（3）重复性：应提供重复性测试资料，证明产品测量结果的精密度符合要求；</w:t>
      </w:r>
      <w:r>
        <w:rPr>
          <w:rFonts w:hint="eastAsia" w:eastAsia="仿宋_GB2312"/>
          <w:sz w:val="32"/>
          <w:szCs w:val="32"/>
        </w:rPr>
        <w:br w:type="textWrapping"/>
      </w:r>
      <w:r>
        <w:rPr>
          <w:rFonts w:hint="eastAsia" w:eastAsia="仿宋_GB2312"/>
          <w:sz w:val="32"/>
          <w:szCs w:val="32"/>
        </w:rPr>
        <w:t>（4）多探头一致性：对于多探头产品，应提供各探头探测效率一致性的研究资料；</w:t>
      </w:r>
      <w:r>
        <w:rPr>
          <w:rFonts w:hint="eastAsia" w:eastAsia="仿宋_GB2312"/>
          <w:sz w:val="32"/>
          <w:szCs w:val="32"/>
        </w:rPr>
        <w:br w:type="textWrapping"/>
      </w:r>
      <w:r>
        <w:rPr>
          <w:rFonts w:hint="eastAsia" w:eastAsia="仿宋_GB2312"/>
          <w:sz w:val="32"/>
          <w:szCs w:val="32"/>
        </w:rPr>
        <w:t>（5）能量分辨率：对于配备多道分析器的产品，应提供能量分辨率的研究资料。</w:t>
      </w:r>
    </w:p>
    <w:p w14:paraId="1F4E01F3">
      <w:pPr>
        <w:widowControl/>
        <w:spacing w:line="520" w:lineRule="exact"/>
        <w:ind w:firstLine="640" w:firstLineChars="200"/>
        <w:rPr>
          <w:rFonts w:hint="eastAsia" w:eastAsia="仿宋_GB2312"/>
          <w:sz w:val="32"/>
          <w:szCs w:val="32"/>
        </w:rPr>
      </w:pPr>
      <w:r>
        <w:rPr>
          <w:rFonts w:hint="eastAsia" w:eastAsia="仿宋_GB2312"/>
          <w:sz w:val="32"/>
          <w:szCs w:val="32"/>
        </w:rPr>
        <w:t>4.1.2临床项目分析性能研究资料</w:t>
      </w:r>
    </w:p>
    <w:p w14:paraId="4755B9EF">
      <w:pPr>
        <w:widowControl/>
        <w:spacing w:line="520" w:lineRule="exact"/>
        <w:ind w:firstLine="640" w:firstLineChars="200"/>
        <w:rPr>
          <w:rFonts w:hint="eastAsia" w:eastAsia="仿宋_GB2312"/>
          <w:sz w:val="32"/>
          <w:szCs w:val="32"/>
        </w:rPr>
      </w:pPr>
      <w:r>
        <w:rPr>
          <w:rFonts w:hint="eastAsia" w:eastAsia="仿宋_GB2312"/>
          <w:sz w:val="32"/>
          <w:szCs w:val="32"/>
        </w:rPr>
        <w:t>建议申请人根据配套检测药盒分析性能评估的基础研究结果，结合适用范围，综合考虑申报产品的分析方法、可检测的被分析物情况及检测项目类型，按照对申报产品评价最不利原则，选取代表性的临床项目，采用临床样本进行研究。代表性项目的选择应同时说明选择依据，研究资料应结合配套药盒，对主要性能进行系统性评估。</w:t>
      </w:r>
    </w:p>
    <w:p w14:paraId="044B0906">
      <w:pPr>
        <w:widowControl/>
        <w:spacing w:line="520" w:lineRule="exact"/>
        <w:ind w:firstLine="640" w:firstLineChars="200"/>
        <w:rPr>
          <w:rFonts w:hint="eastAsia" w:eastAsia="仿宋_GB2312"/>
          <w:sz w:val="32"/>
          <w:szCs w:val="32"/>
        </w:rPr>
      </w:pPr>
      <w:r>
        <w:rPr>
          <w:rFonts w:hint="eastAsia" w:eastAsia="仿宋_GB2312"/>
          <w:sz w:val="32"/>
          <w:szCs w:val="32"/>
        </w:rPr>
        <w:t>4.2安全性指标研究资料</w:t>
      </w:r>
    </w:p>
    <w:p w14:paraId="380126F8">
      <w:pPr>
        <w:widowControl/>
        <w:spacing w:line="520" w:lineRule="exact"/>
        <w:ind w:firstLine="640" w:firstLineChars="200"/>
        <w:rPr>
          <w:rFonts w:hint="eastAsia" w:eastAsia="仿宋_GB2312"/>
          <w:sz w:val="32"/>
          <w:szCs w:val="32"/>
        </w:rPr>
      </w:pPr>
      <w:r>
        <w:rPr>
          <w:rFonts w:hint="eastAsia" w:eastAsia="仿宋_GB2312"/>
          <w:sz w:val="32"/>
          <w:szCs w:val="32"/>
        </w:rPr>
        <w:t>包括电气安全指标和电磁兼容指标两大类。电气安全指标应当包括GB 4793、GB/T 42125.1、YY/T 0648及其他适用的国家标准和行业标准中的所有指标，电磁兼容指标应当包</w:t>
      </w:r>
      <w:r>
        <w:rPr>
          <w:rFonts w:hint="eastAsia" w:eastAsia="仿宋_GB2312"/>
          <w:sz w:val="32"/>
          <w:szCs w:val="32"/>
          <w:lang w:val="en-US" w:eastAsia="zh-CN"/>
        </w:rPr>
        <w:t>括</w:t>
      </w:r>
      <w:r>
        <w:rPr>
          <w:rFonts w:hint="eastAsia" w:eastAsia="仿宋_GB2312"/>
          <w:sz w:val="32"/>
          <w:szCs w:val="32"/>
        </w:rPr>
        <w:t>GB/T 18268.1或GB/T 18268.26及其他适用的国家标准和行业标准中的所有指标，应提交对上述项目的研究和验证资料。</w:t>
      </w:r>
    </w:p>
    <w:p w14:paraId="404A1392">
      <w:pPr>
        <w:pStyle w:val="8"/>
        <w:spacing w:line="52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kern w:val="2"/>
          <w:sz w:val="32"/>
          <w:szCs w:val="32"/>
        </w:rPr>
        <w:t>4.3</w:t>
      </w:r>
      <w:r>
        <w:rPr>
          <w:rFonts w:ascii="Times New Roman" w:hAnsi="Times New Roman" w:eastAsia="仿宋_GB2312"/>
          <w:sz w:val="32"/>
          <w:szCs w:val="32"/>
        </w:rPr>
        <w:t>软件研究</w:t>
      </w:r>
    </w:p>
    <w:p w14:paraId="74AD9765">
      <w:pPr>
        <w:spacing w:line="520" w:lineRule="exact"/>
        <w:ind w:firstLine="640" w:firstLineChars="200"/>
        <w:rPr>
          <w:rFonts w:eastAsia="仿宋_GB2312"/>
          <w:sz w:val="32"/>
          <w:szCs w:val="32"/>
        </w:rPr>
      </w:pPr>
      <w:r>
        <w:rPr>
          <w:rFonts w:eastAsia="仿宋_GB2312"/>
          <w:sz w:val="32"/>
          <w:szCs w:val="32"/>
        </w:rPr>
        <w:t>软件研究参</w:t>
      </w:r>
      <w:r>
        <w:rPr>
          <w:rFonts w:hint="eastAsia" w:eastAsia="仿宋_GB2312"/>
          <w:sz w:val="32"/>
          <w:szCs w:val="32"/>
        </w:rPr>
        <w:t>照</w:t>
      </w:r>
      <w:r>
        <w:rPr>
          <w:rFonts w:eastAsia="仿宋_GB2312"/>
          <w:sz w:val="32"/>
          <w:szCs w:val="32"/>
        </w:rPr>
        <w:t>《医疗器械软件注册技术审查指导原则</w:t>
      </w:r>
      <w:r>
        <w:rPr>
          <w:rFonts w:hint="eastAsia" w:eastAsia="仿宋_GB2312"/>
          <w:sz w:val="32"/>
          <w:szCs w:val="32"/>
        </w:rPr>
        <w:t>（2022年修订版）</w:t>
      </w:r>
      <w:r>
        <w:rPr>
          <w:rFonts w:eastAsia="仿宋_GB2312"/>
          <w:sz w:val="32"/>
          <w:szCs w:val="32"/>
        </w:rPr>
        <w:t>》的相关要求。</w:t>
      </w:r>
      <w:r>
        <w:rPr>
          <w:rFonts w:hint="eastAsia" w:eastAsia="仿宋_GB2312"/>
          <w:sz w:val="32"/>
          <w:szCs w:val="32"/>
        </w:rPr>
        <w:t>含有软件组件的产品，应当提供软件的研究资料，内容包括基本信息、实现过程、核心功能、结论等内容，详尽程度取决于软件安全性级别（严重、中等、轻微）。</w:t>
      </w:r>
    </w:p>
    <w:p w14:paraId="6FC54BE3">
      <w:pPr>
        <w:widowControl/>
        <w:spacing w:line="520" w:lineRule="exact"/>
        <w:ind w:firstLine="640" w:firstLineChars="200"/>
        <w:rPr>
          <w:rFonts w:hint="eastAsia" w:eastAsia="仿宋_GB2312"/>
          <w:sz w:val="32"/>
          <w:szCs w:val="32"/>
        </w:rPr>
      </w:pPr>
      <w:r>
        <w:rPr>
          <w:rFonts w:hint="eastAsia" w:eastAsia="仿宋_GB2312"/>
          <w:sz w:val="32"/>
          <w:szCs w:val="32"/>
        </w:rPr>
        <w:t>4.4网络安全研究</w:t>
      </w:r>
    </w:p>
    <w:p w14:paraId="7FA6CA90">
      <w:pPr>
        <w:widowControl/>
        <w:spacing w:line="520" w:lineRule="exact"/>
        <w:ind w:firstLine="640" w:firstLineChars="200"/>
        <w:rPr>
          <w:rFonts w:hint="eastAsia" w:eastAsia="仿宋_GB2312"/>
          <w:sz w:val="32"/>
          <w:szCs w:val="32"/>
        </w:rPr>
      </w:pPr>
      <w:r>
        <w:rPr>
          <w:rFonts w:hint="eastAsia" w:eastAsia="仿宋_GB2312"/>
          <w:sz w:val="32"/>
          <w:szCs w:val="32"/>
        </w:rPr>
        <w:t>应参照《医疗器械网络安全注册审查指导原则（2022年修订版）》的相关要求。具备电子数据交换、远程控制或用户访问功能的含有软件组件的产品，应当提供网络安全研究资料，包括基本信息、实现过程、漏洞评估、结论等内容，详尽程度取决于软件安全性级别。</w:t>
      </w:r>
    </w:p>
    <w:p w14:paraId="24C6DB77">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4.5稳定性研究</w:t>
      </w:r>
    </w:p>
    <w:p w14:paraId="4FBD33D8">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4.5.1使用稳定性</w:t>
      </w:r>
    </w:p>
    <w:p w14:paraId="7E6EDCE4">
      <w:pPr>
        <w:pStyle w:val="8"/>
        <w:spacing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应参照《有源医疗器械使用期限注册技术审查指导原则》的相关要求。</w:t>
      </w:r>
    </w:p>
    <w:p w14:paraId="3A2055DD">
      <w:pPr>
        <w:pStyle w:val="8"/>
        <w:spacing w:line="520" w:lineRule="exact"/>
        <w:ind w:firstLine="640"/>
        <w:jc w:val="both"/>
        <w:rPr>
          <w:rFonts w:hint="eastAsia" w:ascii="Times New Roman" w:hAnsi="Times New Roman" w:eastAsia="仿宋_GB2312"/>
          <w:sz w:val="32"/>
          <w:szCs w:val="32"/>
        </w:rPr>
      </w:pPr>
      <w:r>
        <w:rPr>
          <w:rFonts w:hint="eastAsia" w:ascii="Times New Roman" w:hAnsi="Times New Roman" w:eastAsia="仿宋_GB2312"/>
          <w:sz w:val="32"/>
          <w:szCs w:val="32"/>
        </w:rPr>
        <w:t>应对申报产品中包含的易耗、易损、需定期更换或者具有固定使用寿命的主要元器件的情况进行详细描述。详述确定产品使用期限的具体理由和相关验证数据，给出产品使用期限</w:t>
      </w:r>
      <w:r>
        <w:rPr>
          <w:rFonts w:ascii="Times New Roman" w:hAnsi="Times New Roman" w:eastAsia="仿宋_GB2312"/>
          <w:sz w:val="32"/>
          <w:szCs w:val="32"/>
        </w:rPr>
        <w:t>。</w:t>
      </w:r>
      <w:r>
        <w:rPr>
          <w:rFonts w:hint="eastAsia" w:ascii="Times New Roman" w:hAnsi="Times New Roman" w:eastAsia="仿宋_GB2312"/>
          <w:sz w:val="32"/>
          <w:szCs w:val="32"/>
        </w:rPr>
        <w:t>主要元器件一般包括闪烁晶体</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熔断器、电源模块、电机等部件。</w:t>
      </w:r>
    </w:p>
    <w:p w14:paraId="2C60E85A">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4.5.2运输稳定性</w:t>
      </w:r>
    </w:p>
    <w:p w14:paraId="6721E138">
      <w:pPr>
        <w:pStyle w:val="8"/>
        <w:spacing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需提交运输稳定性验证资料，证明在规定的运输条件下，运输过程中环境条件（例如：振动、温度和湿度的</w:t>
      </w:r>
      <w:r>
        <w:rPr>
          <w:rFonts w:hint="eastAsia" w:ascii="Times New Roman" w:hAnsi="Times New Roman" w:eastAsia="仿宋_GB2312"/>
          <w:sz w:val="32"/>
          <w:szCs w:val="32"/>
        </w:rPr>
        <w:t>变化</w:t>
      </w:r>
      <w:r>
        <w:rPr>
          <w:rFonts w:ascii="Times New Roman" w:hAnsi="Times New Roman" w:eastAsia="仿宋_GB2312"/>
          <w:sz w:val="32"/>
          <w:szCs w:val="32"/>
        </w:rPr>
        <w:t>）不会对医疗器械的性能，包括完整性和清洁度，造成不利影响。</w:t>
      </w:r>
      <w:r>
        <w:rPr>
          <w:rFonts w:hint="eastAsia" w:ascii="Times New Roman" w:hAnsi="Times New Roman" w:eastAsia="仿宋_GB2312"/>
          <w:sz w:val="32"/>
          <w:szCs w:val="32"/>
        </w:rPr>
        <w:t>可按照</w:t>
      </w:r>
      <w:r>
        <w:rPr>
          <w:rFonts w:ascii="Times New Roman" w:hAnsi="Times New Roman" w:eastAsia="仿宋_GB2312"/>
          <w:sz w:val="32"/>
          <w:szCs w:val="32"/>
        </w:rPr>
        <w:t>GB</w:t>
      </w:r>
      <w:r>
        <w:rPr>
          <w:rFonts w:hint="eastAsia" w:ascii="Times New Roman" w:hAnsi="Times New Roman" w:eastAsia="仿宋_GB2312"/>
          <w:sz w:val="32"/>
          <w:szCs w:val="32"/>
        </w:rPr>
        <w:t>/T 1</w:t>
      </w:r>
      <w:r>
        <w:rPr>
          <w:rFonts w:ascii="Times New Roman" w:hAnsi="Times New Roman" w:eastAsia="仿宋_GB2312"/>
          <w:sz w:val="32"/>
          <w:szCs w:val="32"/>
        </w:rPr>
        <w:t>0255</w:t>
      </w:r>
      <w:r>
        <w:rPr>
          <w:rFonts w:hint="eastAsia" w:ascii="Times New Roman" w:hAnsi="Times New Roman" w:eastAsia="仿宋_GB2312"/>
          <w:sz w:val="32"/>
          <w:szCs w:val="32"/>
        </w:rPr>
        <w:t>中的运输要求进行实际运输验证，也可参考G</w:t>
      </w:r>
      <w:r>
        <w:rPr>
          <w:rFonts w:ascii="Times New Roman" w:hAnsi="Times New Roman" w:eastAsia="仿宋_GB2312"/>
          <w:sz w:val="32"/>
          <w:szCs w:val="32"/>
        </w:rPr>
        <w:t>B/T 2423.56</w:t>
      </w:r>
      <w:r>
        <w:rPr>
          <w:rFonts w:hint="eastAsia" w:ascii="Times New Roman" w:hAnsi="Times New Roman" w:eastAsia="仿宋_GB2312"/>
          <w:sz w:val="32"/>
          <w:szCs w:val="32"/>
        </w:rPr>
        <w:t>使用随机振动试验验证</w:t>
      </w:r>
      <w:r>
        <w:rPr>
          <w:rFonts w:ascii="Times New Roman" w:hAnsi="Times New Roman" w:eastAsia="仿宋_GB2312"/>
          <w:sz w:val="32"/>
          <w:szCs w:val="32"/>
        </w:rPr>
        <w:t>。注册申请人应结合储运条件开展包装和环境试验研究，并论述研究设置的合理性。应在申请人所声称的储运条件下进行性能测试，证明运输和环境测试后产品能够保持其完整性和功能性。</w:t>
      </w:r>
    </w:p>
    <w:p w14:paraId="722629EA">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4.6可用性工程</w:t>
      </w:r>
    </w:p>
    <w:p w14:paraId="7A3A69B0">
      <w:pPr>
        <w:pStyle w:val="8"/>
        <w:spacing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γ放射免疫计数器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11B4FDF4">
      <w:pPr>
        <w:pStyle w:val="8"/>
        <w:spacing w:line="52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（四）临床评价资料</w:t>
      </w:r>
    </w:p>
    <w:p w14:paraId="728DDC7D">
      <w:pPr>
        <w:pStyle w:val="8"/>
        <w:spacing w:line="52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γ 放射免疫计数器</w:t>
      </w:r>
      <w:r>
        <w:rPr>
          <w:rFonts w:hint="eastAsia" w:ascii="Times New Roman" w:hAnsi="Times New Roman" w:eastAsia="仿宋_GB2312"/>
          <w:sz w:val="32"/>
          <w:szCs w:val="32"/>
        </w:rPr>
        <w:t>未</w:t>
      </w:r>
      <w:r>
        <w:rPr>
          <w:rFonts w:ascii="Times New Roman" w:hAnsi="Times New Roman" w:eastAsia="仿宋_GB2312"/>
          <w:sz w:val="32"/>
          <w:szCs w:val="32"/>
        </w:rPr>
        <w:t>列入《免于临床评价医疗器械目录》，注册申请人需参照《医疗器械临床评价技术指导原则》、《医疗器械临床评价等同性论证技术指导原则》、《医疗器械临床试验设计指导原则》、《接受医疗器械境外临床试验数据技术指导原则》等文件的要求开展临床评价。</w:t>
      </w:r>
    </w:p>
    <w:p w14:paraId="7402C2C0">
      <w:pPr>
        <w:keepNext w:val="0"/>
        <w:keepLines w:val="0"/>
        <w:pageBreakBefore w:val="0"/>
        <w:kinsoku/>
        <w:wordWrap/>
        <w:overflowPunct/>
        <w:topLinePunct w:val="0"/>
        <w:autoSpaceDE/>
        <w:autoSpaceDN/>
        <w:bidi w:val="0"/>
        <w:adjustRightInd/>
        <w:snapToGrid/>
        <w:spacing w:line="520" w:lineRule="exact"/>
        <w:ind w:firstLine="640" w:firstLineChars="200"/>
        <w:textAlignment w:val="auto"/>
        <w:outlineLvl w:val="1"/>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（五）产品说明书和标签样稿</w:t>
      </w:r>
    </w:p>
    <w:p w14:paraId="1B8FF2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γ放射免疫计数器产品的说明书应符合《医疗器械说明书和标签管理规定》</w:t>
      </w:r>
      <w:r>
        <w:rPr>
          <w:rFonts w:ascii="Times New Roman" w:hAnsi="Times New Roman" w:eastAsia="仿宋_GB2312" w:cs="Times New Roman"/>
          <w:kern w:val="0"/>
          <w:sz w:val="32"/>
          <w:szCs w:val="32"/>
          <w:lang w:val="en-US" w:eastAsia="zh-CN" w:bidi="ar-SA"/>
        </w:rPr>
        <w:t>和YY/T 0466.1中的相关要求</w:t>
      </w:r>
      <w:r>
        <w:rPr>
          <w:rFonts w:hint="eastAsia" w:ascii="Times New Roman" w:hAnsi="Times New Roman" w:eastAsia="仿宋_GB2312" w:cs="Times New Roman"/>
          <w:kern w:val="0"/>
          <w:sz w:val="32"/>
          <w:szCs w:val="32"/>
          <w:lang w:val="en-US" w:eastAsia="zh-CN" w:bidi="ar-SA"/>
        </w:rPr>
        <w:t>。说明书、标签的内容应当真实、完整、科学，并与产品特性相一致，文字内容必须使用中文，可以附加其他语种。说明书、标签、包装标识中的文字、符号、图形、表格、数据等应相互一致，并符合相关标准和规范要求。其中说明书应特别注意的地方有：</w:t>
      </w:r>
    </w:p>
    <w:p w14:paraId="497AE8B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申报产品使用过程中，增加辐射安全警示，提示使用者予以特别注意。</w:t>
      </w:r>
    </w:p>
    <w:p w14:paraId="0BA0C27B">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0" w:firstLineChars="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明确核素使用限制。</w:t>
      </w:r>
    </w:p>
    <w:p w14:paraId="6AC5FDDC">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0" w:firstLineChars="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明确放射性废物处理。</w:t>
      </w:r>
    </w:p>
    <w:p w14:paraId="49F62F8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firstLine="0" w:firstLineChars="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明确操作人员资质要求，该产品使用场景为</w:t>
      </w:r>
      <w:r>
        <w:rPr>
          <w:rFonts w:ascii="Times New Roman" w:hAnsi="Times New Roman" w:eastAsia="仿宋_GB2312" w:cs="Times New Roman"/>
          <w:kern w:val="0"/>
          <w:sz w:val="32"/>
          <w:szCs w:val="32"/>
          <w:lang w:val="en-US" w:eastAsia="zh-CN" w:bidi="ar-SA"/>
        </w:rPr>
        <w:t>医疗机构</w:t>
      </w:r>
      <w:r>
        <w:rPr>
          <w:rFonts w:hint="eastAsia" w:ascii="Times New Roman" w:hAnsi="Times New Roman" w:eastAsia="仿宋_GB2312" w:cs="Times New Roman"/>
          <w:kern w:val="0"/>
          <w:sz w:val="32"/>
          <w:szCs w:val="32"/>
          <w:lang w:val="en-US" w:eastAsia="zh-CN" w:bidi="ar-SA"/>
        </w:rPr>
        <w:t>或</w:t>
      </w:r>
      <w:r>
        <w:rPr>
          <w:rFonts w:ascii="Times New Roman" w:hAnsi="Times New Roman" w:eastAsia="仿宋_GB2312" w:cs="Times New Roman"/>
          <w:kern w:val="0"/>
          <w:sz w:val="32"/>
          <w:szCs w:val="32"/>
          <w:lang w:val="en-US" w:eastAsia="zh-CN" w:bidi="ar-SA"/>
        </w:rPr>
        <w:t>实验室</w:t>
      </w:r>
      <w:r>
        <w:rPr>
          <w:rFonts w:hint="eastAsia" w:ascii="Times New Roman" w:hAnsi="Times New Roman" w:eastAsia="仿宋_GB2312" w:cs="Times New Roman"/>
          <w:kern w:val="0"/>
          <w:sz w:val="32"/>
          <w:szCs w:val="32"/>
          <w:lang w:val="en-US" w:eastAsia="zh-CN" w:bidi="ar-SA"/>
        </w:rPr>
        <w:t>，操作者需接受系统使用培训。</w:t>
      </w:r>
    </w:p>
    <w:p w14:paraId="307AEB58">
      <w:pPr>
        <w:spacing w:line="520" w:lineRule="exact"/>
        <w:ind w:firstLine="640" w:firstLineChars="200"/>
        <w:outlineLvl w:val="1"/>
        <w:rPr>
          <w:rFonts w:hint="eastAsia" w:eastAsia="楷体_GB2312"/>
          <w:bCs/>
          <w:iCs/>
          <w:sz w:val="32"/>
          <w:szCs w:val="28"/>
        </w:rPr>
      </w:pPr>
      <w:r>
        <w:rPr>
          <w:rFonts w:hint="eastAsia" w:eastAsia="楷体_GB2312"/>
          <w:bCs/>
          <w:iCs/>
          <w:sz w:val="32"/>
          <w:szCs w:val="28"/>
        </w:rPr>
        <w:t>（六）质量管理体系文件</w:t>
      </w:r>
    </w:p>
    <w:p w14:paraId="14113541">
      <w:pPr>
        <w:pStyle w:val="8"/>
        <w:spacing w:line="52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应依据《关于公布医疗器械注册申报资料要求和批准证明文件格式的公告》要求提供质量管理体系核查文件。若产品有多个研制、生产场地，应概述每个研制、生产场地的实际情况。</w:t>
      </w:r>
    </w:p>
    <w:p w14:paraId="5855C2B2">
      <w:pPr>
        <w:spacing w:line="520" w:lineRule="exact"/>
        <w:ind w:firstLine="640" w:firstLineChars="200"/>
        <w:outlineLvl w:val="1"/>
        <w:rPr>
          <w:rFonts w:eastAsia="仿宋_GB2312"/>
          <w:sz w:val="32"/>
          <w:szCs w:val="32"/>
        </w:rPr>
      </w:pPr>
      <w:r>
        <w:rPr>
          <w:rFonts w:eastAsia="仿宋_GB2312"/>
          <w:sz w:val="32"/>
          <w:szCs w:val="32"/>
        </w:rPr>
        <w:t>1.</w:t>
      </w:r>
      <w:r>
        <w:rPr>
          <w:rFonts w:hint="eastAsia" w:eastAsia="仿宋_GB2312"/>
          <w:sz w:val="32"/>
          <w:szCs w:val="32"/>
        </w:rPr>
        <w:t>应当明确产品生产工艺流程</w:t>
      </w:r>
    </w:p>
    <w:p w14:paraId="37D41B64">
      <w:pPr>
        <w:spacing w:line="520" w:lineRule="exact"/>
        <w:ind w:firstLine="640" w:firstLineChars="200"/>
        <w:rPr>
          <w:rFonts w:eastAsia="仿宋_GB2312"/>
          <w:sz w:val="32"/>
          <w:szCs w:val="32"/>
        </w:rPr>
      </w:pPr>
      <w:r>
        <w:rPr>
          <w:rFonts w:hint="eastAsia" w:eastAsia="仿宋_GB2312"/>
          <w:sz w:val="32"/>
          <w:szCs w:val="32"/>
        </w:rPr>
        <w:t>工艺过程可采用流程图的形式，并说明每道工序的操作说明及接收和放行标准，同时对过程控制要点进行详细说明。</w:t>
      </w:r>
    </w:p>
    <w:p w14:paraId="373995CE">
      <w:pPr>
        <w:spacing w:line="520" w:lineRule="exact"/>
        <w:ind w:firstLine="640" w:firstLineChars="200"/>
        <w:outlineLvl w:val="1"/>
        <w:rPr>
          <w:rFonts w:eastAsia="仿宋_GB2312"/>
          <w:sz w:val="32"/>
          <w:szCs w:val="32"/>
        </w:rPr>
      </w:pPr>
      <w:r>
        <w:rPr>
          <w:rFonts w:eastAsia="仿宋_GB2312"/>
          <w:sz w:val="32"/>
          <w:szCs w:val="32"/>
        </w:rPr>
        <w:t>2.</w:t>
      </w:r>
      <w:r>
        <w:rPr>
          <w:rFonts w:hint="eastAsia" w:eastAsia="仿宋_GB2312"/>
          <w:sz w:val="32"/>
          <w:szCs w:val="32"/>
        </w:rPr>
        <w:t>生产场地</w:t>
      </w:r>
    </w:p>
    <w:p w14:paraId="7F5E2145">
      <w:pPr>
        <w:spacing w:line="520" w:lineRule="exact"/>
        <w:ind w:firstLine="640" w:firstLineChars="200"/>
        <w:rPr>
          <w:rFonts w:hint="eastAsia" w:eastAsia="仿宋_GB2312"/>
          <w:sz w:val="32"/>
          <w:szCs w:val="32"/>
        </w:rPr>
      </w:pPr>
      <w:r>
        <w:rPr>
          <w:rFonts w:hint="eastAsia" w:eastAsia="仿宋_GB2312"/>
          <w:sz w:val="32"/>
          <w:szCs w:val="32"/>
        </w:rPr>
        <w:t>应详细说明产品生产场地地址、生产工艺布局、生产环境要求及周边情况。有多个研制、生产场地，应当概述每个研制、生产场地的实际情况。</w:t>
      </w:r>
    </w:p>
    <w:p w14:paraId="6B30505A">
      <w:pPr>
        <w:keepNext/>
        <w:keepLines/>
        <w:spacing w:line="520" w:lineRule="exact"/>
        <w:ind w:firstLine="640"/>
        <w:outlineLvl w:val="0"/>
        <w:rPr>
          <w:rFonts w:eastAsia="黑体"/>
          <w:bCs/>
          <w:kern w:val="44"/>
          <w:sz w:val="32"/>
          <w:szCs w:val="44"/>
        </w:rPr>
      </w:pPr>
      <w:r>
        <w:rPr>
          <w:rFonts w:eastAsia="黑体"/>
          <w:bCs/>
          <w:kern w:val="44"/>
          <w:sz w:val="32"/>
          <w:szCs w:val="44"/>
        </w:rPr>
        <w:t>三、参考文献</w:t>
      </w:r>
    </w:p>
    <w:p w14:paraId="25C5A516">
      <w:pPr>
        <w:kinsoku w:val="0"/>
        <w:spacing w:line="52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中华人民共和国国务院.医疗器械监督管理条例:中华人民共和国国务院令第739号[Z].</w:t>
      </w:r>
    </w:p>
    <w:p w14:paraId="590AD0BE">
      <w:pPr>
        <w:kinsoku w:val="0"/>
        <w:spacing w:line="52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国家市场</w:t>
      </w:r>
      <w:r>
        <w:rPr>
          <w:rFonts w:hint="eastAsia" w:eastAsia="仿宋_GB2312"/>
          <w:sz w:val="32"/>
          <w:szCs w:val="32"/>
        </w:rPr>
        <w:t>监督管理</w:t>
      </w:r>
      <w:r>
        <w:rPr>
          <w:rFonts w:eastAsia="仿宋_GB2312"/>
          <w:sz w:val="32"/>
          <w:szCs w:val="32"/>
        </w:rPr>
        <w:t>总局.医疗器械注册与备案管理办法：国家市场监管总局令第47号[Z].</w:t>
      </w:r>
    </w:p>
    <w:p w14:paraId="5E8BB958">
      <w:pPr>
        <w:kinsoku w:val="0"/>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国家食品药品监督管理总局.医疗器械说明书和标签管理规定:国家食品药品监督管理总局令第6号[Z].</w:t>
      </w:r>
    </w:p>
    <w:p w14:paraId="161A7F6B">
      <w:pPr>
        <w:kinsoku w:val="0"/>
        <w:spacing w:line="520" w:lineRule="exact"/>
        <w:ind w:firstLine="640" w:firstLineChars="200"/>
        <w:rPr>
          <w:rFonts w:eastAsia="仿宋_GB2312"/>
          <w:sz w:val="32"/>
          <w:szCs w:val="32"/>
        </w:rPr>
      </w:pPr>
      <w:r>
        <w:rPr>
          <w:rFonts w:hint="eastAsia" w:eastAsia="仿宋_GB2312"/>
          <w:sz w:val="32"/>
          <w:szCs w:val="32"/>
        </w:rPr>
        <w:t>[4]国家食品药品监督管理局.医疗器械通用名称命名规则：国家食品药品监督管理总局令第19号[Z].</w:t>
      </w:r>
    </w:p>
    <w:p w14:paraId="0D9EBF78">
      <w:pPr>
        <w:kinsoku w:val="0"/>
        <w:spacing w:line="520" w:lineRule="exact"/>
        <w:ind w:firstLine="640" w:firstLineChars="200"/>
        <w:rPr>
          <w:rFonts w:eastAsia="仿宋_GB2312"/>
          <w:sz w:val="32"/>
          <w:szCs w:val="32"/>
        </w:rPr>
      </w:pPr>
      <w:r>
        <w:rPr>
          <w:rFonts w:hint="eastAsia" w:eastAsia="仿宋_GB2312"/>
          <w:sz w:val="32"/>
          <w:szCs w:val="32"/>
        </w:rPr>
        <w:t>[5]国家药品监督管理局.医疗器械产品技术要求编写指导原则:国家药监局通告2022年第8号[Z].</w:t>
      </w:r>
    </w:p>
    <w:p w14:paraId="290B5C3C">
      <w:pPr>
        <w:kinsoku w:val="0"/>
        <w:spacing w:line="520" w:lineRule="exact"/>
        <w:ind w:firstLine="640" w:firstLineChars="200"/>
        <w:rPr>
          <w:rFonts w:eastAsia="仿宋_GB2312"/>
          <w:sz w:val="32"/>
          <w:szCs w:val="20"/>
        </w:rPr>
      </w:pPr>
      <w:r>
        <w:rPr>
          <w:rFonts w:hint="eastAsia" w:eastAsia="仿宋_GB2312"/>
          <w:sz w:val="32"/>
          <w:szCs w:val="32"/>
        </w:rPr>
        <w:t>[6]</w:t>
      </w:r>
      <w:r>
        <w:rPr>
          <w:rFonts w:eastAsia="仿宋_GB2312"/>
          <w:sz w:val="32"/>
          <w:szCs w:val="32"/>
        </w:rPr>
        <w:t>国家药品监督管理局.关于公布医疗器械注册申报资料要求和批准证明文件格式的公告：国家药品监督管理局公告2021年第121号[Z]</w:t>
      </w:r>
      <w:r>
        <w:rPr>
          <w:rFonts w:eastAsia="仿宋_GB2312"/>
          <w:kern w:val="0"/>
          <w:sz w:val="32"/>
          <w:szCs w:val="32"/>
        </w:rPr>
        <w:t>.</w:t>
      </w:r>
    </w:p>
    <w:p w14:paraId="483D555A">
      <w:pPr>
        <w:kinsoku w:val="0"/>
        <w:spacing w:line="520" w:lineRule="exact"/>
        <w:ind w:firstLine="640" w:firstLineChars="200"/>
        <w:rPr>
          <w:rFonts w:hint="eastAsia" w:eastAsia="微软雅黑"/>
          <w:sz w:val="32"/>
          <w:szCs w:val="20"/>
        </w:rPr>
      </w:pPr>
      <w:r>
        <w:rPr>
          <w:rFonts w:hint="eastAsia" w:eastAsia="仿宋_GB2312"/>
          <w:kern w:val="0"/>
          <w:sz w:val="32"/>
          <w:szCs w:val="32"/>
        </w:rPr>
        <w:t>[7]国家食品药品监督管理局.医疗器械注册单元划分指导原则:总局通告2017年第187号[Z].</w:t>
      </w:r>
    </w:p>
    <w:p w14:paraId="2EF13953">
      <w:pPr>
        <w:kinsoku w:val="0"/>
        <w:spacing w:line="520" w:lineRule="exact"/>
        <w:ind w:firstLine="640" w:firstLineChars="200"/>
        <w:rPr>
          <w:rFonts w:eastAsia="仿宋_GB2312"/>
          <w:kern w:val="0"/>
          <w:sz w:val="32"/>
          <w:szCs w:val="32"/>
        </w:rPr>
      </w:pPr>
      <w:r>
        <w:rPr>
          <w:rFonts w:hint="eastAsia" w:eastAsia="仿宋_GB2312"/>
          <w:kern w:val="0"/>
          <w:sz w:val="32"/>
          <w:szCs w:val="32"/>
        </w:rPr>
        <w:t>[8]国家药品监督管理局.有源医疗器械使用期限注册技术审查指导原则:国家药品监督管理局通告2019年第23号[Z].</w:t>
      </w:r>
    </w:p>
    <w:p w14:paraId="047AC23A">
      <w:pPr>
        <w:kinsoku w:val="0"/>
        <w:spacing w:line="520" w:lineRule="exact"/>
        <w:ind w:firstLine="640" w:firstLineChars="200"/>
        <w:rPr>
          <w:rFonts w:hint="eastAsia" w:eastAsia="仿宋_GB2312"/>
          <w:kern w:val="0"/>
          <w:sz w:val="32"/>
          <w:szCs w:val="32"/>
        </w:rPr>
      </w:pPr>
      <w:r>
        <w:rPr>
          <w:rFonts w:hint="eastAsia" w:eastAsia="仿宋_GB2312"/>
          <w:kern w:val="0"/>
          <w:sz w:val="32"/>
          <w:szCs w:val="32"/>
        </w:rPr>
        <w:t>[10]国家药品监督管理局.列入免于临床评价医疗器械目录产品对比说明技术指导原则:国家药监局通告2021年第73号[Z].</w:t>
      </w:r>
    </w:p>
    <w:p w14:paraId="6034613A">
      <w:pPr>
        <w:kinsoku w:val="0"/>
        <w:spacing w:line="520" w:lineRule="exact"/>
        <w:ind w:firstLine="640" w:firstLineChars="200"/>
        <w:rPr>
          <w:rFonts w:hint="eastAsia" w:eastAsia="仿宋_GB2312"/>
          <w:kern w:val="0"/>
          <w:sz w:val="32"/>
          <w:szCs w:val="32"/>
        </w:rPr>
      </w:pPr>
      <w:r>
        <w:rPr>
          <w:rFonts w:hint="eastAsia" w:eastAsia="仿宋_GB2312"/>
          <w:kern w:val="0"/>
          <w:sz w:val="32"/>
          <w:szCs w:val="32"/>
        </w:rPr>
        <w:t>[11]国家药品监督管理局.免于临床评价医疗器械目录：国家药监局通告2023年第33号[Z].</w:t>
      </w:r>
    </w:p>
    <w:p w14:paraId="4E161EBE">
      <w:pPr>
        <w:kinsoku w:val="0"/>
        <w:adjustRightInd w:val="0"/>
        <w:snapToGrid w:val="0"/>
        <w:spacing w:line="520" w:lineRule="exact"/>
        <w:rPr>
          <w:rFonts w:eastAsia="黑体"/>
          <w:sz w:val="32"/>
          <w:szCs w:val="32"/>
        </w:rPr>
      </w:pPr>
      <w:r>
        <w:rPr>
          <w:rFonts w:hint="eastAsia" w:eastAsia="微软雅黑"/>
          <w:sz w:val="22"/>
          <w:szCs w:val="22"/>
        </w:rPr>
        <w:t xml:space="preserve">    </w:t>
      </w:r>
      <w:r>
        <w:rPr>
          <w:rFonts w:hint="eastAsia" w:eastAsia="仿宋_GB2312"/>
          <w:sz w:val="32"/>
          <w:szCs w:val="32"/>
        </w:rPr>
        <w:t xml:space="preserve"> [12]</w:t>
      </w:r>
      <w:r>
        <w:rPr>
          <w:rFonts w:hint="eastAsia" w:eastAsia="仿宋_GB2312"/>
          <w:sz w:val="32"/>
          <w:szCs w:val="28"/>
        </w:rPr>
        <w:t>国家药品监督管理局.医疗器械临床评价技术指导原则:国家药监局通告2021年第73号[Z].</w:t>
      </w:r>
    </w:p>
    <w:p w14:paraId="24581C5B">
      <w:pPr>
        <w:kinsoku w:val="0"/>
        <w:adjustRightInd w:val="0"/>
        <w:snapToGrid w:val="0"/>
        <w:spacing w:line="520" w:lineRule="exact"/>
        <w:ind w:firstLine="640" w:firstLineChars="200"/>
        <w:rPr>
          <w:rFonts w:hint="eastAsia" w:eastAsia="仿宋_GB2312"/>
          <w:sz w:val="32"/>
          <w:szCs w:val="32"/>
        </w:rPr>
      </w:pPr>
      <w:r>
        <w:rPr>
          <w:rFonts w:hint="eastAsia" w:eastAsia="仿宋_GB2312"/>
          <w:sz w:val="32"/>
          <w:szCs w:val="32"/>
        </w:rPr>
        <w:t>[13]国家药品监督管理局医疗器械审评中心.医疗器械软件注册审查指导原则(2022年修订版):国家药监局器审中心通告2022年第9号[Z].</w:t>
      </w:r>
    </w:p>
    <w:p w14:paraId="10675881">
      <w:pPr>
        <w:pStyle w:val="8"/>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[14]国家药品监督管理局医疗器械审评中心.医疗器械网络安全注册审查指导原则(2022年修订版):国家药监局器审中心通告2022年第7号[Z]</w:t>
      </w:r>
    </w:p>
    <w:p w14:paraId="36C7960D">
      <w:pPr>
        <w:pStyle w:val="8"/>
        <w:spacing w:line="560" w:lineRule="exact"/>
        <w:ind w:firstLine="640" w:firstLineChars="200"/>
        <w:rPr>
          <w:rFonts w:hint="eastAsia" w:ascii="Times New Roman" w:hAnsi="Times New Roman" w:eastAsia="仿宋_GB2312"/>
          <w:sz w:val="32"/>
          <w:szCs w:val="32"/>
        </w:rPr>
      </w:pPr>
    </w:p>
    <w:p w14:paraId="5D021719">
      <w:pPr>
        <w:pStyle w:val="8"/>
        <w:spacing w:line="560" w:lineRule="exact"/>
        <w:ind w:firstLine="640" w:firstLineChars="200"/>
        <w:rPr>
          <w:rFonts w:hint="eastAsia" w:ascii="Times New Roman" w:hAnsi="Times New Roman" w:eastAsia="仿宋_GB2312"/>
          <w:sz w:val="32"/>
          <w:szCs w:val="32"/>
        </w:rPr>
      </w:pPr>
    </w:p>
    <w:p w14:paraId="21E31DF2">
      <w:pPr>
        <w:pStyle w:val="8"/>
        <w:spacing w:line="560" w:lineRule="exact"/>
        <w:ind w:firstLine="640" w:firstLineChars="200"/>
        <w:rPr>
          <w:rFonts w:hint="eastAsia" w:ascii="Times New Roman" w:hAnsi="Times New Roman" w:eastAsia="仿宋_GB2312"/>
          <w:sz w:val="32"/>
          <w:szCs w:val="32"/>
        </w:rPr>
      </w:pPr>
    </w:p>
    <w:p w14:paraId="6032C8E2">
      <w:pPr>
        <w:pStyle w:val="8"/>
        <w:spacing w:line="560" w:lineRule="exact"/>
        <w:ind w:firstLine="640" w:firstLineChars="200"/>
        <w:rPr>
          <w:rFonts w:hint="eastAsia" w:ascii="Times New Roman" w:hAnsi="Times New Roman" w:eastAsia="仿宋_GB2312"/>
          <w:sz w:val="32"/>
          <w:szCs w:val="32"/>
        </w:rPr>
      </w:pPr>
    </w:p>
    <w:p w14:paraId="272E993A">
      <w:pPr>
        <w:spacing w:line="520" w:lineRule="exact"/>
        <w:jc w:val="left"/>
        <w:rPr>
          <w:rFonts w:eastAsia="黑体"/>
          <w:bCs/>
          <w:sz w:val="32"/>
          <w:szCs w:val="32"/>
        </w:rPr>
      </w:pPr>
      <w:r>
        <w:rPr>
          <w:rFonts w:hint="eastAsia" w:eastAsia="黑体"/>
          <w:bCs/>
          <w:sz w:val="28"/>
          <w:szCs w:val="28"/>
        </w:rPr>
        <w:br w:type="page"/>
      </w:r>
      <w:r>
        <w:rPr>
          <w:rFonts w:hint="eastAsia" w:eastAsia="黑体"/>
          <w:bCs/>
          <w:sz w:val="32"/>
          <w:szCs w:val="32"/>
        </w:rPr>
        <w:t>附</w:t>
      </w:r>
      <w:r>
        <w:rPr>
          <w:rFonts w:eastAsia="黑体"/>
          <w:bCs/>
          <w:sz w:val="32"/>
          <w:szCs w:val="32"/>
        </w:rPr>
        <w:t>表</w:t>
      </w:r>
      <w:r>
        <w:rPr>
          <w:rFonts w:hint="eastAsia" w:eastAsia="黑体"/>
          <w:bCs/>
          <w:sz w:val="32"/>
          <w:szCs w:val="32"/>
        </w:rPr>
        <w:t>9-1</w:t>
      </w:r>
    </w:p>
    <w:p w14:paraId="5E442362">
      <w:pPr>
        <w:pStyle w:val="8"/>
        <w:rPr>
          <w:rFonts w:hint="eastAsia"/>
        </w:rPr>
      </w:pPr>
    </w:p>
    <w:p w14:paraId="206AF7F4">
      <w:pPr>
        <w:spacing w:line="520" w:lineRule="exact"/>
        <w:jc w:val="center"/>
        <w:rPr>
          <w:rFonts w:eastAsia="黑体"/>
          <w:bCs/>
          <w:sz w:val="28"/>
          <w:szCs w:val="28"/>
        </w:rPr>
      </w:pPr>
      <w:r>
        <w:rPr>
          <w:rFonts w:eastAsia="黑体"/>
          <w:bCs/>
          <w:sz w:val="32"/>
          <w:szCs w:val="28"/>
        </w:rPr>
        <w:t>事件和</w:t>
      </w:r>
      <w:r>
        <w:rPr>
          <w:rFonts w:hint="eastAsia" w:eastAsia="黑体"/>
          <w:bCs/>
          <w:sz w:val="32"/>
          <w:szCs w:val="28"/>
        </w:rPr>
        <w:t>情形</w:t>
      </w:r>
      <w:r>
        <w:rPr>
          <w:rFonts w:eastAsia="黑体"/>
          <w:bCs/>
          <w:sz w:val="32"/>
          <w:szCs w:val="28"/>
        </w:rPr>
        <w:t>示例</w:t>
      </w:r>
    </w:p>
    <w:p w14:paraId="6E370BE9">
      <w:pPr>
        <w:spacing w:line="200" w:lineRule="exact"/>
        <w:jc w:val="center"/>
        <w:rPr>
          <w:rFonts w:eastAsia="黑体"/>
          <w:bCs/>
          <w:sz w:val="28"/>
          <w:szCs w:val="28"/>
        </w:rPr>
      </w:pPr>
    </w:p>
    <w:tbl>
      <w:tblPr>
        <w:tblStyle w:val="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80"/>
        <w:gridCol w:w="7308"/>
      </w:tblGrid>
      <w:tr w14:paraId="636E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jc w:val="center"/>
        </w:trPr>
        <w:tc>
          <w:tcPr>
            <w:tcW w:w="1980" w:type="dxa"/>
            <w:noWrap w:val="0"/>
            <w:tcMar>
              <w:top w:w="0" w:type="dxa"/>
              <w:left w:w="108" w:type="dxa"/>
              <w:bottom w:w="0" w:type="dxa"/>
              <w:right w:w="108" w:type="dxa"/>
            </w:tcMar>
            <w:vAlign w:val="center"/>
          </w:tcPr>
          <w:p w14:paraId="5C84DC29">
            <w:pPr>
              <w:spacing w:line="400" w:lineRule="exact"/>
              <w:jc w:val="center"/>
              <w:rPr>
                <w:rFonts w:hint="eastAsia" w:eastAsia="黑体"/>
                <w:kern w:val="0"/>
                <w:sz w:val="28"/>
                <w:szCs w:val="28"/>
              </w:rPr>
            </w:pPr>
            <w:r>
              <w:rPr>
                <w:rFonts w:eastAsia="黑体"/>
                <w:kern w:val="0"/>
                <w:sz w:val="28"/>
                <w:szCs w:val="28"/>
              </w:rPr>
              <w:t>通用</w:t>
            </w:r>
            <w:r>
              <w:rPr>
                <w:rFonts w:hint="eastAsia" w:eastAsia="黑体"/>
                <w:kern w:val="0"/>
                <w:sz w:val="28"/>
                <w:szCs w:val="28"/>
              </w:rPr>
              <w:t>分类</w:t>
            </w:r>
          </w:p>
        </w:tc>
        <w:tc>
          <w:tcPr>
            <w:tcW w:w="7308" w:type="dxa"/>
            <w:noWrap w:val="0"/>
            <w:tcMar>
              <w:top w:w="0" w:type="dxa"/>
              <w:left w:w="108" w:type="dxa"/>
              <w:bottom w:w="0" w:type="dxa"/>
              <w:right w:w="108" w:type="dxa"/>
            </w:tcMar>
            <w:vAlign w:val="center"/>
          </w:tcPr>
          <w:p w14:paraId="50FE0F9B">
            <w:pPr>
              <w:spacing w:line="400" w:lineRule="exact"/>
              <w:jc w:val="center"/>
              <w:rPr>
                <w:rFonts w:eastAsia="黑体"/>
                <w:kern w:val="0"/>
                <w:sz w:val="28"/>
                <w:szCs w:val="28"/>
              </w:rPr>
            </w:pPr>
            <w:r>
              <w:rPr>
                <w:rFonts w:hint="eastAsia" w:eastAsia="黑体"/>
                <w:kern w:val="0"/>
                <w:sz w:val="28"/>
                <w:szCs w:val="28"/>
              </w:rPr>
              <w:t>事件和情形</w:t>
            </w:r>
          </w:p>
        </w:tc>
      </w:tr>
      <w:tr w14:paraId="6A7C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4" w:hRule="atLeast"/>
          <w:jc w:val="center"/>
        </w:trPr>
        <w:tc>
          <w:tcPr>
            <w:tcW w:w="1980" w:type="dxa"/>
            <w:noWrap w:val="0"/>
            <w:tcMar>
              <w:top w:w="0" w:type="dxa"/>
              <w:left w:w="108" w:type="dxa"/>
              <w:bottom w:w="0" w:type="dxa"/>
              <w:right w:w="108" w:type="dxa"/>
            </w:tcMar>
            <w:vAlign w:val="center"/>
          </w:tcPr>
          <w:p w14:paraId="5C88B561">
            <w:pPr>
              <w:spacing w:line="400" w:lineRule="exact"/>
              <w:jc w:val="center"/>
              <w:rPr>
                <w:rFonts w:eastAsia="仿宋_GB2312"/>
                <w:kern w:val="0"/>
                <w:sz w:val="28"/>
                <w:szCs w:val="28"/>
              </w:rPr>
            </w:pPr>
            <w:r>
              <w:rPr>
                <w:rFonts w:eastAsia="仿宋_GB2312"/>
                <w:kern w:val="0"/>
                <w:sz w:val="28"/>
                <w:szCs w:val="28"/>
              </w:rPr>
              <w:t>不完整的要求</w:t>
            </w:r>
          </w:p>
        </w:tc>
        <w:tc>
          <w:tcPr>
            <w:tcW w:w="7308" w:type="dxa"/>
            <w:noWrap w:val="0"/>
            <w:tcMar>
              <w:top w:w="0" w:type="dxa"/>
              <w:left w:w="108" w:type="dxa"/>
              <w:bottom w:w="0" w:type="dxa"/>
              <w:right w:w="108" w:type="dxa"/>
            </w:tcMar>
            <w:vAlign w:val="center"/>
          </w:tcPr>
          <w:p w14:paraId="204C6434">
            <w:pPr>
              <w:spacing w:line="400" w:lineRule="exact"/>
              <w:ind w:firstLine="560" w:firstLineChars="200"/>
              <w:rPr>
                <w:rFonts w:eastAsia="仿宋_GB2312"/>
                <w:kern w:val="0"/>
                <w:sz w:val="28"/>
                <w:szCs w:val="28"/>
              </w:rPr>
            </w:pPr>
            <w:r>
              <w:rPr>
                <w:rFonts w:eastAsia="仿宋_GB2312"/>
                <w:kern w:val="0"/>
                <w:sz w:val="28"/>
                <w:szCs w:val="28"/>
              </w:rPr>
              <w:t>性能要求不符合</w:t>
            </w:r>
          </w:p>
          <w:p w14:paraId="6F5C8959">
            <w:pPr>
              <w:spacing w:line="400" w:lineRule="exact"/>
              <w:ind w:firstLine="560" w:firstLineChars="200"/>
              <w:rPr>
                <w:rFonts w:eastAsia="仿宋_GB2312"/>
                <w:kern w:val="0"/>
                <w:sz w:val="28"/>
                <w:szCs w:val="28"/>
              </w:rPr>
            </w:pPr>
            <w:r>
              <w:rPr>
                <w:rFonts w:hint="eastAsia" w:eastAsia="仿宋_GB2312"/>
                <w:kern w:val="0"/>
                <w:sz w:val="28"/>
                <w:szCs w:val="28"/>
              </w:rPr>
              <w:t>探测效率、测量的重复性及多探头的一致性</w:t>
            </w:r>
            <w:r>
              <w:rPr>
                <w:rFonts w:eastAsia="仿宋_GB2312"/>
                <w:kern w:val="0"/>
                <w:sz w:val="28"/>
                <w:szCs w:val="28"/>
              </w:rPr>
              <w:t>不符合要求</w:t>
            </w:r>
          </w:p>
          <w:p w14:paraId="451EE456">
            <w:pPr>
              <w:spacing w:line="400" w:lineRule="exact"/>
              <w:ind w:firstLine="560" w:firstLineChars="200"/>
              <w:rPr>
                <w:rFonts w:eastAsia="仿宋_GB2312"/>
                <w:kern w:val="0"/>
                <w:sz w:val="28"/>
                <w:szCs w:val="28"/>
              </w:rPr>
            </w:pPr>
            <w:r>
              <w:rPr>
                <w:rFonts w:eastAsia="仿宋_GB2312"/>
                <w:kern w:val="0"/>
                <w:sz w:val="28"/>
                <w:szCs w:val="28"/>
              </w:rPr>
              <w:t>说明书未对设备及附件维护保养的方式、方法、频次进行说明</w:t>
            </w:r>
          </w:p>
          <w:p w14:paraId="00CDC0E0">
            <w:pPr>
              <w:spacing w:line="400" w:lineRule="exact"/>
              <w:ind w:firstLine="560" w:firstLineChars="200"/>
              <w:rPr>
                <w:rFonts w:eastAsia="仿宋_GB2312"/>
                <w:kern w:val="0"/>
                <w:sz w:val="28"/>
                <w:szCs w:val="28"/>
              </w:rPr>
            </w:pPr>
            <w:r>
              <w:rPr>
                <w:rFonts w:eastAsia="仿宋_GB2312"/>
                <w:kern w:val="0"/>
                <w:sz w:val="28"/>
                <w:szCs w:val="28"/>
              </w:rPr>
              <w:t>未对校准</w:t>
            </w:r>
            <w:r>
              <w:rPr>
                <w:rFonts w:hint="eastAsia" w:eastAsia="仿宋_GB2312"/>
                <w:kern w:val="0"/>
                <w:sz w:val="28"/>
                <w:szCs w:val="28"/>
                <w:lang w:val="en-US" w:eastAsia="zh-CN"/>
              </w:rPr>
              <w:t>周</w:t>
            </w:r>
            <w:bookmarkStart w:id="1" w:name="_GoBack"/>
            <w:bookmarkEnd w:id="1"/>
            <w:r>
              <w:rPr>
                <w:rFonts w:eastAsia="仿宋_GB2312"/>
                <w:kern w:val="0"/>
                <w:sz w:val="28"/>
                <w:szCs w:val="28"/>
              </w:rPr>
              <w:t>期进行说明</w:t>
            </w:r>
          </w:p>
        </w:tc>
      </w:tr>
      <w:tr w14:paraId="5F93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1" w:hRule="atLeast"/>
          <w:jc w:val="center"/>
        </w:trPr>
        <w:tc>
          <w:tcPr>
            <w:tcW w:w="1980" w:type="dxa"/>
            <w:noWrap w:val="0"/>
            <w:tcMar>
              <w:top w:w="0" w:type="dxa"/>
              <w:left w:w="108" w:type="dxa"/>
              <w:bottom w:w="0" w:type="dxa"/>
              <w:right w:w="108" w:type="dxa"/>
            </w:tcMar>
            <w:vAlign w:val="center"/>
          </w:tcPr>
          <w:p w14:paraId="5A408739">
            <w:pPr>
              <w:spacing w:line="400" w:lineRule="exact"/>
              <w:jc w:val="center"/>
              <w:rPr>
                <w:rFonts w:eastAsia="仿宋_GB2312"/>
                <w:kern w:val="0"/>
                <w:sz w:val="28"/>
                <w:szCs w:val="28"/>
              </w:rPr>
            </w:pPr>
            <w:r>
              <w:rPr>
                <w:rFonts w:eastAsia="仿宋_GB2312"/>
                <w:kern w:val="0"/>
                <w:sz w:val="28"/>
                <w:szCs w:val="28"/>
              </w:rPr>
              <w:t>制造过程</w:t>
            </w:r>
          </w:p>
        </w:tc>
        <w:tc>
          <w:tcPr>
            <w:tcW w:w="7308" w:type="dxa"/>
            <w:noWrap w:val="0"/>
            <w:tcMar>
              <w:top w:w="0" w:type="dxa"/>
              <w:left w:w="108" w:type="dxa"/>
              <w:bottom w:w="0" w:type="dxa"/>
              <w:right w:w="108" w:type="dxa"/>
            </w:tcMar>
            <w:vAlign w:val="center"/>
          </w:tcPr>
          <w:p w14:paraId="1CD3291C">
            <w:pPr>
              <w:spacing w:line="400" w:lineRule="exact"/>
              <w:ind w:firstLine="560" w:firstLineChars="200"/>
              <w:rPr>
                <w:rFonts w:eastAsia="仿宋_GB2312"/>
                <w:kern w:val="0"/>
                <w:sz w:val="28"/>
                <w:szCs w:val="28"/>
              </w:rPr>
            </w:pPr>
            <w:r>
              <w:rPr>
                <w:rFonts w:eastAsia="仿宋_GB2312"/>
                <w:kern w:val="0"/>
                <w:sz w:val="28"/>
                <w:szCs w:val="28"/>
              </w:rPr>
              <w:t>控制程序（包括软件）修改未经验证，导致产品的测量误差不符合要求</w:t>
            </w:r>
          </w:p>
          <w:p w14:paraId="088F86B4">
            <w:pPr>
              <w:spacing w:line="400" w:lineRule="exact"/>
              <w:ind w:firstLine="560" w:firstLineChars="200"/>
              <w:rPr>
                <w:rFonts w:eastAsia="仿宋_GB2312"/>
                <w:kern w:val="0"/>
                <w:sz w:val="28"/>
                <w:szCs w:val="28"/>
              </w:rPr>
            </w:pPr>
            <w:r>
              <w:rPr>
                <w:rFonts w:eastAsia="仿宋_GB2312"/>
                <w:kern w:val="0"/>
                <w:sz w:val="28"/>
                <w:szCs w:val="28"/>
              </w:rPr>
              <w:t>生产过程关键工序控制点未进行监测，导致各部件配合不符合要求等</w:t>
            </w:r>
          </w:p>
          <w:p w14:paraId="1CE97C52">
            <w:pPr>
              <w:spacing w:line="400" w:lineRule="exact"/>
              <w:ind w:firstLine="560" w:firstLineChars="200"/>
              <w:rPr>
                <w:rFonts w:eastAsia="仿宋_GB2312"/>
                <w:kern w:val="0"/>
                <w:sz w:val="28"/>
                <w:szCs w:val="28"/>
              </w:rPr>
            </w:pPr>
            <w:r>
              <w:rPr>
                <w:rFonts w:eastAsia="仿宋_GB2312"/>
                <w:kern w:val="0"/>
                <w:sz w:val="28"/>
                <w:szCs w:val="28"/>
              </w:rPr>
              <w:t>外购、外协件供方选择不当，外购、外协件未进行有效进货检验，导致不合格外购、外协件投入生产等</w:t>
            </w:r>
          </w:p>
        </w:tc>
      </w:tr>
      <w:tr w14:paraId="1C2B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jc w:val="center"/>
        </w:trPr>
        <w:tc>
          <w:tcPr>
            <w:tcW w:w="1980" w:type="dxa"/>
            <w:noWrap w:val="0"/>
            <w:tcMar>
              <w:top w:w="0" w:type="dxa"/>
              <w:left w:w="108" w:type="dxa"/>
              <w:bottom w:w="0" w:type="dxa"/>
              <w:right w:w="108" w:type="dxa"/>
            </w:tcMar>
            <w:vAlign w:val="center"/>
          </w:tcPr>
          <w:p w14:paraId="74D475A1">
            <w:pPr>
              <w:spacing w:line="400" w:lineRule="exact"/>
              <w:jc w:val="center"/>
              <w:rPr>
                <w:rFonts w:eastAsia="仿宋_GB2312"/>
                <w:kern w:val="0"/>
                <w:sz w:val="28"/>
                <w:szCs w:val="28"/>
              </w:rPr>
            </w:pPr>
            <w:r>
              <w:rPr>
                <w:rFonts w:eastAsia="仿宋_GB2312"/>
                <w:kern w:val="0"/>
                <w:sz w:val="28"/>
                <w:szCs w:val="28"/>
              </w:rPr>
              <w:t>运输和贮藏</w:t>
            </w:r>
          </w:p>
        </w:tc>
        <w:tc>
          <w:tcPr>
            <w:tcW w:w="7308" w:type="dxa"/>
            <w:noWrap w:val="0"/>
            <w:tcMar>
              <w:top w:w="0" w:type="dxa"/>
              <w:left w:w="108" w:type="dxa"/>
              <w:bottom w:w="0" w:type="dxa"/>
              <w:right w:w="108" w:type="dxa"/>
            </w:tcMar>
            <w:vAlign w:val="center"/>
          </w:tcPr>
          <w:p w14:paraId="4F1F287E">
            <w:pPr>
              <w:spacing w:line="400" w:lineRule="exact"/>
              <w:ind w:firstLine="560" w:firstLineChars="200"/>
              <w:rPr>
                <w:rFonts w:eastAsia="仿宋_GB2312"/>
                <w:kern w:val="0"/>
                <w:sz w:val="28"/>
                <w:szCs w:val="28"/>
              </w:rPr>
            </w:pPr>
            <w:r>
              <w:rPr>
                <w:rFonts w:eastAsia="仿宋_GB2312"/>
                <w:kern w:val="0"/>
                <w:sz w:val="28"/>
                <w:szCs w:val="28"/>
              </w:rPr>
              <w:t>产品防护不当导致设备运输过程中损坏等</w:t>
            </w:r>
          </w:p>
          <w:p w14:paraId="5C99D8EB">
            <w:pPr>
              <w:spacing w:line="400" w:lineRule="exact"/>
              <w:ind w:firstLine="560" w:firstLineChars="200"/>
              <w:rPr>
                <w:rFonts w:eastAsia="仿宋_GB2312"/>
                <w:kern w:val="0"/>
                <w:sz w:val="28"/>
                <w:szCs w:val="28"/>
              </w:rPr>
            </w:pPr>
            <w:r>
              <w:rPr>
                <w:rFonts w:eastAsia="仿宋_GB2312"/>
                <w:kern w:val="0"/>
                <w:sz w:val="28"/>
                <w:szCs w:val="28"/>
              </w:rPr>
              <w:t>在超出设备规定的贮藏环境（温度、湿度、压力）贮藏设备，导致设备不能正常工作等</w:t>
            </w:r>
          </w:p>
        </w:tc>
      </w:tr>
      <w:tr w14:paraId="2C8C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8" w:hRule="atLeast"/>
          <w:jc w:val="center"/>
        </w:trPr>
        <w:tc>
          <w:tcPr>
            <w:tcW w:w="1980" w:type="dxa"/>
            <w:noWrap w:val="0"/>
            <w:tcMar>
              <w:top w:w="0" w:type="dxa"/>
              <w:left w:w="108" w:type="dxa"/>
              <w:bottom w:w="0" w:type="dxa"/>
              <w:right w:w="108" w:type="dxa"/>
            </w:tcMar>
            <w:vAlign w:val="center"/>
          </w:tcPr>
          <w:p w14:paraId="70094FB0">
            <w:pPr>
              <w:spacing w:line="400" w:lineRule="exact"/>
              <w:jc w:val="center"/>
              <w:rPr>
                <w:rFonts w:eastAsia="仿宋_GB2312"/>
                <w:kern w:val="0"/>
                <w:sz w:val="28"/>
                <w:szCs w:val="28"/>
              </w:rPr>
            </w:pPr>
            <w:r>
              <w:rPr>
                <w:rFonts w:eastAsia="仿宋_GB2312"/>
                <w:kern w:val="0"/>
                <w:sz w:val="28"/>
                <w:szCs w:val="28"/>
              </w:rPr>
              <w:t>环境因素</w:t>
            </w:r>
          </w:p>
        </w:tc>
        <w:tc>
          <w:tcPr>
            <w:tcW w:w="7308" w:type="dxa"/>
            <w:noWrap w:val="0"/>
            <w:tcMar>
              <w:top w:w="0" w:type="dxa"/>
              <w:left w:w="108" w:type="dxa"/>
              <w:bottom w:w="0" w:type="dxa"/>
              <w:right w:w="108" w:type="dxa"/>
            </w:tcMar>
            <w:vAlign w:val="center"/>
          </w:tcPr>
          <w:p w14:paraId="66B9320D">
            <w:pPr>
              <w:spacing w:line="400" w:lineRule="exact"/>
              <w:ind w:firstLine="560" w:firstLineChars="200"/>
              <w:rPr>
                <w:rFonts w:eastAsia="仿宋_GB2312"/>
                <w:kern w:val="0"/>
                <w:sz w:val="28"/>
                <w:szCs w:val="28"/>
              </w:rPr>
            </w:pPr>
            <w:r>
              <w:rPr>
                <w:rFonts w:eastAsia="仿宋_GB2312"/>
                <w:kern w:val="0"/>
                <w:sz w:val="28"/>
                <w:szCs w:val="28"/>
              </w:rPr>
              <w:t>温度、湿度、海拔如超出给定范围后可能造成测量结果不准确。</w:t>
            </w:r>
          </w:p>
          <w:p w14:paraId="46F13EFA">
            <w:pPr>
              <w:spacing w:line="400" w:lineRule="exact"/>
              <w:ind w:firstLine="560" w:firstLineChars="200"/>
              <w:rPr>
                <w:rFonts w:eastAsia="仿宋_GB2312"/>
                <w:kern w:val="0"/>
                <w:sz w:val="28"/>
                <w:szCs w:val="28"/>
              </w:rPr>
            </w:pPr>
            <w:r>
              <w:rPr>
                <w:rFonts w:eastAsia="仿宋_GB2312"/>
                <w:kern w:val="0"/>
                <w:sz w:val="28"/>
                <w:szCs w:val="28"/>
              </w:rPr>
              <w:t>过热、过冷</w:t>
            </w:r>
            <w:r>
              <w:rPr>
                <w:rFonts w:hint="eastAsia" w:eastAsia="仿宋_GB2312"/>
                <w:kern w:val="0"/>
                <w:sz w:val="28"/>
                <w:szCs w:val="28"/>
              </w:rPr>
              <w:t>潮湿过大</w:t>
            </w:r>
            <w:r>
              <w:rPr>
                <w:rFonts w:eastAsia="仿宋_GB2312"/>
                <w:kern w:val="0"/>
                <w:sz w:val="28"/>
                <w:szCs w:val="28"/>
              </w:rPr>
              <w:t>的环境可能导致设备不能正常工作等</w:t>
            </w:r>
          </w:p>
          <w:p w14:paraId="23D57525">
            <w:pPr>
              <w:spacing w:line="400" w:lineRule="exact"/>
              <w:ind w:firstLine="560" w:firstLineChars="200"/>
              <w:rPr>
                <w:rFonts w:eastAsia="仿宋_GB2312"/>
                <w:kern w:val="0"/>
                <w:sz w:val="28"/>
                <w:szCs w:val="28"/>
              </w:rPr>
            </w:pPr>
            <w:r>
              <w:rPr>
                <w:rFonts w:eastAsia="仿宋_GB2312"/>
                <w:kern w:val="0"/>
                <w:sz w:val="28"/>
                <w:szCs w:val="28"/>
              </w:rPr>
              <w:t>强酸强碱导致损害等</w:t>
            </w:r>
          </w:p>
          <w:p w14:paraId="37025444">
            <w:pPr>
              <w:spacing w:line="400" w:lineRule="exact"/>
              <w:ind w:firstLine="560" w:firstLineChars="200"/>
              <w:rPr>
                <w:rFonts w:eastAsia="仿宋_GB2312"/>
                <w:kern w:val="0"/>
                <w:sz w:val="28"/>
                <w:szCs w:val="28"/>
              </w:rPr>
            </w:pPr>
            <w:r>
              <w:rPr>
                <w:rFonts w:eastAsia="仿宋_GB2312"/>
                <w:kern w:val="0"/>
                <w:sz w:val="28"/>
                <w:szCs w:val="28"/>
              </w:rPr>
              <w:t>抗电磁干扰能力差，特定环境设备工作不正常等</w:t>
            </w:r>
          </w:p>
          <w:p w14:paraId="4EE7D0AE">
            <w:pPr>
              <w:spacing w:line="400" w:lineRule="exact"/>
              <w:ind w:firstLine="560" w:firstLineChars="200"/>
              <w:rPr>
                <w:rFonts w:eastAsia="仿宋_GB2312"/>
                <w:kern w:val="0"/>
                <w:sz w:val="28"/>
                <w:szCs w:val="28"/>
              </w:rPr>
            </w:pPr>
            <w:r>
              <w:rPr>
                <w:rFonts w:eastAsia="仿宋_GB2312"/>
                <w:kern w:val="0"/>
                <w:sz w:val="28"/>
                <w:szCs w:val="28"/>
              </w:rPr>
              <w:t>设备的供电电压不稳定，导致设备不能正常工作或损坏等</w:t>
            </w:r>
          </w:p>
        </w:tc>
      </w:tr>
      <w:tr w14:paraId="4F1D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jc w:val="center"/>
        </w:trPr>
        <w:tc>
          <w:tcPr>
            <w:tcW w:w="1980" w:type="dxa"/>
            <w:noWrap w:val="0"/>
            <w:tcMar>
              <w:top w:w="0" w:type="dxa"/>
              <w:left w:w="108" w:type="dxa"/>
              <w:bottom w:w="0" w:type="dxa"/>
              <w:right w:w="108" w:type="dxa"/>
            </w:tcMar>
            <w:vAlign w:val="center"/>
          </w:tcPr>
          <w:p w14:paraId="006461BD">
            <w:pPr>
              <w:spacing w:line="400" w:lineRule="exact"/>
              <w:jc w:val="center"/>
              <w:rPr>
                <w:rFonts w:eastAsia="仿宋_GB2312"/>
                <w:kern w:val="0"/>
                <w:sz w:val="28"/>
                <w:szCs w:val="28"/>
              </w:rPr>
            </w:pPr>
            <w:r>
              <w:rPr>
                <w:rFonts w:eastAsia="仿宋_GB2312"/>
                <w:kern w:val="0"/>
                <w:sz w:val="28"/>
                <w:szCs w:val="28"/>
              </w:rPr>
              <w:t>清洁、消毒</w:t>
            </w:r>
          </w:p>
          <w:p w14:paraId="71F27544">
            <w:pPr>
              <w:spacing w:line="400" w:lineRule="exact"/>
              <w:jc w:val="center"/>
              <w:rPr>
                <w:rFonts w:eastAsia="仿宋_GB2312"/>
                <w:kern w:val="0"/>
                <w:sz w:val="28"/>
                <w:szCs w:val="28"/>
              </w:rPr>
            </w:pPr>
            <w:r>
              <w:rPr>
                <w:rFonts w:eastAsia="仿宋_GB2312"/>
                <w:kern w:val="0"/>
                <w:sz w:val="28"/>
                <w:szCs w:val="28"/>
              </w:rPr>
              <w:t>和灭菌</w:t>
            </w:r>
          </w:p>
        </w:tc>
        <w:tc>
          <w:tcPr>
            <w:tcW w:w="7308" w:type="dxa"/>
            <w:noWrap w:val="0"/>
            <w:tcMar>
              <w:top w:w="0" w:type="dxa"/>
              <w:left w:w="108" w:type="dxa"/>
              <w:bottom w:w="0" w:type="dxa"/>
              <w:right w:w="108" w:type="dxa"/>
            </w:tcMar>
            <w:vAlign w:val="center"/>
          </w:tcPr>
          <w:p w14:paraId="0DE3C223">
            <w:pPr>
              <w:spacing w:line="400" w:lineRule="exact"/>
              <w:ind w:firstLine="560" w:firstLineChars="200"/>
              <w:rPr>
                <w:rFonts w:eastAsia="仿宋_GB2312"/>
                <w:kern w:val="0"/>
                <w:sz w:val="28"/>
                <w:szCs w:val="28"/>
              </w:rPr>
            </w:pPr>
            <w:r>
              <w:rPr>
                <w:rFonts w:eastAsia="仿宋_GB2312"/>
                <w:kern w:val="0"/>
                <w:sz w:val="28"/>
                <w:szCs w:val="28"/>
              </w:rPr>
              <w:t>使用说明书中推荐的清洗、消毒方法未经确认</w:t>
            </w:r>
          </w:p>
          <w:p w14:paraId="7F3C7BFD">
            <w:pPr>
              <w:spacing w:line="400" w:lineRule="exact"/>
              <w:ind w:firstLine="560" w:firstLineChars="200"/>
              <w:rPr>
                <w:rFonts w:eastAsia="仿宋_GB2312"/>
                <w:kern w:val="0"/>
                <w:sz w:val="28"/>
                <w:szCs w:val="28"/>
              </w:rPr>
            </w:pPr>
            <w:r>
              <w:rPr>
                <w:rFonts w:eastAsia="仿宋_GB2312"/>
                <w:kern w:val="0"/>
                <w:sz w:val="28"/>
                <w:szCs w:val="28"/>
              </w:rPr>
              <w:t>使用者未按要求进行</w:t>
            </w:r>
            <w:r>
              <w:rPr>
                <w:rFonts w:hint="eastAsia" w:eastAsia="仿宋_GB2312"/>
                <w:kern w:val="0"/>
                <w:sz w:val="28"/>
                <w:szCs w:val="28"/>
              </w:rPr>
              <w:t>保养</w:t>
            </w:r>
            <w:r>
              <w:rPr>
                <w:rFonts w:eastAsia="仿宋_GB2312"/>
                <w:kern w:val="0"/>
                <w:sz w:val="28"/>
                <w:szCs w:val="28"/>
              </w:rPr>
              <w:t>、</w:t>
            </w:r>
            <w:r>
              <w:rPr>
                <w:rFonts w:hint="eastAsia" w:eastAsia="仿宋_GB2312"/>
                <w:kern w:val="0"/>
                <w:sz w:val="28"/>
                <w:szCs w:val="28"/>
              </w:rPr>
              <w:t>洗消</w:t>
            </w:r>
          </w:p>
        </w:tc>
      </w:tr>
      <w:tr w14:paraId="71A5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1" w:hRule="atLeast"/>
          <w:jc w:val="center"/>
        </w:trPr>
        <w:tc>
          <w:tcPr>
            <w:tcW w:w="1980" w:type="dxa"/>
            <w:noWrap w:val="0"/>
            <w:tcMar>
              <w:top w:w="0" w:type="dxa"/>
              <w:left w:w="108" w:type="dxa"/>
              <w:bottom w:w="0" w:type="dxa"/>
              <w:right w:w="108" w:type="dxa"/>
            </w:tcMar>
            <w:vAlign w:val="center"/>
          </w:tcPr>
          <w:p w14:paraId="145403C0">
            <w:pPr>
              <w:spacing w:line="400" w:lineRule="exact"/>
              <w:jc w:val="center"/>
              <w:rPr>
                <w:rFonts w:eastAsia="仿宋_GB2312"/>
                <w:kern w:val="0"/>
                <w:sz w:val="28"/>
                <w:szCs w:val="28"/>
              </w:rPr>
            </w:pPr>
            <w:r>
              <w:rPr>
                <w:rFonts w:eastAsia="仿宋_GB2312"/>
                <w:kern w:val="0"/>
                <w:sz w:val="28"/>
                <w:szCs w:val="28"/>
              </w:rPr>
              <w:t>处置和废弃</w:t>
            </w:r>
          </w:p>
        </w:tc>
        <w:tc>
          <w:tcPr>
            <w:tcW w:w="7308" w:type="dxa"/>
            <w:noWrap w:val="0"/>
            <w:tcMar>
              <w:top w:w="0" w:type="dxa"/>
              <w:left w:w="108" w:type="dxa"/>
              <w:bottom w:w="0" w:type="dxa"/>
              <w:right w:w="108" w:type="dxa"/>
            </w:tcMar>
            <w:vAlign w:val="center"/>
          </w:tcPr>
          <w:p w14:paraId="3940D041">
            <w:pPr>
              <w:spacing w:line="400" w:lineRule="exact"/>
              <w:ind w:firstLine="560" w:firstLineChars="200"/>
              <w:rPr>
                <w:rFonts w:eastAsia="仿宋_GB2312"/>
                <w:kern w:val="0"/>
                <w:sz w:val="28"/>
                <w:szCs w:val="28"/>
              </w:rPr>
            </w:pPr>
            <w:r>
              <w:rPr>
                <w:rFonts w:eastAsia="仿宋_GB2312"/>
                <w:kern w:val="0"/>
                <w:sz w:val="28"/>
                <w:szCs w:val="28"/>
              </w:rPr>
              <w:t>未在使用说明书中对</w:t>
            </w:r>
            <w:r>
              <w:rPr>
                <w:rFonts w:hint="eastAsia" w:eastAsia="仿宋_GB2312"/>
                <w:kern w:val="0"/>
                <w:sz w:val="28"/>
                <w:szCs w:val="28"/>
              </w:rPr>
              <w:t>γ放射免疫计数器</w:t>
            </w:r>
            <w:r>
              <w:rPr>
                <w:rFonts w:eastAsia="仿宋_GB2312"/>
                <w:kern w:val="0"/>
                <w:sz w:val="28"/>
                <w:szCs w:val="28"/>
              </w:rPr>
              <w:t>或其他部件的处置（特别是使用后的处置）和废弃方法进行说明，或信息不充分；未对设备废弃的处置进行提示性说明等。</w:t>
            </w:r>
          </w:p>
        </w:tc>
      </w:tr>
      <w:tr w14:paraId="50E6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9" w:hRule="atLeast"/>
          <w:jc w:val="center"/>
        </w:trPr>
        <w:tc>
          <w:tcPr>
            <w:tcW w:w="1980" w:type="dxa"/>
            <w:noWrap w:val="0"/>
            <w:tcMar>
              <w:top w:w="0" w:type="dxa"/>
              <w:left w:w="108" w:type="dxa"/>
              <w:bottom w:w="0" w:type="dxa"/>
              <w:right w:w="108" w:type="dxa"/>
            </w:tcMar>
            <w:vAlign w:val="center"/>
          </w:tcPr>
          <w:p w14:paraId="1D388BC3">
            <w:pPr>
              <w:spacing w:line="400" w:lineRule="exact"/>
              <w:jc w:val="center"/>
              <w:rPr>
                <w:rFonts w:eastAsia="仿宋_GB2312"/>
                <w:kern w:val="0"/>
                <w:sz w:val="28"/>
                <w:szCs w:val="28"/>
              </w:rPr>
            </w:pPr>
            <w:r>
              <w:rPr>
                <w:rFonts w:eastAsia="仿宋_GB2312"/>
                <w:kern w:val="0"/>
                <w:sz w:val="28"/>
                <w:szCs w:val="28"/>
              </w:rPr>
              <w:t>人为因素</w:t>
            </w:r>
          </w:p>
        </w:tc>
        <w:tc>
          <w:tcPr>
            <w:tcW w:w="7308" w:type="dxa"/>
            <w:noWrap w:val="0"/>
            <w:tcMar>
              <w:top w:w="0" w:type="dxa"/>
              <w:left w:w="108" w:type="dxa"/>
              <w:bottom w:w="0" w:type="dxa"/>
              <w:right w:w="108" w:type="dxa"/>
            </w:tcMar>
            <w:vAlign w:val="center"/>
          </w:tcPr>
          <w:p w14:paraId="2CF1C860">
            <w:pPr>
              <w:spacing w:line="400" w:lineRule="exact"/>
              <w:ind w:firstLine="560" w:firstLineChars="200"/>
              <w:rPr>
                <w:rFonts w:eastAsia="仿宋_GB2312"/>
                <w:kern w:val="0"/>
                <w:sz w:val="28"/>
                <w:szCs w:val="28"/>
              </w:rPr>
            </w:pPr>
            <w:r>
              <w:rPr>
                <w:rFonts w:eastAsia="仿宋_GB2312"/>
                <w:kern w:val="0"/>
                <w:sz w:val="28"/>
                <w:szCs w:val="28"/>
              </w:rPr>
              <w:t>设计缺陷引发的使用错误</w:t>
            </w:r>
          </w:p>
          <w:p w14:paraId="522CA951">
            <w:pPr>
              <w:spacing w:line="400" w:lineRule="exact"/>
              <w:ind w:firstLine="560" w:firstLineChars="200"/>
              <w:rPr>
                <w:rFonts w:eastAsia="仿宋_GB2312"/>
                <w:kern w:val="0"/>
                <w:sz w:val="28"/>
                <w:szCs w:val="28"/>
              </w:rPr>
            </w:pPr>
            <w:r>
              <w:rPr>
                <w:rFonts w:eastAsia="仿宋_GB2312"/>
                <w:kern w:val="0"/>
                <w:sz w:val="28"/>
                <w:szCs w:val="28"/>
              </w:rPr>
              <w:t>易混淆的或缺少使用说明书：</w:t>
            </w:r>
          </w:p>
          <w:p w14:paraId="1FA4E0C6">
            <w:pPr>
              <w:spacing w:line="400" w:lineRule="exact"/>
              <w:ind w:firstLine="560" w:firstLineChars="200"/>
              <w:rPr>
                <w:rFonts w:eastAsia="仿宋_GB2312"/>
                <w:kern w:val="0"/>
                <w:sz w:val="28"/>
                <w:szCs w:val="28"/>
              </w:rPr>
            </w:pPr>
            <w:r>
              <w:rPr>
                <w:rFonts w:eastAsia="仿宋_GB2312"/>
                <w:kern w:val="0"/>
                <w:sz w:val="28"/>
                <w:szCs w:val="28"/>
              </w:rPr>
              <w:t>—图示符号说明不规范</w:t>
            </w:r>
          </w:p>
          <w:p w14:paraId="19C2BC46">
            <w:pPr>
              <w:spacing w:line="400" w:lineRule="exact"/>
              <w:ind w:firstLine="560" w:firstLineChars="200"/>
              <w:rPr>
                <w:rFonts w:eastAsia="仿宋_GB2312"/>
                <w:kern w:val="0"/>
                <w:sz w:val="28"/>
                <w:szCs w:val="28"/>
              </w:rPr>
            </w:pPr>
            <w:r>
              <w:rPr>
                <w:rFonts w:eastAsia="仿宋_GB2312"/>
                <w:kern w:val="0"/>
                <w:sz w:val="28"/>
                <w:szCs w:val="28"/>
              </w:rPr>
              <w:t>—操作使用方法不清楚</w:t>
            </w:r>
          </w:p>
          <w:p w14:paraId="1A77BC7E">
            <w:pPr>
              <w:spacing w:line="400" w:lineRule="exact"/>
              <w:ind w:firstLine="560" w:firstLineChars="200"/>
              <w:rPr>
                <w:rFonts w:eastAsia="仿宋_GB2312"/>
                <w:kern w:val="0"/>
                <w:sz w:val="28"/>
                <w:szCs w:val="28"/>
              </w:rPr>
            </w:pPr>
            <w:r>
              <w:rPr>
                <w:rFonts w:eastAsia="仿宋_GB2312"/>
                <w:kern w:val="0"/>
                <w:sz w:val="28"/>
                <w:szCs w:val="28"/>
              </w:rPr>
              <w:t>—技术说明不清楚</w:t>
            </w:r>
          </w:p>
          <w:p w14:paraId="2DC1267E">
            <w:pPr>
              <w:spacing w:line="400" w:lineRule="exact"/>
              <w:ind w:firstLine="560" w:firstLineChars="200"/>
              <w:rPr>
                <w:rFonts w:eastAsia="仿宋_GB2312"/>
                <w:kern w:val="0"/>
                <w:sz w:val="28"/>
                <w:szCs w:val="28"/>
              </w:rPr>
            </w:pPr>
            <w:r>
              <w:rPr>
                <w:rFonts w:eastAsia="仿宋_GB2312"/>
                <w:kern w:val="0"/>
                <w:sz w:val="28"/>
                <w:szCs w:val="28"/>
              </w:rPr>
              <w:t>—重要的警告性说明或注意事项不明确</w:t>
            </w:r>
          </w:p>
          <w:p w14:paraId="47F12409">
            <w:pPr>
              <w:spacing w:line="400" w:lineRule="exact"/>
              <w:ind w:firstLine="560" w:firstLineChars="200"/>
              <w:rPr>
                <w:rFonts w:eastAsia="仿宋_GB2312"/>
                <w:kern w:val="0"/>
                <w:sz w:val="28"/>
                <w:szCs w:val="28"/>
              </w:rPr>
            </w:pPr>
            <w:r>
              <w:rPr>
                <w:rFonts w:eastAsia="仿宋_GB2312"/>
                <w:kern w:val="0"/>
                <w:sz w:val="28"/>
                <w:szCs w:val="28"/>
              </w:rPr>
              <w:t>—不适当的操作说明等</w:t>
            </w:r>
          </w:p>
          <w:p w14:paraId="61DB9F98">
            <w:pPr>
              <w:spacing w:line="400" w:lineRule="exact"/>
              <w:ind w:firstLine="560" w:firstLineChars="200"/>
              <w:rPr>
                <w:rFonts w:eastAsia="仿宋_GB2312"/>
                <w:kern w:val="0"/>
                <w:sz w:val="28"/>
                <w:szCs w:val="28"/>
              </w:rPr>
            </w:pPr>
            <w:r>
              <w:rPr>
                <w:rFonts w:eastAsia="仿宋_GB2312"/>
                <w:kern w:val="0"/>
                <w:sz w:val="28"/>
                <w:szCs w:val="28"/>
              </w:rPr>
              <w:t>不正确的测量和计量</w:t>
            </w:r>
          </w:p>
        </w:tc>
      </w:tr>
      <w:tr w14:paraId="2457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980" w:type="dxa"/>
            <w:noWrap w:val="0"/>
            <w:tcMar>
              <w:top w:w="0" w:type="dxa"/>
              <w:left w:w="108" w:type="dxa"/>
              <w:bottom w:w="0" w:type="dxa"/>
              <w:right w:w="108" w:type="dxa"/>
            </w:tcMar>
            <w:vAlign w:val="center"/>
          </w:tcPr>
          <w:p w14:paraId="7184BC40">
            <w:pPr>
              <w:spacing w:line="400" w:lineRule="exact"/>
              <w:jc w:val="center"/>
              <w:rPr>
                <w:rFonts w:eastAsia="仿宋_GB2312"/>
                <w:kern w:val="0"/>
                <w:sz w:val="28"/>
                <w:szCs w:val="28"/>
              </w:rPr>
            </w:pPr>
            <w:r>
              <w:rPr>
                <w:rFonts w:eastAsia="仿宋_GB2312"/>
                <w:kern w:val="0"/>
                <w:sz w:val="28"/>
                <w:szCs w:val="28"/>
              </w:rPr>
              <w:t>失效模式</w:t>
            </w:r>
          </w:p>
        </w:tc>
        <w:tc>
          <w:tcPr>
            <w:tcW w:w="7308" w:type="dxa"/>
            <w:noWrap w:val="0"/>
            <w:tcMar>
              <w:top w:w="0" w:type="dxa"/>
              <w:left w:w="108" w:type="dxa"/>
              <w:bottom w:w="0" w:type="dxa"/>
              <w:right w:w="108" w:type="dxa"/>
            </w:tcMar>
            <w:vAlign w:val="center"/>
          </w:tcPr>
          <w:p w14:paraId="3F9346B6">
            <w:pPr>
              <w:spacing w:line="400" w:lineRule="exact"/>
              <w:ind w:firstLine="560" w:firstLineChars="200"/>
              <w:rPr>
                <w:rFonts w:eastAsia="仿宋_GB2312"/>
                <w:kern w:val="0"/>
                <w:sz w:val="28"/>
                <w:szCs w:val="28"/>
              </w:rPr>
            </w:pPr>
            <w:r>
              <w:rPr>
                <w:rFonts w:eastAsia="仿宋_GB2312"/>
                <w:kern w:val="0"/>
                <w:sz w:val="28"/>
                <w:szCs w:val="28"/>
              </w:rPr>
              <w:t>由于老化、磨损和重复使用而导致功能退化/疲劳失效（特别是医院等公共场所中使用时）</w:t>
            </w:r>
          </w:p>
        </w:tc>
      </w:tr>
    </w:tbl>
    <w:p w14:paraId="1DE85A76">
      <w:pPr>
        <w:pStyle w:val="8"/>
        <w:rPr>
          <w:rFonts w:ascii="Times New Roman" w:hAnsi="Times New Roman" w:eastAsia="黑体"/>
          <w:bCs/>
          <w:sz w:val="28"/>
          <w:szCs w:val="28"/>
        </w:rPr>
      </w:pPr>
    </w:p>
    <w:p w14:paraId="3A921717">
      <w:pPr>
        <w:spacing w:line="520" w:lineRule="exact"/>
        <w:jc w:val="left"/>
        <w:rPr>
          <w:rFonts w:eastAsia="黑体"/>
          <w:bCs/>
          <w:sz w:val="32"/>
          <w:szCs w:val="32"/>
        </w:rPr>
      </w:pPr>
      <w:r>
        <w:rPr>
          <w:rFonts w:hint="eastAsia" w:eastAsia="黑体"/>
          <w:bCs/>
          <w:sz w:val="28"/>
          <w:szCs w:val="28"/>
        </w:rPr>
        <w:br w:type="page"/>
      </w:r>
      <w:r>
        <w:rPr>
          <w:rFonts w:hint="eastAsia" w:eastAsia="黑体"/>
          <w:bCs/>
          <w:sz w:val="32"/>
          <w:szCs w:val="32"/>
        </w:rPr>
        <w:t>附</w:t>
      </w:r>
      <w:r>
        <w:rPr>
          <w:rFonts w:eastAsia="黑体"/>
          <w:bCs/>
          <w:sz w:val="32"/>
          <w:szCs w:val="32"/>
        </w:rPr>
        <w:t>表</w:t>
      </w:r>
      <w:r>
        <w:rPr>
          <w:rFonts w:hint="eastAsia" w:eastAsia="黑体"/>
          <w:bCs/>
          <w:sz w:val="32"/>
          <w:szCs w:val="32"/>
        </w:rPr>
        <w:t>9-2</w:t>
      </w:r>
    </w:p>
    <w:p w14:paraId="67BC739C">
      <w:pPr>
        <w:pStyle w:val="8"/>
        <w:rPr>
          <w:rFonts w:hint="eastAsia"/>
        </w:rPr>
      </w:pPr>
    </w:p>
    <w:p w14:paraId="64665D0F">
      <w:pPr>
        <w:spacing w:line="520" w:lineRule="exact"/>
        <w:jc w:val="center"/>
        <w:rPr>
          <w:rFonts w:hint="eastAsia" w:eastAsia="黑体"/>
          <w:bCs/>
          <w:sz w:val="28"/>
          <w:szCs w:val="28"/>
        </w:rPr>
      </w:pPr>
      <w:r>
        <w:rPr>
          <w:rFonts w:eastAsia="黑体"/>
          <w:bCs/>
          <w:sz w:val="28"/>
          <w:szCs w:val="28"/>
        </w:rPr>
        <w:t>危</w:t>
      </w:r>
      <w:r>
        <w:rPr>
          <w:rFonts w:hint="eastAsia" w:eastAsia="黑体"/>
          <w:bCs/>
          <w:sz w:val="28"/>
          <w:szCs w:val="28"/>
        </w:rPr>
        <w:t>险</w:t>
      </w:r>
      <w:r>
        <w:rPr>
          <w:rFonts w:eastAsia="黑体"/>
          <w:bCs/>
          <w:sz w:val="28"/>
          <w:szCs w:val="28"/>
        </w:rPr>
        <w:t>、可预见事件序列、</w:t>
      </w:r>
      <w:r>
        <w:rPr>
          <w:rFonts w:hint="eastAsia" w:eastAsia="黑体"/>
          <w:bCs/>
          <w:sz w:val="28"/>
          <w:szCs w:val="28"/>
        </w:rPr>
        <w:t>危险情况和可能发生的伤害之间的关系</w:t>
      </w:r>
    </w:p>
    <w:p w14:paraId="67A1397A">
      <w:pPr>
        <w:spacing w:line="200" w:lineRule="exact"/>
        <w:jc w:val="left"/>
        <w:rPr>
          <w:rFonts w:eastAsia="黑体"/>
          <w:bCs/>
          <w:sz w:val="28"/>
          <w:szCs w:val="28"/>
        </w:rPr>
      </w:pPr>
    </w:p>
    <w:tbl>
      <w:tblPr>
        <w:tblStyle w:val="5"/>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3076"/>
        <w:gridCol w:w="2648"/>
        <w:gridCol w:w="2196"/>
      </w:tblGrid>
      <w:tr w14:paraId="2637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20" w:type="dxa"/>
            <w:noWrap w:val="0"/>
            <w:vAlign w:val="center"/>
          </w:tcPr>
          <w:p w14:paraId="6CF36C9A">
            <w:pPr>
              <w:spacing w:line="400" w:lineRule="exact"/>
              <w:jc w:val="center"/>
              <w:rPr>
                <w:rFonts w:hint="eastAsia" w:eastAsia="黑体"/>
                <w:bCs/>
                <w:sz w:val="28"/>
                <w:szCs w:val="28"/>
              </w:rPr>
            </w:pPr>
            <w:r>
              <w:rPr>
                <w:rFonts w:eastAsia="黑体"/>
                <w:bCs/>
                <w:sz w:val="28"/>
                <w:szCs w:val="28"/>
              </w:rPr>
              <w:t>危</w:t>
            </w:r>
            <w:r>
              <w:rPr>
                <w:rFonts w:hint="eastAsia" w:eastAsia="黑体"/>
                <w:bCs/>
                <w:sz w:val="28"/>
                <w:szCs w:val="28"/>
              </w:rPr>
              <w:t>险</w:t>
            </w:r>
          </w:p>
        </w:tc>
        <w:tc>
          <w:tcPr>
            <w:tcW w:w="3076" w:type="dxa"/>
            <w:noWrap w:val="0"/>
            <w:vAlign w:val="center"/>
          </w:tcPr>
          <w:p w14:paraId="3DD923AD">
            <w:pPr>
              <w:spacing w:line="400" w:lineRule="exact"/>
              <w:jc w:val="center"/>
              <w:rPr>
                <w:rFonts w:eastAsia="黑体"/>
                <w:bCs/>
                <w:sz w:val="28"/>
                <w:szCs w:val="28"/>
              </w:rPr>
            </w:pPr>
            <w:r>
              <w:rPr>
                <w:rFonts w:eastAsia="黑体"/>
                <w:bCs/>
                <w:sz w:val="28"/>
                <w:szCs w:val="28"/>
              </w:rPr>
              <w:t>可预见的事件序列</w:t>
            </w:r>
          </w:p>
        </w:tc>
        <w:tc>
          <w:tcPr>
            <w:tcW w:w="2648" w:type="dxa"/>
            <w:noWrap w:val="0"/>
            <w:vAlign w:val="center"/>
          </w:tcPr>
          <w:p w14:paraId="4A6A500D">
            <w:pPr>
              <w:spacing w:line="400" w:lineRule="exact"/>
              <w:jc w:val="center"/>
              <w:rPr>
                <w:rFonts w:hint="eastAsia" w:eastAsia="黑体"/>
                <w:bCs/>
                <w:sz w:val="28"/>
                <w:szCs w:val="28"/>
              </w:rPr>
            </w:pPr>
            <w:r>
              <w:rPr>
                <w:rFonts w:hint="eastAsia" w:eastAsia="黑体"/>
                <w:bCs/>
                <w:sz w:val="28"/>
                <w:szCs w:val="28"/>
              </w:rPr>
              <w:t>危险情况</w:t>
            </w:r>
          </w:p>
        </w:tc>
        <w:tc>
          <w:tcPr>
            <w:tcW w:w="2196" w:type="dxa"/>
            <w:noWrap w:val="0"/>
            <w:vAlign w:val="center"/>
          </w:tcPr>
          <w:p w14:paraId="41724B2B">
            <w:pPr>
              <w:spacing w:line="400" w:lineRule="exact"/>
              <w:jc w:val="center"/>
              <w:rPr>
                <w:rFonts w:hint="eastAsia" w:eastAsia="黑体"/>
                <w:bCs/>
                <w:sz w:val="28"/>
                <w:szCs w:val="28"/>
              </w:rPr>
            </w:pPr>
            <w:r>
              <w:rPr>
                <w:rFonts w:hint="eastAsia" w:eastAsia="黑体"/>
                <w:bCs/>
                <w:sz w:val="28"/>
                <w:szCs w:val="28"/>
              </w:rPr>
              <w:t>伤害</w:t>
            </w:r>
          </w:p>
        </w:tc>
      </w:tr>
      <w:tr w14:paraId="264D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620" w:type="dxa"/>
            <w:vMerge w:val="restart"/>
            <w:noWrap w:val="0"/>
            <w:vAlign w:val="center"/>
          </w:tcPr>
          <w:p w14:paraId="19C0CD9E">
            <w:pPr>
              <w:spacing w:line="400" w:lineRule="exact"/>
              <w:jc w:val="center"/>
              <w:rPr>
                <w:rFonts w:eastAsia="仿宋_GB2312"/>
                <w:kern w:val="0"/>
                <w:sz w:val="28"/>
                <w:szCs w:val="28"/>
              </w:rPr>
            </w:pPr>
            <w:r>
              <w:rPr>
                <w:rFonts w:eastAsia="仿宋_GB2312"/>
                <w:kern w:val="0"/>
                <w:sz w:val="28"/>
                <w:szCs w:val="28"/>
              </w:rPr>
              <w:t>电磁能量</w:t>
            </w:r>
          </w:p>
        </w:tc>
        <w:tc>
          <w:tcPr>
            <w:tcW w:w="3076" w:type="dxa"/>
            <w:noWrap w:val="0"/>
            <w:vAlign w:val="center"/>
          </w:tcPr>
          <w:p w14:paraId="0AE0B466">
            <w:pPr>
              <w:spacing w:line="400" w:lineRule="exact"/>
              <w:rPr>
                <w:rFonts w:eastAsia="仿宋_GB2312"/>
                <w:kern w:val="0"/>
                <w:sz w:val="28"/>
                <w:szCs w:val="28"/>
              </w:rPr>
            </w:pPr>
            <w:r>
              <w:rPr>
                <w:rFonts w:eastAsia="仿宋_GB2312"/>
                <w:kern w:val="0"/>
                <w:sz w:val="28"/>
                <w:szCs w:val="28"/>
              </w:rPr>
              <w:t>在强电磁辐射源边使用</w:t>
            </w:r>
            <w:r>
              <w:rPr>
                <w:rFonts w:hint="eastAsia" w:eastAsia="仿宋_GB2312"/>
                <w:kern w:val="0"/>
                <w:sz w:val="28"/>
                <w:szCs w:val="28"/>
              </w:rPr>
              <w:t>γ放射免疫计数器</w:t>
            </w:r>
            <w:r>
              <w:rPr>
                <w:rFonts w:eastAsia="仿宋_GB2312"/>
                <w:kern w:val="0"/>
                <w:sz w:val="28"/>
                <w:szCs w:val="28"/>
              </w:rPr>
              <w:t>测量</w:t>
            </w:r>
          </w:p>
        </w:tc>
        <w:tc>
          <w:tcPr>
            <w:tcW w:w="2648" w:type="dxa"/>
            <w:noWrap w:val="0"/>
            <w:vAlign w:val="center"/>
          </w:tcPr>
          <w:p w14:paraId="02A6BD15">
            <w:pPr>
              <w:spacing w:line="400" w:lineRule="exact"/>
              <w:rPr>
                <w:rFonts w:eastAsia="仿宋_GB2312"/>
                <w:kern w:val="0"/>
                <w:sz w:val="28"/>
                <w:szCs w:val="28"/>
              </w:rPr>
            </w:pPr>
            <w:r>
              <w:rPr>
                <w:rFonts w:eastAsia="仿宋_GB2312"/>
                <w:kern w:val="0"/>
                <w:sz w:val="28"/>
                <w:szCs w:val="28"/>
              </w:rPr>
              <w:t>电磁干扰程序运行</w:t>
            </w:r>
          </w:p>
        </w:tc>
        <w:tc>
          <w:tcPr>
            <w:tcW w:w="2196" w:type="dxa"/>
            <w:noWrap w:val="0"/>
            <w:vAlign w:val="center"/>
          </w:tcPr>
          <w:p w14:paraId="1295F26F">
            <w:pPr>
              <w:spacing w:line="400" w:lineRule="exact"/>
              <w:rPr>
                <w:rFonts w:eastAsia="仿宋_GB2312"/>
                <w:kern w:val="0"/>
                <w:sz w:val="28"/>
                <w:szCs w:val="28"/>
              </w:rPr>
            </w:pPr>
            <w:r>
              <w:rPr>
                <w:rFonts w:eastAsia="仿宋_GB2312"/>
                <w:kern w:val="0"/>
                <w:sz w:val="28"/>
                <w:szCs w:val="28"/>
              </w:rPr>
              <w:t>测量错误、测量结果误差过大</w:t>
            </w:r>
          </w:p>
        </w:tc>
      </w:tr>
      <w:tr w14:paraId="0D48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1620" w:type="dxa"/>
            <w:vMerge w:val="continue"/>
            <w:noWrap w:val="0"/>
            <w:vAlign w:val="center"/>
          </w:tcPr>
          <w:p w14:paraId="6FC419E4">
            <w:pPr>
              <w:spacing w:line="400" w:lineRule="exact"/>
              <w:jc w:val="center"/>
              <w:rPr>
                <w:rFonts w:eastAsia="仿宋_GB2312"/>
                <w:kern w:val="0"/>
                <w:sz w:val="28"/>
                <w:szCs w:val="28"/>
              </w:rPr>
            </w:pPr>
          </w:p>
        </w:tc>
        <w:tc>
          <w:tcPr>
            <w:tcW w:w="3076" w:type="dxa"/>
            <w:noWrap w:val="0"/>
            <w:vAlign w:val="center"/>
          </w:tcPr>
          <w:p w14:paraId="5E99C712">
            <w:pPr>
              <w:spacing w:line="400" w:lineRule="exact"/>
              <w:rPr>
                <w:rFonts w:eastAsia="仿宋_GB2312"/>
                <w:kern w:val="0"/>
                <w:sz w:val="28"/>
                <w:szCs w:val="28"/>
              </w:rPr>
            </w:pPr>
            <w:r>
              <w:rPr>
                <w:rFonts w:eastAsia="仿宋_GB2312"/>
                <w:kern w:val="0"/>
                <w:sz w:val="28"/>
                <w:szCs w:val="28"/>
              </w:rPr>
              <w:t>静电放电</w:t>
            </w:r>
          </w:p>
        </w:tc>
        <w:tc>
          <w:tcPr>
            <w:tcW w:w="2648" w:type="dxa"/>
            <w:noWrap w:val="0"/>
            <w:vAlign w:val="center"/>
          </w:tcPr>
          <w:p w14:paraId="287B4386">
            <w:pPr>
              <w:spacing w:line="400" w:lineRule="exact"/>
              <w:rPr>
                <w:rFonts w:eastAsia="仿宋_GB2312"/>
                <w:kern w:val="0"/>
                <w:sz w:val="28"/>
                <w:szCs w:val="28"/>
              </w:rPr>
            </w:pPr>
            <w:r>
              <w:rPr>
                <w:rFonts w:eastAsia="仿宋_GB2312"/>
                <w:kern w:val="0"/>
                <w:sz w:val="28"/>
                <w:szCs w:val="28"/>
              </w:rPr>
              <w:t>干扰程序运行</w:t>
            </w:r>
          </w:p>
        </w:tc>
        <w:tc>
          <w:tcPr>
            <w:tcW w:w="2196" w:type="dxa"/>
            <w:noWrap w:val="0"/>
            <w:vAlign w:val="center"/>
          </w:tcPr>
          <w:p w14:paraId="70524E4C">
            <w:pPr>
              <w:spacing w:line="400" w:lineRule="exact"/>
              <w:rPr>
                <w:rFonts w:eastAsia="仿宋_GB2312"/>
                <w:kern w:val="0"/>
                <w:sz w:val="28"/>
                <w:szCs w:val="28"/>
              </w:rPr>
            </w:pPr>
            <w:r>
              <w:rPr>
                <w:rFonts w:eastAsia="仿宋_GB2312"/>
                <w:kern w:val="0"/>
                <w:sz w:val="28"/>
                <w:szCs w:val="28"/>
              </w:rPr>
              <w:t>导致测量结果误差过大、或数据擦除</w:t>
            </w:r>
          </w:p>
        </w:tc>
      </w:tr>
      <w:tr w14:paraId="57C0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620" w:type="dxa"/>
            <w:noWrap w:val="0"/>
            <w:vAlign w:val="center"/>
          </w:tcPr>
          <w:p w14:paraId="3C294C1E">
            <w:pPr>
              <w:spacing w:line="400" w:lineRule="exact"/>
              <w:jc w:val="center"/>
              <w:rPr>
                <w:rFonts w:eastAsia="仿宋_GB2312"/>
                <w:kern w:val="0"/>
                <w:sz w:val="28"/>
                <w:szCs w:val="28"/>
              </w:rPr>
            </w:pPr>
            <w:r>
              <w:rPr>
                <w:rFonts w:eastAsia="仿宋_GB2312"/>
                <w:kern w:val="0"/>
                <w:sz w:val="28"/>
                <w:szCs w:val="28"/>
              </w:rPr>
              <w:t>机械能</w:t>
            </w:r>
          </w:p>
        </w:tc>
        <w:tc>
          <w:tcPr>
            <w:tcW w:w="3076" w:type="dxa"/>
            <w:noWrap w:val="0"/>
            <w:vAlign w:val="center"/>
          </w:tcPr>
          <w:p w14:paraId="18DB72E6">
            <w:pPr>
              <w:spacing w:line="400" w:lineRule="exact"/>
              <w:rPr>
                <w:rFonts w:eastAsia="仿宋_GB2312"/>
                <w:kern w:val="0"/>
                <w:sz w:val="28"/>
                <w:szCs w:val="28"/>
              </w:rPr>
            </w:pPr>
            <w:r>
              <w:rPr>
                <w:rFonts w:eastAsia="仿宋_GB2312"/>
                <w:kern w:val="0"/>
                <w:sz w:val="28"/>
                <w:szCs w:val="28"/>
              </w:rPr>
              <w:t>产品意外坠落</w:t>
            </w:r>
            <w:r>
              <w:rPr>
                <w:rFonts w:hint="eastAsia" w:eastAsia="仿宋_GB2312"/>
                <w:kern w:val="0"/>
                <w:sz w:val="28"/>
                <w:szCs w:val="28"/>
              </w:rPr>
              <w:t>或倾倒</w:t>
            </w:r>
          </w:p>
        </w:tc>
        <w:tc>
          <w:tcPr>
            <w:tcW w:w="2648" w:type="dxa"/>
            <w:noWrap w:val="0"/>
            <w:vAlign w:val="center"/>
          </w:tcPr>
          <w:p w14:paraId="0608C22A">
            <w:pPr>
              <w:spacing w:line="400" w:lineRule="exact"/>
              <w:rPr>
                <w:rFonts w:eastAsia="仿宋_GB2312"/>
                <w:kern w:val="0"/>
                <w:sz w:val="28"/>
                <w:szCs w:val="28"/>
              </w:rPr>
            </w:pPr>
            <w:r>
              <w:rPr>
                <w:rFonts w:eastAsia="仿宋_GB2312"/>
                <w:kern w:val="0"/>
                <w:sz w:val="28"/>
                <w:szCs w:val="28"/>
              </w:rPr>
              <w:t>机械部件松动，液晶板</w:t>
            </w:r>
            <w:r>
              <w:rPr>
                <w:rFonts w:hint="eastAsia" w:eastAsia="仿宋_GB2312"/>
                <w:kern w:val="0"/>
                <w:sz w:val="28"/>
                <w:szCs w:val="28"/>
              </w:rPr>
              <w:t>等连接器件</w:t>
            </w:r>
            <w:r>
              <w:rPr>
                <w:rFonts w:eastAsia="仿宋_GB2312"/>
                <w:kern w:val="0"/>
                <w:sz w:val="28"/>
                <w:szCs w:val="28"/>
              </w:rPr>
              <w:t>接触不良</w:t>
            </w:r>
          </w:p>
        </w:tc>
        <w:tc>
          <w:tcPr>
            <w:tcW w:w="2196" w:type="dxa"/>
            <w:noWrap w:val="0"/>
            <w:vAlign w:val="center"/>
          </w:tcPr>
          <w:p w14:paraId="785F3C1C">
            <w:pPr>
              <w:spacing w:line="400" w:lineRule="exact"/>
              <w:rPr>
                <w:rFonts w:eastAsia="仿宋_GB2312"/>
                <w:kern w:val="0"/>
                <w:sz w:val="28"/>
                <w:szCs w:val="28"/>
              </w:rPr>
            </w:pPr>
            <w:r>
              <w:rPr>
                <w:rFonts w:eastAsia="仿宋_GB2312"/>
                <w:kern w:val="0"/>
                <w:sz w:val="28"/>
                <w:szCs w:val="28"/>
              </w:rPr>
              <w:t>无法测量或测量误差过大，数据无法读取，严重时延误治疗</w:t>
            </w:r>
          </w:p>
        </w:tc>
      </w:tr>
      <w:tr w14:paraId="1B45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620" w:type="dxa"/>
            <w:noWrap w:val="0"/>
            <w:vAlign w:val="center"/>
          </w:tcPr>
          <w:p w14:paraId="22E88734">
            <w:pPr>
              <w:spacing w:line="400" w:lineRule="exact"/>
              <w:jc w:val="center"/>
              <w:rPr>
                <w:rFonts w:eastAsia="仿宋_GB2312"/>
                <w:kern w:val="0"/>
                <w:sz w:val="28"/>
                <w:szCs w:val="28"/>
              </w:rPr>
            </w:pPr>
            <w:r>
              <w:rPr>
                <w:rFonts w:eastAsia="仿宋_GB2312"/>
                <w:kern w:val="0"/>
                <w:sz w:val="28"/>
                <w:szCs w:val="28"/>
              </w:rPr>
              <w:t>化学</w:t>
            </w:r>
          </w:p>
        </w:tc>
        <w:tc>
          <w:tcPr>
            <w:tcW w:w="3076" w:type="dxa"/>
            <w:noWrap w:val="0"/>
            <w:vAlign w:val="center"/>
          </w:tcPr>
          <w:p w14:paraId="5F70913F">
            <w:pPr>
              <w:spacing w:line="400" w:lineRule="exact"/>
              <w:rPr>
                <w:rFonts w:eastAsia="仿宋_GB2312"/>
                <w:kern w:val="0"/>
                <w:sz w:val="28"/>
                <w:szCs w:val="28"/>
              </w:rPr>
            </w:pPr>
            <w:r>
              <w:rPr>
                <w:rFonts w:hint="eastAsia" w:eastAsia="仿宋_GB2312"/>
                <w:kern w:val="0"/>
                <w:sz w:val="28"/>
                <w:szCs w:val="28"/>
              </w:rPr>
              <w:t>若配置内置电池，</w:t>
            </w:r>
            <w:r>
              <w:rPr>
                <w:rFonts w:eastAsia="仿宋_GB2312"/>
                <w:kern w:val="0"/>
                <w:sz w:val="28"/>
                <w:szCs w:val="28"/>
              </w:rPr>
              <w:t>长时间不使用的电池未经取出，造成电池漏液</w:t>
            </w:r>
          </w:p>
        </w:tc>
        <w:tc>
          <w:tcPr>
            <w:tcW w:w="2648" w:type="dxa"/>
            <w:noWrap w:val="0"/>
            <w:vAlign w:val="center"/>
          </w:tcPr>
          <w:p w14:paraId="4D1FF49E">
            <w:pPr>
              <w:spacing w:line="400" w:lineRule="exact"/>
              <w:rPr>
                <w:rFonts w:eastAsia="仿宋_GB2312"/>
                <w:kern w:val="0"/>
                <w:sz w:val="28"/>
                <w:szCs w:val="28"/>
              </w:rPr>
            </w:pPr>
            <w:r>
              <w:rPr>
                <w:rFonts w:eastAsia="仿宋_GB2312"/>
                <w:kern w:val="0"/>
                <w:sz w:val="28"/>
                <w:szCs w:val="28"/>
              </w:rPr>
              <w:t>电路腐蚀</w:t>
            </w:r>
          </w:p>
        </w:tc>
        <w:tc>
          <w:tcPr>
            <w:tcW w:w="2196" w:type="dxa"/>
            <w:noWrap w:val="0"/>
            <w:vAlign w:val="center"/>
          </w:tcPr>
          <w:p w14:paraId="4D18E900">
            <w:pPr>
              <w:spacing w:line="400" w:lineRule="exact"/>
              <w:rPr>
                <w:rFonts w:eastAsia="仿宋_GB2312"/>
                <w:kern w:val="0"/>
                <w:sz w:val="28"/>
                <w:szCs w:val="28"/>
              </w:rPr>
            </w:pPr>
            <w:r>
              <w:rPr>
                <w:rFonts w:eastAsia="仿宋_GB2312"/>
                <w:kern w:val="0"/>
                <w:sz w:val="28"/>
                <w:szCs w:val="28"/>
              </w:rPr>
              <w:t>设备故障，无法工作</w:t>
            </w:r>
          </w:p>
        </w:tc>
      </w:tr>
      <w:tr w14:paraId="74AF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620" w:type="dxa"/>
            <w:noWrap w:val="0"/>
            <w:vAlign w:val="center"/>
          </w:tcPr>
          <w:p w14:paraId="6432CCBE">
            <w:pPr>
              <w:spacing w:line="400" w:lineRule="exact"/>
              <w:jc w:val="center"/>
              <w:rPr>
                <w:rFonts w:eastAsia="仿宋_GB2312"/>
                <w:kern w:val="0"/>
                <w:sz w:val="28"/>
                <w:szCs w:val="28"/>
              </w:rPr>
            </w:pPr>
            <w:r>
              <w:rPr>
                <w:rFonts w:eastAsia="仿宋_GB2312"/>
                <w:sz w:val="28"/>
                <w:szCs w:val="28"/>
              </w:rPr>
              <w:t>操作错误</w:t>
            </w:r>
          </w:p>
        </w:tc>
        <w:tc>
          <w:tcPr>
            <w:tcW w:w="3076" w:type="dxa"/>
            <w:noWrap w:val="0"/>
            <w:vAlign w:val="center"/>
          </w:tcPr>
          <w:p w14:paraId="5EE191A6">
            <w:pPr>
              <w:spacing w:line="400" w:lineRule="exact"/>
              <w:rPr>
                <w:rFonts w:eastAsia="仿宋_GB2312"/>
                <w:kern w:val="0"/>
                <w:sz w:val="28"/>
                <w:szCs w:val="28"/>
              </w:rPr>
            </w:pPr>
            <w:r>
              <w:rPr>
                <w:rFonts w:eastAsia="仿宋_GB2312"/>
                <w:kern w:val="0"/>
                <w:sz w:val="28"/>
                <w:szCs w:val="28"/>
              </w:rPr>
              <w:t>使用者的操作有误</w:t>
            </w:r>
          </w:p>
        </w:tc>
        <w:tc>
          <w:tcPr>
            <w:tcW w:w="2648" w:type="dxa"/>
            <w:noWrap w:val="0"/>
            <w:vAlign w:val="center"/>
          </w:tcPr>
          <w:p w14:paraId="13DC5DEF">
            <w:pPr>
              <w:spacing w:line="400" w:lineRule="exact"/>
              <w:rPr>
                <w:rFonts w:eastAsia="仿宋_GB2312"/>
                <w:kern w:val="0"/>
                <w:sz w:val="28"/>
                <w:szCs w:val="28"/>
              </w:rPr>
            </w:pPr>
            <w:r>
              <w:rPr>
                <w:rFonts w:eastAsia="仿宋_GB2312"/>
                <w:kern w:val="0"/>
                <w:sz w:val="28"/>
                <w:szCs w:val="28"/>
              </w:rPr>
              <w:t>获得不准确的结果</w:t>
            </w:r>
          </w:p>
        </w:tc>
        <w:tc>
          <w:tcPr>
            <w:tcW w:w="2196" w:type="dxa"/>
            <w:noWrap w:val="0"/>
            <w:vAlign w:val="center"/>
          </w:tcPr>
          <w:p w14:paraId="239356FD">
            <w:pPr>
              <w:spacing w:line="400" w:lineRule="exact"/>
              <w:rPr>
                <w:rFonts w:eastAsia="仿宋_GB2312"/>
                <w:kern w:val="0"/>
                <w:sz w:val="28"/>
                <w:szCs w:val="28"/>
              </w:rPr>
            </w:pPr>
            <w:r>
              <w:rPr>
                <w:rFonts w:eastAsia="仿宋_GB2312"/>
                <w:kern w:val="0"/>
                <w:sz w:val="28"/>
                <w:szCs w:val="28"/>
              </w:rPr>
              <w:t>根据测量结果采用不准确的治疗方法</w:t>
            </w:r>
          </w:p>
        </w:tc>
      </w:tr>
      <w:tr w14:paraId="4C7E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620" w:type="dxa"/>
            <w:vMerge w:val="restart"/>
            <w:noWrap w:val="0"/>
            <w:vAlign w:val="center"/>
          </w:tcPr>
          <w:p w14:paraId="0CD20227">
            <w:pPr>
              <w:spacing w:line="400" w:lineRule="exact"/>
              <w:jc w:val="center"/>
              <w:rPr>
                <w:rFonts w:eastAsia="仿宋_GB2312"/>
                <w:kern w:val="0"/>
                <w:sz w:val="28"/>
                <w:szCs w:val="28"/>
              </w:rPr>
            </w:pPr>
            <w:r>
              <w:rPr>
                <w:rFonts w:eastAsia="仿宋_GB2312"/>
                <w:kern w:val="0"/>
                <w:sz w:val="28"/>
                <w:szCs w:val="28"/>
              </w:rPr>
              <w:t>不完整的说明书</w:t>
            </w:r>
          </w:p>
        </w:tc>
        <w:tc>
          <w:tcPr>
            <w:tcW w:w="3076" w:type="dxa"/>
            <w:noWrap w:val="0"/>
            <w:vAlign w:val="center"/>
          </w:tcPr>
          <w:p w14:paraId="09432C05">
            <w:pPr>
              <w:spacing w:line="400" w:lineRule="exact"/>
              <w:rPr>
                <w:rFonts w:eastAsia="仿宋_GB2312"/>
                <w:kern w:val="0"/>
                <w:sz w:val="28"/>
                <w:szCs w:val="28"/>
              </w:rPr>
            </w:pPr>
            <w:r>
              <w:rPr>
                <w:rFonts w:eastAsia="仿宋_GB2312"/>
                <w:kern w:val="0"/>
                <w:sz w:val="28"/>
                <w:szCs w:val="28"/>
              </w:rPr>
              <w:t>未对错误操作进行说明</w:t>
            </w:r>
          </w:p>
        </w:tc>
        <w:tc>
          <w:tcPr>
            <w:tcW w:w="2648" w:type="dxa"/>
            <w:noWrap w:val="0"/>
            <w:vAlign w:val="center"/>
          </w:tcPr>
          <w:p w14:paraId="177BEBD8">
            <w:pPr>
              <w:spacing w:line="400" w:lineRule="exact"/>
              <w:rPr>
                <w:rFonts w:eastAsia="仿宋_GB2312"/>
                <w:kern w:val="0"/>
                <w:sz w:val="28"/>
                <w:szCs w:val="28"/>
              </w:rPr>
            </w:pPr>
            <w:r>
              <w:rPr>
                <w:rFonts w:eastAsia="仿宋_GB2312"/>
                <w:kern w:val="0"/>
                <w:sz w:val="28"/>
                <w:szCs w:val="28"/>
              </w:rPr>
              <w:t>错误操作、不正确的测量</w:t>
            </w:r>
          </w:p>
        </w:tc>
        <w:tc>
          <w:tcPr>
            <w:tcW w:w="2196" w:type="dxa"/>
            <w:noWrap w:val="0"/>
            <w:vAlign w:val="center"/>
          </w:tcPr>
          <w:p w14:paraId="01960FD0">
            <w:pPr>
              <w:spacing w:line="400" w:lineRule="exact"/>
              <w:rPr>
                <w:rFonts w:eastAsia="仿宋_GB2312"/>
                <w:kern w:val="0"/>
                <w:sz w:val="28"/>
                <w:szCs w:val="28"/>
              </w:rPr>
            </w:pPr>
            <w:r>
              <w:rPr>
                <w:rFonts w:eastAsia="仿宋_GB2312"/>
                <w:kern w:val="0"/>
                <w:sz w:val="28"/>
                <w:szCs w:val="28"/>
              </w:rPr>
              <w:t>测量值误差过大，测量失败，严重时延误治疗</w:t>
            </w:r>
          </w:p>
        </w:tc>
      </w:tr>
      <w:tr w14:paraId="16C4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620" w:type="dxa"/>
            <w:vMerge w:val="continue"/>
            <w:noWrap w:val="0"/>
            <w:vAlign w:val="center"/>
          </w:tcPr>
          <w:p w14:paraId="205D2CAE">
            <w:pPr>
              <w:spacing w:line="400" w:lineRule="exact"/>
              <w:jc w:val="center"/>
              <w:rPr>
                <w:rFonts w:eastAsia="仿宋_GB2312"/>
                <w:kern w:val="0"/>
                <w:sz w:val="28"/>
                <w:szCs w:val="28"/>
              </w:rPr>
            </w:pPr>
          </w:p>
        </w:tc>
        <w:tc>
          <w:tcPr>
            <w:tcW w:w="3076" w:type="dxa"/>
            <w:noWrap w:val="0"/>
            <w:vAlign w:val="center"/>
          </w:tcPr>
          <w:p w14:paraId="06CCF1BF">
            <w:pPr>
              <w:spacing w:line="400" w:lineRule="exact"/>
              <w:rPr>
                <w:rFonts w:eastAsia="仿宋_GB2312"/>
                <w:kern w:val="0"/>
                <w:sz w:val="28"/>
                <w:szCs w:val="28"/>
              </w:rPr>
            </w:pPr>
            <w:r>
              <w:rPr>
                <w:rFonts w:eastAsia="仿宋_GB2312"/>
                <w:kern w:val="0"/>
                <w:sz w:val="28"/>
                <w:szCs w:val="28"/>
              </w:rPr>
              <w:t>不正确的</w:t>
            </w:r>
            <w:r>
              <w:rPr>
                <w:rFonts w:hint="eastAsia" w:eastAsia="仿宋_GB2312"/>
                <w:kern w:val="0"/>
                <w:sz w:val="28"/>
                <w:szCs w:val="28"/>
              </w:rPr>
              <w:t>洗消</w:t>
            </w:r>
            <w:r>
              <w:rPr>
                <w:rFonts w:eastAsia="仿宋_GB2312"/>
                <w:kern w:val="0"/>
                <w:sz w:val="28"/>
                <w:szCs w:val="28"/>
              </w:rPr>
              <w:t>方法</w:t>
            </w:r>
            <w:r>
              <w:rPr>
                <w:rFonts w:hint="eastAsia" w:eastAsia="仿宋_GB2312"/>
                <w:kern w:val="0"/>
                <w:sz w:val="28"/>
                <w:szCs w:val="28"/>
              </w:rPr>
              <w:t>或频次</w:t>
            </w:r>
          </w:p>
        </w:tc>
        <w:tc>
          <w:tcPr>
            <w:tcW w:w="2648" w:type="dxa"/>
            <w:noWrap w:val="0"/>
            <w:vAlign w:val="center"/>
          </w:tcPr>
          <w:p w14:paraId="7CE86DAE">
            <w:pPr>
              <w:spacing w:line="400" w:lineRule="exact"/>
              <w:rPr>
                <w:rFonts w:eastAsia="仿宋_GB2312"/>
                <w:kern w:val="0"/>
                <w:sz w:val="28"/>
                <w:szCs w:val="28"/>
              </w:rPr>
            </w:pPr>
            <w:r>
              <w:rPr>
                <w:rFonts w:eastAsia="仿宋_GB2312"/>
                <w:kern w:val="0"/>
                <w:sz w:val="28"/>
                <w:szCs w:val="28"/>
              </w:rPr>
              <w:t>使用有腐蚀性的清洁剂、</w:t>
            </w:r>
            <w:r>
              <w:rPr>
                <w:rFonts w:hint="eastAsia" w:eastAsia="仿宋_GB2312"/>
                <w:kern w:val="0"/>
                <w:sz w:val="28"/>
                <w:szCs w:val="28"/>
              </w:rPr>
              <w:t>洗消</w:t>
            </w:r>
            <w:r>
              <w:rPr>
                <w:rFonts w:eastAsia="仿宋_GB2312"/>
                <w:kern w:val="0"/>
                <w:sz w:val="28"/>
                <w:szCs w:val="28"/>
              </w:rPr>
              <w:t>剂</w:t>
            </w:r>
          </w:p>
        </w:tc>
        <w:tc>
          <w:tcPr>
            <w:tcW w:w="2196" w:type="dxa"/>
            <w:noWrap w:val="0"/>
            <w:vAlign w:val="center"/>
          </w:tcPr>
          <w:p w14:paraId="25489401">
            <w:pPr>
              <w:spacing w:line="400" w:lineRule="exact"/>
              <w:rPr>
                <w:rFonts w:eastAsia="仿宋_GB2312"/>
                <w:kern w:val="0"/>
                <w:sz w:val="28"/>
                <w:szCs w:val="28"/>
              </w:rPr>
            </w:pPr>
            <w:r>
              <w:rPr>
                <w:rFonts w:eastAsia="仿宋_GB2312"/>
                <w:kern w:val="0"/>
                <w:sz w:val="28"/>
                <w:szCs w:val="28"/>
              </w:rPr>
              <w:t>产品部件腐蚀、防护性能降低</w:t>
            </w:r>
          </w:p>
        </w:tc>
      </w:tr>
      <w:tr w14:paraId="0346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620" w:type="dxa"/>
            <w:vMerge w:val="continue"/>
            <w:noWrap w:val="0"/>
            <w:vAlign w:val="center"/>
          </w:tcPr>
          <w:p w14:paraId="3D975020">
            <w:pPr>
              <w:spacing w:line="400" w:lineRule="exact"/>
              <w:jc w:val="center"/>
              <w:rPr>
                <w:rFonts w:eastAsia="仿宋_GB2312"/>
                <w:kern w:val="0"/>
                <w:sz w:val="28"/>
                <w:szCs w:val="28"/>
              </w:rPr>
            </w:pPr>
          </w:p>
        </w:tc>
        <w:tc>
          <w:tcPr>
            <w:tcW w:w="3076" w:type="dxa"/>
            <w:noWrap w:val="0"/>
            <w:vAlign w:val="center"/>
          </w:tcPr>
          <w:p w14:paraId="6FD05B45">
            <w:pPr>
              <w:spacing w:line="400" w:lineRule="exact"/>
              <w:rPr>
                <w:rFonts w:eastAsia="仿宋_GB2312"/>
                <w:kern w:val="0"/>
                <w:sz w:val="28"/>
                <w:szCs w:val="28"/>
              </w:rPr>
            </w:pPr>
            <w:r>
              <w:rPr>
                <w:rFonts w:eastAsia="仿宋_GB2312"/>
                <w:kern w:val="0"/>
                <w:sz w:val="28"/>
                <w:szCs w:val="28"/>
              </w:rPr>
              <w:t>不正确的产品贮存条件</w:t>
            </w:r>
          </w:p>
        </w:tc>
        <w:tc>
          <w:tcPr>
            <w:tcW w:w="2648" w:type="dxa"/>
            <w:noWrap w:val="0"/>
            <w:vAlign w:val="center"/>
          </w:tcPr>
          <w:p w14:paraId="7D15357C">
            <w:pPr>
              <w:spacing w:line="400" w:lineRule="exact"/>
              <w:rPr>
                <w:rFonts w:eastAsia="仿宋_GB2312"/>
                <w:kern w:val="0"/>
                <w:sz w:val="28"/>
                <w:szCs w:val="28"/>
              </w:rPr>
            </w:pPr>
            <w:r>
              <w:rPr>
                <w:rFonts w:eastAsia="仿宋_GB2312"/>
                <w:kern w:val="0"/>
                <w:sz w:val="28"/>
                <w:szCs w:val="28"/>
              </w:rPr>
              <w:t>器件老化、部件寿命降低</w:t>
            </w:r>
          </w:p>
        </w:tc>
        <w:tc>
          <w:tcPr>
            <w:tcW w:w="2196" w:type="dxa"/>
            <w:noWrap w:val="0"/>
            <w:vAlign w:val="center"/>
          </w:tcPr>
          <w:p w14:paraId="673DA960">
            <w:pPr>
              <w:spacing w:line="400" w:lineRule="exact"/>
              <w:rPr>
                <w:rFonts w:eastAsia="仿宋_GB2312"/>
                <w:kern w:val="0"/>
                <w:sz w:val="28"/>
                <w:szCs w:val="28"/>
              </w:rPr>
            </w:pPr>
            <w:r>
              <w:rPr>
                <w:rFonts w:eastAsia="仿宋_GB2312"/>
                <w:kern w:val="0"/>
                <w:sz w:val="28"/>
                <w:szCs w:val="28"/>
              </w:rPr>
              <w:t>产品寿命降低、导致测量值误差过大</w:t>
            </w:r>
          </w:p>
        </w:tc>
      </w:tr>
      <w:tr w14:paraId="77C5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620" w:type="dxa"/>
            <w:vMerge w:val="continue"/>
            <w:noWrap w:val="0"/>
            <w:vAlign w:val="center"/>
          </w:tcPr>
          <w:p w14:paraId="455848F8">
            <w:pPr>
              <w:spacing w:line="400" w:lineRule="exact"/>
              <w:jc w:val="center"/>
              <w:rPr>
                <w:rFonts w:eastAsia="仿宋_GB2312"/>
                <w:kern w:val="0"/>
                <w:sz w:val="28"/>
                <w:szCs w:val="28"/>
              </w:rPr>
            </w:pPr>
          </w:p>
        </w:tc>
        <w:tc>
          <w:tcPr>
            <w:tcW w:w="3076" w:type="dxa"/>
            <w:noWrap w:val="0"/>
            <w:vAlign w:val="center"/>
          </w:tcPr>
          <w:p w14:paraId="50C084A3">
            <w:pPr>
              <w:spacing w:line="400" w:lineRule="exact"/>
              <w:rPr>
                <w:rFonts w:eastAsia="仿宋_GB2312"/>
                <w:kern w:val="0"/>
                <w:sz w:val="28"/>
                <w:szCs w:val="28"/>
              </w:rPr>
            </w:pPr>
            <w:r>
              <w:rPr>
                <w:rFonts w:eastAsia="仿宋_GB2312"/>
                <w:kern w:val="0"/>
                <w:sz w:val="28"/>
                <w:szCs w:val="28"/>
              </w:rPr>
              <w:t>未规定校验</w:t>
            </w:r>
            <w:r>
              <w:rPr>
                <w:rFonts w:hint="eastAsia" w:eastAsia="仿宋_GB2312"/>
                <w:kern w:val="0"/>
                <w:sz w:val="28"/>
                <w:szCs w:val="28"/>
              </w:rPr>
              <w:t>或检验</w:t>
            </w:r>
            <w:r>
              <w:rPr>
                <w:rFonts w:eastAsia="仿宋_GB2312"/>
                <w:kern w:val="0"/>
                <w:sz w:val="28"/>
                <w:szCs w:val="28"/>
              </w:rPr>
              <w:t>周期</w:t>
            </w:r>
          </w:p>
        </w:tc>
        <w:tc>
          <w:tcPr>
            <w:tcW w:w="2648" w:type="dxa"/>
            <w:noWrap w:val="0"/>
            <w:vAlign w:val="center"/>
          </w:tcPr>
          <w:p w14:paraId="53FC26F1">
            <w:pPr>
              <w:spacing w:line="400" w:lineRule="exact"/>
              <w:rPr>
                <w:rFonts w:hint="eastAsia" w:eastAsia="仿宋_GB2312"/>
                <w:kern w:val="0"/>
                <w:sz w:val="28"/>
                <w:szCs w:val="28"/>
              </w:rPr>
            </w:pPr>
            <w:r>
              <w:rPr>
                <w:rFonts w:eastAsia="仿宋_GB2312"/>
                <w:kern w:val="0"/>
                <w:sz w:val="28"/>
                <w:szCs w:val="28"/>
              </w:rPr>
              <w:t>未对设备进行</w:t>
            </w:r>
            <w:r>
              <w:rPr>
                <w:rFonts w:hint="eastAsia" w:eastAsia="仿宋_GB2312"/>
                <w:kern w:val="0"/>
                <w:sz w:val="28"/>
                <w:szCs w:val="28"/>
              </w:rPr>
              <w:t>周期校准或者检验</w:t>
            </w:r>
          </w:p>
        </w:tc>
        <w:tc>
          <w:tcPr>
            <w:tcW w:w="2196" w:type="dxa"/>
            <w:noWrap w:val="0"/>
            <w:vAlign w:val="center"/>
          </w:tcPr>
          <w:p w14:paraId="12E322F8">
            <w:pPr>
              <w:spacing w:line="400" w:lineRule="exact"/>
              <w:rPr>
                <w:rFonts w:eastAsia="仿宋_GB2312"/>
                <w:kern w:val="0"/>
                <w:sz w:val="28"/>
                <w:szCs w:val="28"/>
              </w:rPr>
            </w:pPr>
            <w:r>
              <w:rPr>
                <w:rFonts w:eastAsia="仿宋_GB2312"/>
                <w:kern w:val="0"/>
                <w:sz w:val="28"/>
                <w:szCs w:val="28"/>
              </w:rPr>
              <w:t>测量值误差过大，测量失败，严重时延误治疗</w:t>
            </w:r>
          </w:p>
        </w:tc>
      </w:tr>
    </w:tbl>
    <w:p w14:paraId="66A25434">
      <w:pPr>
        <w:pStyle w:val="8"/>
        <w:spacing w:line="560" w:lineRule="exact"/>
        <w:rPr>
          <w:rFonts w:hint="eastAsia" w:ascii="Times New Roman" w:hAnsi="Times New Roman" w:eastAsia="仿宋_GB2312"/>
          <w:sz w:val="32"/>
          <w:szCs w:val="32"/>
        </w:rPr>
      </w:pPr>
    </w:p>
    <w:p w14:paraId="680CF9E3">
      <w:pPr>
        <w:widowControl/>
        <w:jc w:val="left"/>
        <w:rPr>
          <w:rFonts w:eastAsia="黑体"/>
          <w:bCs/>
          <w:sz w:val="32"/>
          <w:szCs w:val="32"/>
        </w:rPr>
      </w:pPr>
      <w:r>
        <w:rPr>
          <w:rFonts w:eastAsia="黑体"/>
          <w:bCs/>
          <w:sz w:val="32"/>
          <w:szCs w:val="32"/>
        </w:rPr>
        <w:br w:type="page"/>
      </w:r>
      <w:r>
        <w:rPr>
          <w:rFonts w:eastAsia="黑体"/>
          <w:bCs/>
          <w:sz w:val="32"/>
          <w:szCs w:val="32"/>
        </w:rPr>
        <w:t>附表</w:t>
      </w:r>
      <w:r>
        <w:rPr>
          <w:rFonts w:hint="eastAsia" w:eastAsia="黑体"/>
          <w:bCs/>
          <w:sz w:val="32"/>
          <w:szCs w:val="32"/>
        </w:rPr>
        <w:t>9-3</w:t>
      </w:r>
    </w:p>
    <w:p w14:paraId="3AC807BE">
      <w:pPr>
        <w:pStyle w:val="8"/>
        <w:rPr>
          <w:rFonts w:hint="eastAsia"/>
        </w:rPr>
      </w:pPr>
    </w:p>
    <w:p w14:paraId="51C5348D">
      <w:pPr>
        <w:widowControl/>
        <w:jc w:val="center"/>
        <w:rPr>
          <w:rFonts w:ascii="方正小标宋简体" w:eastAsia="方正小标宋简体"/>
          <w:bCs/>
          <w:sz w:val="44"/>
          <w:szCs w:val="28"/>
        </w:rPr>
      </w:pPr>
      <w:r>
        <w:rPr>
          <w:rFonts w:hint="eastAsia" w:ascii="方正小标宋简体" w:eastAsia="方正小标宋简体"/>
          <w:bCs/>
          <w:sz w:val="44"/>
          <w:szCs w:val="28"/>
        </w:rPr>
        <w:t>相关产品标准</w:t>
      </w:r>
    </w:p>
    <w:p w14:paraId="58A31438">
      <w:pPr>
        <w:pStyle w:val="8"/>
        <w:spacing w:line="560" w:lineRule="exact"/>
        <w:ind w:firstLine="640" w:firstLineChars="200"/>
        <w:rPr>
          <w:rFonts w:hint="eastAsia" w:ascii="Times New Roman" w:hAnsi="Times New Roman" w:eastAsia="仿宋_GB2312" w:cs="仿宋_GB2312"/>
          <w:kern w:val="2"/>
          <w:sz w:val="32"/>
          <w:szCs w:val="32"/>
          <w:lang w:bidi="ar"/>
        </w:rPr>
      </w:pPr>
      <w:r>
        <w:rPr>
          <w:rFonts w:hint="eastAsia" w:ascii="Times New Roman" w:hAnsi="Times New Roman" w:eastAsia="仿宋_GB2312" w:cs="仿宋_GB2312"/>
          <w:kern w:val="2"/>
          <w:sz w:val="32"/>
          <w:szCs w:val="32"/>
          <w:lang w:bidi="ar"/>
        </w:rPr>
        <w:t>下表列出了产品所适用的常见标准。如有标准修订或新标准实施，按照现行有效的标准执行。</w:t>
      </w:r>
    </w:p>
    <w:tbl>
      <w:tblPr>
        <w:tblStyle w:val="5"/>
        <w:tblW w:w="8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5"/>
        <w:gridCol w:w="4665"/>
      </w:tblGrid>
      <w:tr w14:paraId="6FFF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625" w:type="dxa"/>
            <w:noWrap w:val="0"/>
            <w:vAlign w:val="center"/>
          </w:tcPr>
          <w:p w14:paraId="3BDDBC50">
            <w:pPr>
              <w:spacing w:line="520" w:lineRule="exact"/>
              <w:ind w:left="2282" w:hanging="2282" w:hangingChars="812"/>
              <w:jc w:val="center"/>
              <w:rPr>
                <w:rFonts w:eastAsia="仿宋_GB2312"/>
                <w:bCs/>
                <w:sz w:val="28"/>
                <w:szCs w:val="28"/>
              </w:rPr>
            </w:pPr>
            <w:r>
              <w:rPr>
                <w:rFonts w:eastAsia="仿宋_GB2312" w:cs="仿宋_GB2312"/>
                <w:b/>
                <w:bCs/>
                <w:kern w:val="0"/>
                <w:sz w:val="28"/>
                <w:szCs w:val="28"/>
              </w:rPr>
              <w:t>标准编号</w:t>
            </w:r>
          </w:p>
        </w:tc>
        <w:tc>
          <w:tcPr>
            <w:tcW w:w="4665" w:type="dxa"/>
            <w:noWrap w:val="0"/>
            <w:vAlign w:val="center"/>
          </w:tcPr>
          <w:p w14:paraId="2FC53D45">
            <w:pPr>
              <w:spacing w:line="480" w:lineRule="exact"/>
              <w:jc w:val="center"/>
              <w:rPr>
                <w:rFonts w:eastAsia="仿宋_GB2312"/>
                <w:bCs/>
                <w:sz w:val="28"/>
                <w:szCs w:val="28"/>
              </w:rPr>
            </w:pPr>
            <w:r>
              <w:rPr>
                <w:rFonts w:eastAsia="仿宋_GB2312" w:cs="仿宋_GB2312"/>
                <w:b/>
                <w:bCs/>
                <w:kern w:val="0"/>
                <w:sz w:val="28"/>
                <w:szCs w:val="28"/>
              </w:rPr>
              <w:t>标准名称</w:t>
            </w:r>
          </w:p>
        </w:tc>
      </w:tr>
      <w:tr w14:paraId="0D11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5" w:type="dxa"/>
            <w:noWrap w:val="0"/>
            <w:vAlign w:val="center"/>
          </w:tcPr>
          <w:p w14:paraId="547A3B52">
            <w:pPr>
              <w:spacing w:line="480" w:lineRule="exact"/>
              <w:jc w:val="center"/>
              <w:rPr>
                <w:rFonts w:hint="default" w:eastAsia="仿宋_GB2312"/>
                <w:bCs/>
                <w:sz w:val="28"/>
                <w:szCs w:val="28"/>
                <w:lang w:val="en-US" w:eastAsia="zh-CN"/>
              </w:rPr>
            </w:pPr>
            <w:r>
              <w:rPr>
                <w:rFonts w:hint="eastAsia" w:eastAsia="仿宋_GB2312"/>
                <w:bCs/>
                <w:sz w:val="28"/>
                <w:szCs w:val="28"/>
              </w:rPr>
              <w:t>GB 4793</w:t>
            </w:r>
            <w:r>
              <w:rPr>
                <w:rFonts w:hint="eastAsia" w:eastAsia="仿宋_GB2312"/>
                <w:bCs/>
                <w:sz w:val="28"/>
                <w:szCs w:val="28"/>
                <w:lang w:val="en-US" w:eastAsia="zh-CN"/>
              </w:rPr>
              <w:t>-2024</w:t>
            </w:r>
          </w:p>
        </w:tc>
        <w:tc>
          <w:tcPr>
            <w:tcW w:w="4665" w:type="dxa"/>
            <w:noWrap w:val="0"/>
            <w:vAlign w:val="center"/>
          </w:tcPr>
          <w:p w14:paraId="7AD59FF9">
            <w:pPr>
              <w:spacing w:line="480" w:lineRule="exact"/>
              <w:jc w:val="left"/>
              <w:rPr>
                <w:rFonts w:hint="eastAsia" w:eastAsia="仿宋_GB2312"/>
                <w:bCs/>
                <w:sz w:val="28"/>
                <w:szCs w:val="28"/>
              </w:rPr>
            </w:pPr>
            <w:r>
              <w:rPr>
                <w:rFonts w:hint="eastAsia" w:eastAsia="仿宋_GB2312"/>
                <w:bCs/>
                <w:sz w:val="28"/>
                <w:szCs w:val="28"/>
              </w:rPr>
              <w:t>测量、控制和实验室用电气设备安全技术规范</w:t>
            </w:r>
          </w:p>
        </w:tc>
      </w:tr>
      <w:tr w14:paraId="39F5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5" w:type="dxa"/>
            <w:shd w:val="clear" w:color="auto" w:fill="auto"/>
            <w:noWrap w:val="0"/>
            <w:vAlign w:val="center"/>
          </w:tcPr>
          <w:p w14:paraId="34E57971">
            <w:pPr>
              <w:spacing w:line="520" w:lineRule="exact"/>
              <w:ind w:left="2273" w:leftChars="0" w:hanging="2273" w:hangingChars="812"/>
              <w:jc w:val="center"/>
              <w:rPr>
                <w:rFonts w:hint="default" w:ascii="Times New Roman" w:hAnsi="Times New Roman" w:eastAsia="仿宋_GB2312" w:cs="Times New Roman"/>
                <w:bCs/>
                <w:kern w:val="2"/>
                <w:sz w:val="28"/>
                <w:szCs w:val="28"/>
                <w:lang w:val="en-US" w:eastAsia="zh-CN" w:bidi="ar-SA"/>
              </w:rPr>
            </w:pPr>
            <w:r>
              <w:rPr>
                <w:rFonts w:eastAsia="仿宋_GB2312"/>
                <w:bCs/>
                <w:sz w:val="28"/>
                <w:szCs w:val="28"/>
              </w:rPr>
              <w:t>GB</w:t>
            </w:r>
            <w:r>
              <w:rPr>
                <w:rFonts w:hint="eastAsia" w:eastAsia="仿宋_GB2312"/>
                <w:bCs/>
                <w:sz w:val="28"/>
                <w:szCs w:val="28"/>
              </w:rPr>
              <w:t>/T 1</w:t>
            </w:r>
            <w:r>
              <w:rPr>
                <w:rFonts w:eastAsia="仿宋_GB2312"/>
                <w:bCs/>
                <w:sz w:val="28"/>
                <w:szCs w:val="28"/>
              </w:rPr>
              <w:t>0255</w:t>
            </w:r>
            <w:r>
              <w:rPr>
                <w:rFonts w:hint="eastAsia" w:eastAsia="仿宋_GB2312"/>
                <w:bCs/>
                <w:sz w:val="28"/>
                <w:szCs w:val="28"/>
                <w:lang w:val="en-US" w:eastAsia="zh-CN"/>
              </w:rPr>
              <w:t>-2013</w:t>
            </w:r>
          </w:p>
        </w:tc>
        <w:tc>
          <w:tcPr>
            <w:tcW w:w="4665" w:type="dxa"/>
            <w:shd w:val="clear" w:color="auto" w:fill="auto"/>
            <w:noWrap w:val="0"/>
            <w:vAlign w:val="center"/>
          </w:tcPr>
          <w:p w14:paraId="0B2C1755">
            <w:pPr>
              <w:spacing w:line="480" w:lineRule="exact"/>
              <w:jc w:val="left"/>
              <w:rPr>
                <w:rFonts w:hint="eastAsia" w:ascii="Times New Roman" w:hAnsi="Times New Roman" w:eastAsia="仿宋_GB2312" w:cs="Times New Roman"/>
                <w:bCs/>
                <w:kern w:val="2"/>
                <w:sz w:val="28"/>
                <w:szCs w:val="28"/>
                <w:lang w:val="en-US" w:eastAsia="zh-CN" w:bidi="ar-SA"/>
              </w:rPr>
            </w:pPr>
            <w:r>
              <w:rPr>
                <w:rFonts w:hint="eastAsia" w:eastAsia="仿宋_GB2312"/>
                <w:bCs/>
                <w:sz w:val="28"/>
                <w:szCs w:val="28"/>
              </w:rPr>
              <w:t>γ放射免疫计数器</w:t>
            </w:r>
          </w:p>
        </w:tc>
      </w:tr>
      <w:tr w14:paraId="6C81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5" w:type="dxa"/>
            <w:noWrap w:val="0"/>
            <w:vAlign w:val="center"/>
          </w:tcPr>
          <w:p w14:paraId="3C3DEB9D">
            <w:pPr>
              <w:spacing w:line="520" w:lineRule="exact"/>
              <w:ind w:left="2274" w:hanging="2273" w:hangingChars="812"/>
              <w:jc w:val="center"/>
              <w:rPr>
                <w:rFonts w:hint="default" w:eastAsia="仿宋_GB2312"/>
                <w:bCs/>
                <w:sz w:val="28"/>
                <w:szCs w:val="28"/>
                <w:lang w:val="en-US" w:eastAsia="zh-CN"/>
              </w:rPr>
            </w:pPr>
            <w:r>
              <w:rPr>
                <w:rFonts w:hint="eastAsia" w:eastAsia="仿宋_GB2312"/>
                <w:bCs/>
                <w:sz w:val="28"/>
                <w:szCs w:val="28"/>
              </w:rPr>
              <w:t>GB/T 4078</w:t>
            </w:r>
            <w:r>
              <w:rPr>
                <w:rFonts w:hint="eastAsia" w:eastAsia="仿宋_GB2312"/>
                <w:bCs/>
                <w:sz w:val="28"/>
                <w:szCs w:val="28"/>
                <w:lang w:val="en-US" w:eastAsia="zh-CN"/>
              </w:rPr>
              <w:t>-2008</w:t>
            </w:r>
          </w:p>
        </w:tc>
        <w:tc>
          <w:tcPr>
            <w:tcW w:w="4665" w:type="dxa"/>
            <w:noWrap w:val="0"/>
            <w:vAlign w:val="center"/>
          </w:tcPr>
          <w:p w14:paraId="6365AA36">
            <w:pPr>
              <w:spacing w:line="480" w:lineRule="exact"/>
              <w:jc w:val="left"/>
              <w:rPr>
                <w:rFonts w:hint="eastAsia" w:eastAsia="仿宋_GB2312"/>
                <w:bCs/>
                <w:sz w:val="28"/>
                <w:szCs w:val="28"/>
              </w:rPr>
            </w:pPr>
            <w:r>
              <w:rPr>
                <w:rFonts w:hint="eastAsia" w:eastAsia="仿宋_GB2312"/>
                <w:bCs/>
                <w:sz w:val="28"/>
                <w:szCs w:val="28"/>
              </w:rPr>
              <w:t>放射性测量用样品托盘、瓶子和试管的尺寸</w:t>
            </w:r>
          </w:p>
        </w:tc>
      </w:tr>
      <w:tr w14:paraId="5FC5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5" w:type="dxa"/>
            <w:noWrap w:val="0"/>
            <w:vAlign w:val="center"/>
          </w:tcPr>
          <w:p w14:paraId="050997BA">
            <w:pPr>
              <w:spacing w:line="520" w:lineRule="exact"/>
              <w:ind w:left="2274" w:hanging="2273" w:hangingChars="812"/>
              <w:jc w:val="center"/>
              <w:rPr>
                <w:rFonts w:hint="default" w:eastAsia="仿宋_GB2312"/>
                <w:bCs/>
                <w:sz w:val="28"/>
                <w:szCs w:val="28"/>
                <w:lang w:val="en-US" w:eastAsia="zh-CN"/>
              </w:rPr>
            </w:pPr>
            <w:r>
              <w:rPr>
                <w:rFonts w:hint="eastAsia" w:eastAsia="仿宋_GB2312"/>
                <w:bCs/>
                <w:sz w:val="28"/>
                <w:szCs w:val="28"/>
              </w:rPr>
              <w:t>GB/T 8993</w:t>
            </w:r>
            <w:r>
              <w:rPr>
                <w:rFonts w:hint="eastAsia" w:eastAsia="仿宋_GB2312"/>
                <w:bCs/>
                <w:sz w:val="28"/>
                <w:szCs w:val="28"/>
                <w:lang w:val="en-US" w:eastAsia="zh-CN"/>
              </w:rPr>
              <w:t>-1998</w:t>
            </w:r>
          </w:p>
        </w:tc>
        <w:tc>
          <w:tcPr>
            <w:tcW w:w="4665" w:type="dxa"/>
            <w:noWrap w:val="0"/>
            <w:vAlign w:val="center"/>
          </w:tcPr>
          <w:p w14:paraId="37BD741B">
            <w:pPr>
              <w:spacing w:line="480" w:lineRule="exact"/>
              <w:jc w:val="left"/>
              <w:rPr>
                <w:rFonts w:hint="eastAsia" w:eastAsia="仿宋_GB2312"/>
                <w:bCs/>
                <w:sz w:val="28"/>
                <w:szCs w:val="28"/>
              </w:rPr>
            </w:pPr>
            <w:r>
              <w:rPr>
                <w:rFonts w:hint="eastAsia" w:eastAsia="仿宋_GB2312"/>
                <w:bCs/>
                <w:sz w:val="28"/>
                <w:szCs w:val="28"/>
              </w:rPr>
              <w:t>核仪器环境条件与试验方法</w:t>
            </w:r>
          </w:p>
        </w:tc>
      </w:tr>
      <w:tr w14:paraId="5218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5" w:type="dxa"/>
            <w:noWrap w:val="0"/>
            <w:vAlign w:val="center"/>
          </w:tcPr>
          <w:p w14:paraId="1BB47804">
            <w:pPr>
              <w:spacing w:line="520" w:lineRule="exact"/>
              <w:ind w:left="2274" w:hanging="2273" w:hangingChars="812"/>
              <w:jc w:val="center"/>
              <w:rPr>
                <w:rFonts w:hint="default" w:eastAsia="仿宋_GB2312"/>
                <w:bCs/>
                <w:sz w:val="28"/>
                <w:szCs w:val="28"/>
                <w:lang w:val="en-US" w:eastAsia="zh-CN"/>
              </w:rPr>
            </w:pPr>
            <w:r>
              <w:rPr>
                <w:rFonts w:eastAsia="仿宋_GB2312"/>
                <w:bCs/>
                <w:sz w:val="28"/>
                <w:szCs w:val="28"/>
              </w:rPr>
              <w:t>GB/T 191</w:t>
            </w:r>
            <w:r>
              <w:rPr>
                <w:rFonts w:hint="eastAsia" w:eastAsia="仿宋_GB2312"/>
                <w:bCs/>
                <w:sz w:val="28"/>
                <w:szCs w:val="28"/>
                <w:lang w:val="en-US" w:eastAsia="zh-CN"/>
              </w:rPr>
              <w:t>-2025</w:t>
            </w:r>
          </w:p>
        </w:tc>
        <w:tc>
          <w:tcPr>
            <w:tcW w:w="4665" w:type="dxa"/>
            <w:noWrap w:val="0"/>
            <w:vAlign w:val="center"/>
          </w:tcPr>
          <w:p w14:paraId="29395475">
            <w:pPr>
              <w:spacing w:line="480" w:lineRule="exact"/>
              <w:jc w:val="left"/>
              <w:rPr>
                <w:rFonts w:eastAsia="仿宋_GB2312"/>
                <w:bCs/>
                <w:sz w:val="28"/>
                <w:szCs w:val="28"/>
              </w:rPr>
            </w:pPr>
            <w:r>
              <w:rPr>
                <w:rFonts w:eastAsia="仿宋_GB2312"/>
                <w:bCs/>
                <w:sz w:val="28"/>
                <w:szCs w:val="28"/>
              </w:rPr>
              <w:t>包装储运图示标志</w:t>
            </w:r>
          </w:p>
        </w:tc>
      </w:tr>
      <w:tr w14:paraId="34B6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625" w:type="dxa"/>
            <w:noWrap w:val="0"/>
            <w:vAlign w:val="center"/>
          </w:tcPr>
          <w:p w14:paraId="36FB33CE">
            <w:pPr>
              <w:spacing w:line="520" w:lineRule="exact"/>
              <w:ind w:left="2274" w:hanging="2273" w:hangingChars="812"/>
              <w:jc w:val="center"/>
              <w:rPr>
                <w:rFonts w:hint="default" w:eastAsia="仿宋_GB2312"/>
                <w:bCs/>
                <w:sz w:val="28"/>
                <w:szCs w:val="28"/>
                <w:lang w:val="en-US" w:eastAsia="zh-CN"/>
              </w:rPr>
            </w:pPr>
            <w:r>
              <w:rPr>
                <w:rFonts w:eastAsia="仿宋_GB2312"/>
                <w:bCs/>
                <w:sz w:val="28"/>
                <w:szCs w:val="28"/>
              </w:rPr>
              <w:t>GB/T 29791.3</w:t>
            </w:r>
            <w:r>
              <w:rPr>
                <w:rFonts w:hint="eastAsia" w:eastAsia="仿宋_GB2312"/>
                <w:bCs/>
                <w:sz w:val="28"/>
                <w:szCs w:val="28"/>
                <w:lang w:val="en-US" w:eastAsia="zh-CN"/>
              </w:rPr>
              <w:t>-2013</w:t>
            </w:r>
          </w:p>
        </w:tc>
        <w:tc>
          <w:tcPr>
            <w:tcW w:w="4665" w:type="dxa"/>
            <w:noWrap w:val="0"/>
            <w:vAlign w:val="center"/>
          </w:tcPr>
          <w:p w14:paraId="7AD21588">
            <w:pPr>
              <w:spacing w:line="480" w:lineRule="exact"/>
              <w:jc w:val="left"/>
              <w:rPr>
                <w:rFonts w:eastAsia="仿宋_GB2312"/>
                <w:bCs/>
                <w:sz w:val="28"/>
                <w:szCs w:val="28"/>
              </w:rPr>
            </w:pPr>
            <w:r>
              <w:rPr>
                <w:rFonts w:eastAsia="仿宋_GB2312"/>
                <w:bCs/>
                <w:sz w:val="28"/>
                <w:szCs w:val="28"/>
              </w:rPr>
              <w:t>体外诊断医疗器械 制造商提供的信息（标示）第3部分：专业用体外诊断仪器</w:t>
            </w:r>
          </w:p>
        </w:tc>
      </w:tr>
      <w:tr w14:paraId="6648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625" w:type="dxa"/>
            <w:noWrap w:val="0"/>
            <w:vAlign w:val="center"/>
          </w:tcPr>
          <w:p w14:paraId="1D899ACD">
            <w:pPr>
              <w:spacing w:line="520" w:lineRule="exact"/>
              <w:ind w:left="2274" w:hanging="2273" w:hangingChars="812"/>
              <w:jc w:val="center"/>
              <w:rPr>
                <w:rFonts w:hint="default" w:eastAsia="仿宋_GB2312"/>
                <w:bCs/>
                <w:sz w:val="28"/>
                <w:szCs w:val="28"/>
                <w:lang w:val="en-US" w:eastAsia="zh-CN"/>
              </w:rPr>
            </w:pPr>
            <w:r>
              <w:rPr>
                <w:rFonts w:hint="eastAsia" w:eastAsia="仿宋_GB2312"/>
                <w:bCs/>
                <w:sz w:val="28"/>
                <w:szCs w:val="28"/>
              </w:rPr>
              <w:t>GB/T 42125.1</w:t>
            </w:r>
            <w:r>
              <w:rPr>
                <w:rFonts w:hint="eastAsia" w:eastAsia="仿宋_GB2312"/>
                <w:bCs/>
                <w:sz w:val="28"/>
                <w:szCs w:val="28"/>
                <w:lang w:val="en-US" w:eastAsia="zh-CN"/>
              </w:rPr>
              <w:t>-2024</w:t>
            </w:r>
          </w:p>
        </w:tc>
        <w:tc>
          <w:tcPr>
            <w:tcW w:w="4665" w:type="dxa"/>
            <w:noWrap w:val="0"/>
            <w:vAlign w:val="center"/>
          </w:tcPr>
          <w:p w14:paraId="0E0CA5D9">
            <w:pPr>
              <w:spacing w:line="480" w:lineRule="exact"/>
              <w:jc w:val="left"/>
              <w:rPr>
                <w:rFonts w:eastAsia="仿宋_GB2312"/>
                <w:bCs/>
                <w:sz w:val="28"/>
                <w:szCs w:val="28"/>
              </w:rPr>
            </w:pPr>
            <w:r>
              <w:rPr>
                <w:rFonts w:hint="eastAsia" w:eastAsia="仿宋_GB2312"/>
                <w:bCs/>
                <w:sz w:val="28"/>
                <w:szCs w:val="28"/>
              </w:rPr>
              <w:t>测量、控制和实验室用电气设备的安全要求 第1部分：通用要求</w:t>
            </w:r>
          </w:p>
        </w:tc>
      </w:tr>
      <w:tr w14:paraId="346F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625" w:type="dxa"/>
            <w:noWrap w:val="0"/>
            <w:vAlign w:val="center"/>
          </w:tcPr>
          <w:p w14:paraId="5E0591B6">
            <w:pPr>
              <w:spacing w:line="520" w:lineRule="exact"/>
              <w:ind w:left="2274" w:hanging="2273" w:hangingChars="812"/>
              <w:jc w:val="center"/>
              <w:rPr>
                <w:rFonts w:hint="default" w:eastAsia="仿宋_GB2312"/>
                <w:bCs/>
                <w:sz w:val="28"/>
                <w:szCs w:val="28"/>
                <w:lang w:val="en-US" w:eastAsia="zh-CN"/>
              </w:rPr>
            </w:pPr>
            <w:r>
              <w:rPr>
                <w:rFonts w:eastAsia="仿宋_GB2312"/>
                <w:bCs/>
                <w:sz w:val="28"/>
                <w:szCs w:val="28"/>
              </w:rPr>
              <w:t>GB/T 18268.1</w:t>
            </w:r>
            <w:r>
              <w:rPr>
                <w:rFonts w:hint="eastAsia" w:eastAsia="仿宋_GB2312"/>
                <w:bCs/>
                <w:sz w:val="28"/>
                <w:szCs w:val="28"/>
                <w:lang w:val="en-US" w:eastAsia="zh-CN"/>
              </w:rPr>
              <w:t>-2025</w:t>
            </w:r>
          </w:p>
        </w:tc>
        <w:tc>
          <w:tcPr>
            <w:tcW w:w="4665" w:type="dxa"/>
            <w:noWrap w:val="0"/>
            <w:vAlign w:val="center"/>
          </w:tcPr>
          <w:p w14:paraId="01733876">
            <w:pPr>
              <w:pStyle w:val="2"/>
              <w:widowControl/>
              <w:shd w:val="clear" w:color="auto" w:fill="FFFFFF"/>
              <w:wordWrap w:val="0"/>
              <w:spacing w:before="0" w:beforeAutospacing="0" w:after="0" w:afterAutospacing="0" w:line="390" w:lineRule="atLeast"/>
              <w:jc w:val="left"/>
              <w:rPr>
                <w:rFonts w:ascii="Times New Roman" w:hAnsi="Times New Roman" w:eastAsia="仿宋_GB2312"/>
                <w:b w:val="0"/>
                <w:kern w:val="2"/>
                <w:sz w:val="28"/>
                <w:szCs w:val="28"/>
              </w:rPr>
            </w:pPr>
            <w:r>
              <w:rPr>
                <w:rFonts w:ascii="Times New Roman" w:hAnsi="Times New Roman" w:eastAsia="仿宋_GB2312"/>
                <w:b w:val="0"/>
                <w:kern w:val="2"/>
                <w:sz w:val="28"/>
                <w:szCs w:val="28"/>
              </w:rPr>
              <w:t>测量、控制和实验室用的电设备 电磁兼容性要求 第1部分：通用要求）</w:t>
            </w:r>
          </w:p>
        </w:tc>
      </w:tr>
      <w:tr w14:paraId="38A5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625" w:type="dxa"/>
            <w:noWrap w:val="0"/>
            <w:vAlign w:val="center"/>
          </w:tcPr>
          <w:p w14:paraId="1855959A">
            <w:pPr>
              <w:spacing w:line="520" w:lineRule="exact"/>
              <w:ind w:left="2274" w:hanging="2273" w:hangingChars="812"/>
              <w:jc w:val="center"/>
              <w:rPr>
                <w:rFonts w:hint="default" w:eastAsia="仿宋_GB2312"/>
                <w:bCs/>
                <w:sz w:val="28"/>
                <w:szCs w:val="28"/>
                <w:lang w:val="en-US" w:eastAsia="zh-CN"/>
              </w:rPr>
            </w:pPr>
            <w:r>
              <w:rPr>
                <w:rFonts w:eastAsia="仿宋_GB2312"/>
                <w:bCs/>
                <w:sz w:val="28"/>
                <w:szCs w:val="28"/>
              </w:rPr>
              <w:t>GB/T 18268.26</w:t>
            </w:r>
            <w:r>
              <w:rPr>
                <w:rFonts w:hint="eastAsia" w:eastAsia="仿宋_GB2312"/>
                <w:bCs/>
                <w:sz w:val="28"/>
                <w:szCs w:val="28"/>
                <w:lang w:val="en-US" w:eastAsia="zh-CN"/>
              </w:rPr>
              <w:t>-2010</w:t>
            </w:r>
          </w:p>
        </w:tc>
        <w:tc>
          <w:tcPr>
            <w:tcW w:w="4665" w:type="dxa"/>
            <w:noWrap w:val="0"/>
            <w:vAlign w:val="center"/>
          </w:tcPr>
          <w:p w14:paraId="26DC9E7A">
            <w:pPr>
              <w:pStyle w:val="2"/>
              <w:widowControl/>
              <w:shd w:val="clear" w:color="auto" w:fill="FFFFFF"/>
              <w:wordWrap w:val="0"/>
              <w:spacing w:before="0" w:beforeAutospacing="0" w:after="0" w:afterAutospacing="0" w:line="390" w:lineRule="atLeast"/>
              <w:jc w:val="left"/>
              <w:rPr>
                <w:rFonts w:ascii="Times New Roman" w:hAnsi="Times New Roman" w:eastAsia="仿宋_GB2312"/>
                <w:b w:val="0"/>
                <w:kern w:val="2"/>
                <w:sz w:val="28"/>
                <w:szCs w:val="28"/>
              </w:rPr>
            </w:pPr>
            <w:r>
              <w:rPr>
                <w:rFonts w:ascii="Times New Roman" w:hAnsi="Times New Roman" w:eastAsia="仿宋_GB2312"/>
                <w:b w:val="0"/>
                <w:kern w:val="2"/>
                <w:sz w:val="28"/>
                <w:szCs w:val="28"/>
              </w:rPr>
              <w:t>（测量、控制和实验室用的电设备 电磁兼容性要求 第26部分：特殊要求 体外诊断（IVD）医疗设备</w:t>
            </w:r>
          </w:p>
        </w:tc>
      </w:tr>
      <w:tr w14:paraId="0C80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625" w:type="dxa"/>
            <w:shd w:val="clear" w:color="auto" w:fill="auto"/>
            <w:noWrap w:val="0"/>
            <w:vAlign w:val="center"/>
          </w:tcPr>
          <w:p w14:paraId="7E6F4A4B">
            <w:pPr>
              <w:spacing w:line="520" w:lineRule="exact"/>
              <w:ind w:left="2273" w:leftChars="0" w:hanging="2273" w:hangingChars="812"/>
              <w:jc w:val="center"/>
              <w:rPr>
                <w:rFonts w:hint="default" w:ascii="Times New Roman" w:hAnsi="Times New Roman" w:eastAsia="仿宋_GB2312" w:cs="Times New Roman"/>
                <w:bCs/>
                <w:kern w:val="2"/>
                <w:sz w:val="28"/>
                <w:szCs w:val="28"/>
                <w:lang w:val="en-US" w:eastAsia="zh-CN" w:bidi="ar-SA"/>
              </w:rPr>
            </w:pPr>
            <w:r>
              <w:rPr>
                <w:rFonts w:hint="eastAsia" w:eastAsia="仿宋_GB2312"/>
                <w:bCs/>
                <w:sz w:val="28"/>
                <w:szCs w:val="28"/>
              </w:rPr>
              <w:t>YY/T 0648</w:t>
            </w:r>
            <w:r>
              <w:rPr>
                <w:rFonts w:hint="eastAsia" w:eastAsia="仿宋_GB2312"/>
                <w:bCs/>
                <w:sz w:val="28"/>
                <w:szCs w:val="28"/>
                <w:lang w:val="en-US" w:eastAsia="zh-CN"/>
              </w:rPr>
              <w:t>-2025</w:t>
            </w:r>
          </w:p>
        </w:tc>
        <w:tc>
          <w:tcPr>
            <w:tcW w:w="4665" w:type="dxa"/>
            <w:shd w:val="clear" w:color="auto" w:fill="auto"/>
            <w:noWrap w:val="0"/>
            <w:vAlign w:val="center"/>
          </w:tcPr>
          <w:p w14:paraId="46D9AF86">
            <w:pPr>
              <w:spacing w:line="480" w:lineRule="exact"/>
              <w:jc w:val="left"/>
              <w:rPr>
                <w:rFonts w:ascii="Times New Roman" w:hAnsi="Times New Roman" w:eastAsia="仿宋_GB2312" w:cs="Times New Roman"/>
                <w:bCs/>
                <w:kern w:val="2"/>
                <w:sz w:val="28"/>
                <w:szCs w:val="28"/>
                <w:lang w:val="en-US" w:eastAsia="zh-CN" w:bidi="ar-SA"/>
              </w:rPr>
            </w:pPr>
            <w:r>
              <w:rPr>
                <w:rFonts w:eastAsia="仿宋_GB2312"/>
                <w:bCs/>
                <w:sz w:val="28"/>
                <w:szCs w:val="28"/>
              </w:rPr>
              <w:t>测量、控制和实验室用电气设备的安全要求 第2-101部分：体外诊断（IVD）医用设备的专用要求</w:t>
            </w:r>
          </w:p>
        </w:tc>
      </w:tr>
    </w:tbl>
    <w:p w14:paraId="6D223D23"/>
    <w:p w14:paraId="0D7350E9"/>
    <w:p w14:paraId="3EDAC50B"/>
    <w:sectPr>
      <w:footerReference r:id="rId3" w:type="default"/>
      <w:footerReference r:id="rId4" w:type="even"/>
      <w:pgSz w:w="11906" w:h="16838"/>
      <w:pgMar w:top="1701" w:right="1588" w:bottom="1701" w:left="1588"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4C53D4-2036-4595-9586-B0D634C07B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2" w:fontKey="{BEA38F70-860B-4FD5-86D0-E1615B70B692}"/>
  </w:font>
  <w:font w:name="方正小标宋简体">
    <w:panose1 w:val="02000000000000000000"/>
    <w:charset w:val="86"/>
    <w:family w:val="script"/>
    <w:pitch w:val="default"/>
    <w:sig w:usb0="00000001" w:usb1="08000000" w:usb2="00000000" w:usb3="00000000" w:csb0="00040000" w:csb1="00000000"/>
    <w:embedRegular r:id="rId3" w:fontKey="{5B29415A-5A89-41BA-8EA0-4078277E67CF}"/>
  </w:font>
  <w:font w:name="仿宋_GB2312">
    <w:altName w:val="仿宋"/>
    <w:panose1 w:val="02010609030101010101"/>
    <w:charset w:val="86"/>
    <w:family w:val="modern"/>
    <w:pitch w:val="default"/>
    <w:sig w:usb0="00000000" w:usb1="00000000" w:usb2="00000000" w:usb3="00000000" w:csb0="00040000" w:csb1="00000000"/>
    <w:embedRegular r:id="rId4" w:fontKey="{21C3CD99-DA6B-4BB4-A578-18C202376B69}"/>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4F94D907-C1C1-48C1-835A-91FE08CD1D9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55B8">
    <w:pPr>
      <w:pStyle w:val="4"/>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p w14:paraId="0B2A41BE">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C467F">
    <w:pPr>
      <w:pStyle w:val="4"/>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8</w:t>
    </w:r>
    <w:r>
      <w:rPr>
        <w:sz w:val="28"/>
        <w:szCs w:val="28"/>
      </w:rPr>
      <w:fldChar w:fldCharType="end"/>
    </w:r>
    <w:r>
      <w:rPr>
        <w:sz w:val="28"/>
        <w:szCs w:val="28"/>
      </w:rPr>
      <w:t xml:space="preserve"> —</w:t>
    </w:r>
  </w:p>
  <w:p w14:paraId="566A3BE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9354EC"/>
    <w:multiLevelType w:val="singleLevel"/>
    <w:tmpl w:val="D89354EC"/>
    <w:lvl w:ilvl="0" w:tentative="0">
      <w:start w:val="1"/>
      <w:numFmt w:val="decimal"/>
      <w:suff w:val="space"/>
      <w:lvlText w:val="%1."/>
      <w:lvlJc w:val="left"/>
    </w:lvl>
  </w:abstractNum>
  <w:abstractNum w:abstractNumId="1">
    <w:nsid w:val="F5E7EFA5"/>
    <w:multiLevelType w:val="singleLevel"/>
    <w:tmpl w:val="F5E7EFA5"/>
    <w:lvl w:ilvl="0" w:tentative="0">
      <w:start w:val="1"/>
      <w:numFmt w:val="chineseCounting"/>
      <w:suff w:val="nothing"/>
      <w:lvlText w:val="%1、"/>
      <w:lvlJc w:val="left"/>
      <w:rPr>
        <w:rFonts w:hint="eastAsia"/>
      </w:rPr>
    </w:lvl>
  </w:abstractNum>
  <w:abstractNum w:abstractNumId="2">
    <w:nsid w:val="7B5F07A7"/>
    <w:multiLevelType w:val="singleLevel"/>
    <w:tmpl w:val="7B5F07A7"/>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B0D1C"/>
    <w:rsid w:val="07C746DB"/>
    <w:rsid w:val="0F450947"/>
    <w:rsid w:val="104D76E4"/>
    <w:rsid w:val="1C0B0D1C"/>
    <w:rsid w:val="226946F4"/>
    <w:rsid w:val="27091470"/>
    <w:rsid w:val="34022063"/>
    <w:rsid w:val="3482405C"/>
    <w:rsid w:val="3AAC76A2"/>
    <w:rsid w:val="580B6F57"/>
    <w:rsid w:val="59B44B21"/>
    <w:rsid w:val="66412B66"/>
    <w:rsid w:val="6A866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widowControl w:val="0"/>
      <w:spacing w:before="100" w:beforeAutospacing="1" w:after="100" w:afterAutospacing="1"/>
      <w:outlineLvl w:val="0"/>
    </w:pPr>
    <w:rPr>
      <w:rFonts w:hint="eastAsia" w:ascii="宋体" w:hAnsi="宋体" w:eastAsia="宋体" w:cs="Times New Roman"/>
      <w:b/>
      <w:bCs/>
      <w:kern w:val="44"/>
      <w:sz w:val="48"/>
      <w:szCs w:val="48"/>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qFormat/>
    <w:uiPriority w:val="99"/>
    <w:pPr>
      <w:widowControl w:val="0"/>
      <w:tabs>
        <w:tab w:val="center" w:pos="4153"/>
        <w:tab w:val="right" w:pos="8306"/>
      </w:tabs>
      <w:snapToGrid w:val="0"/>
    </w:pPr>
    <w:rPr>
      <w:rFonts w:ascii="Times New Roman" w:hAnsi="Times New Roman" w:eastAsia="宋体" w:cs="Times New Roman"/>
      <w:kern w:val="2"/>
      <w:sz w:val="18"/>
      <w:szCs w:val="24"/>
      <w:lang w:val="en-US" w:eastAsia="zh-CN" w:bidi="ar-SA"/>
    </w:rPr>
  </w:style>
  <w:style w:type="character" w:styleId="7">
    <w:name w:val="annotation reference"/>
    <w:qFormat/>
    <w:uiPriority w:val="0"/>
    <w:rPr>
      <w:sz w:val="21"/>
      <w:szCs w:val="21"/>
    </w:rPr>
  </w:style>
  <w:style w:type="paragraph" w:styleId="8">
    <w:name w:val="No Spacing"/>
    <w:qFormat/>
    <w:uiPriority w:val="0"/>
    <w:pPr>
      <w:adjustRightInd w:val="0"/>
      <w:snapToGrid w:val="0"/>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5410</Words>
  <Characters>5690</Characters>
  <Lines>0</Lines>
  <Paragraphs>0</Paragraphs>
  <TotalTime>4</TotalTime>
  <ScaleCrop>false</ScaleCrop>
  <LinksUpToDate>false</LinksUpToDate>
  <CharactersWithSpaces>5710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2026-07-14T13:56:00Z</dcterms:created>
  <dc:creator>凌波</dc:creator>
  <cp:lastModifiedBy>凌波</cp:lastModifiedBy>
  <dcterms:modified xsi:type="dcterms:W3CDTF">2026-07-23T09:23:43Z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8CC6CAC0B4E04C178FFA6EFB0656FBB4_13</vt:lpwstr>
  </property>
  <property fmtid="{D5CDD505-2E9C-101B-9397-08002B2CF9AE}" pid="4" name="KSOTemplateDocerSaveRecord">
    <vt:lpwstr>eyJoZGlkIjoiNzlmMzRmYjdmNzYxY2M3NTJiMjhiNDBmMDUwMmQ2NzkiLCJ1c2VySWQiOiIzODk4MzIxOTIifQ==</vt:lpwstr>
  </property>
</Properties>
</file>