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3B3C47">
      <w:pPr>
        <w:spacing w:line="520" w:lineRule="exact"/>
        <w:ind w:right="-67" w:rightChars="-32"/>
        <w:jc w:val="center"/>
        <w:rPr>
          <w:rFonts w:hint="eastAsia" w:ascii="Times New Roman" w:hAnsi="Times New Roman" w:eastAsia="方正小标宋简体" w:cs="Times New Roman"/>
          <w:color w:val="000000"/>
          <w:sz w:val="44"/>
          <w:szCs w:val="44"/>
        </w:rPr>
      </w:pPr>
      <w:r>
        <w:rPr>
          <w:rFonts w:hint="eastAsia" w:ascii="Times New Roman" w:hAnsi="Times New Roman" w:eastAsia="方正小标宋简体" w:cs="Times New Roman"/>
          <w:color w:val="000000"/>
          <w:sz w:val="44"/>
          <w:szCs w:val="44"/>
        </w:rPr>
        <w:t>微生物鉴定药敏分析仪注册审查指导原则</w:t>
      </w:r>
    </w:p>
    <w:p w14:paraId="7227B55B">
      <w:pPr>
        <w:spacing w:line="520" w:lineRule="exact"/>
        <w:ind w:right="-67" w:rightChars="-32"/>
        <w:jc w:val="center"/>
        <w:rPr>
          <w:rFonts w:hint="default" w:ascii="Times New Roman" w:hAnsi="Times New Roman" w:eastAsia="方正小标宋简体" w:cs="Times New Roman"/>
          <w:color w:val="000000"/>
          <w:sz w:val="44"/>
          <w:szCs w:val="44"/>
          <w:lang w:val="en-US" w:eastAsia="zh-CN"/>
        </w:rPr>
      </w:pPr>
      <w:r>
        <w:rPr>
          <w:rFonts w:hint="eastAsia" w:ascii="Times New Roman" w:hAnsi="Times New Roman" w:eastAsia="方正小标宋简体" w:cs="Times New Roman"/>
          <w:color w:val="000000"/>
          <w:sz w:val="44"/>
          <w:szCs w:val="44"/>
          <w:lang w:eastAsia="zh-CN"/>
        </w:rPr>
        <w:t>（</w:t>
      </w:r>
      <w:r>
        <w:rPr>
          <w:rFonts w:hint="eastAsia" w:ascii="Times New Roman" w:hAnsi="Times New Roman" w:eastAsia="方正小标宋简体" w:cs="Times New Roman"/>
          <w:color w:val="000000"/>
          <w:sz w:val="44"/>
          <w:szCs w:val="44"/>
          <w:lang w:val="en-US" w:eastAsia="zh-CN"/>
        </w:rPr>
        <w:t>征求意见稿）</w:t>
      </w:r>
      <w:bookmarkStart w:id="1" w:name="_GoBack"/>
      <w:bookmarkEnd w:id="1"/>
    </w:p>
    <w:p w14:paraId="2A6B3B40">
      <w:pPr>
        <w:spacing w:line="520" w:lineRule="exact"/>
        <w:ind w:firstLine="640" w:firstLineChars="200"/>
        <w:jc w:val="left"/>
        <w:rPr>
          <w:rFonts w:hint="eastAsia" w:ascii="Times New Roman" w:hAnsi="Times New Roman" w:eastAsia="仿宋_GB2312" w:cs="Times New Roman"/>
          <w:color w:val="000000"/>
          <w:sz w:val="32"/>
          <w:szCs w:val="32"/>
        </w:rPr>
      </w:pPr>
    </w:p>
    <w:p w14:paraId="1B203C59">
      <w:pPr>
        <w:spacing w:line="520" w:lineRule="exact"/>
        <w:ind w:firstLine="640" w:firstLineChars="200"/>
        <w:jc w:val="left"/>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本指导原则旨在指导注册申请人对微生物鉴定药敏分析仪注册申报资料的准备及撰写，同时也为技术审评部门审查注册申报资料提供参考。</w:t>
      </w:r>
    </w:p>
    <w:p w14:paraId="4473D828">
      <w:pPr>
        <w:spacing w:line="520" w:lineRule="exact"/>
        <w:ind w:firstLine="640" w:firstLineChars="200"/>
        <w:jc w:val="left"/>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本指导原则是对微生物鉴定药敏分析仪的一般要求，申请人应依据产品的具体特性确定其中内容是否适用。若不适用，需具体阐述理由及相应的科学依据，并依据产品的具体特性对注册申报资料的内容进行充实和细化。</w:t>
      </w:r>
    </w:p>
    <w:p w14:paraId="028C8F49">
      <w:pPr>
        <w:spacing w:line="520" w:lineRule="exact"/>
        <w:ind w:firstLine="640" w:firstLineChars="200"/>
        <w:jc w:val="left"/>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本指导原则是供注册申请人和技术审评人员使用的指导性文件，但不包括审评审批所涉及的行政事项，亦不作为法规强制执行，应在遵循相关法规的前提下使用本指导原则。如果有能够满足相关法规要求的其他方法，也可以采用，但是需要提供详细的研究资料和验证资料。</w:t>
      </w:r>
    </w:p>
    <w:p w14:paraId="5CFD096F">
      <w:pPr>
        <w:spacing w:line="520" w:lineRule="exact"/>
        <w:ind w:firstLine="640" w:firstLineChars="200"/>
        <w:jc w:val="left"/>
        <w:rPr>
          <w:rFonts w:hint="eastAsia"/>
        </w:rPr>
      </w:pPr>
      <w:r>
        <w:rPr>
          <w:rFonts w:hint="eastAsia" w:ascii="Times New Roman" w:hAnsi="Times New Roman" w:eastAsia="仿宋_GB2312" w:cs="Times New Roman"/>
          <w:color w:val="000000"/>
          <w:sz w:val="32"/>
          <w:szCs w:val="32"/>
        </w:rPr>
        <w:t>本指导原则是在现行法规和标准体系以及当前认知水平下制定，随着法规和标准的不断完善，以及科学技术的不断发展，相关内容也将适时进行调整。</w:t>
      </w:r>
    </w:p>
    <w:p w14:paraId="3CADB8C0">
      <w:pPr>
        <w:spacing w:line="520" w:lineRule="exact"/>
        <w:ind w:right="-67" w:rightChars="-32" w:firstLine="640" w:firstLineChars="200"/>
        <w:outlineLvl w:val="0"/>
        <w:rPr>
          <w:rFonts w:hint="eastAsia" w:ascii="Times New Roman" w:hAnsi="Times New Roman" w:eastAsia="黑体" w:cs="Times New Roman"/>
          <w:color w:val="000000"/>
          <w:sz w:val="32"/>
          <w:szCs w:val="32"/>
        </w:rPr>
      </w:pPr>
      <w:r>
        <w:rPr>
          <w:rFonts w:hint="eastAsia" w:ascii="Times New Roman" w:hAnsi="Times New Roman" w:eastAsia="黑体" w:cs="Times New Roman"/>
          <w:color w:val="000000"/>
          <w:sz w:val="32"/>
          <w:szCs w:val="32"/>
        </w:rPr>
        <w:t>一、适用范围</w:t>
      </w:r>
    </w:p>
    <w:p w14:paraId="4A282A62">
      <w:pPr>
        <w:overflowPunct w:val="0"/>
        <w:autoSpaceDE w:val="0"/>
        <w:autoSpaceDN w:val="0"/>
        <w:spacing w:line="520" w:lineRule="exact"/>
        <w:ind w:firstLine="640" w:firstLineChars="200"/>
        <w:jc w:val="left"/>
        <w:rPr>
          <w:rFonts w:hint="default" w:ascii="Times New Roman" w:hAnsi="Times New Roman" w:eastAsia="仿宋_GB2312" w:cs="Times New Roman"/>
          <w:color w:val="000000"/>
          <w:sz w:val="32"/>
          <w:szCs w:val="32"/>
          <w:lang w:val="en-US" w:eastAsia="zh-CN"/>
        </w:rPr>
      </w:pPr>
      <w:r>
        <w:rPr>
          <w:rFonts w:hint="eastAsia" w:eastAsia="仿宋_GB2312" w:cs="仿宋_GB2312"/>
          <w:snapToGrid w:val="0"/>
          <w:kern w:val="0"/>
          <w:sz w:val="32"/>
          <w:szCs w:val="32"/>
        </w:rPr>
        <w:t>本指导</w:t>
      </w:r>
      <w:r>
        <w:rPr>
          <w:rFonts w:eastAsia="仿宋_GB2312" w:cs="仿宋_GB2312"/>
          <w:snapToGrid w:val="0"/>
          <w:kern w:val="0"/>
          <w:sz w:val="32"/>
          <w:szCs w:val="32"/>
        </w:rPr>
        <w:t>原则</w:t>
      </w:r>
      <w:r>
        <w:rPr>
          <w:rFonts w:hint="eastAsia" w:eastAsia="仿宋_GB2312" w:cs="仿宋_GB2312"/>
          <w:snapToGrid w:val="0"/>
          <w:kern w:val="0"/>
          <w:sz w:val="32"/>
          <w:szCs w:val="32"/>
        </w:rPr>
        <w:t>适用于</w:t>
      </w:r>
      <w:r>
        <w:rPr>
          <w:rFonts w:hint="eastAsia" w:ascii="Times New Roman" w:hAnsi="Times New Roman" w:eastAsia="仿宋_GB2312" w:cs="Times New Roman"/>
          <w:color w:val="000000"/>
          <w:sz w:val="32"/>
          <w:szCs w:val="32"/>
        </w:rPr>
        <w:t>通过生长、临床化学的手段</w:t>
      </w:r>
      <w:r>
        <w:rPr>
          <w:rFonts w:hint="eastAsia" w:ascii="Times New Roman" w:hAnsi="Times New Roman" w:eastAsia="仿宋_GB2312" w:cs="Times New Roman"/>
          <w:color w:val="000000"/>
          <w:sz w:val="32"/>
          <w:szCs w:val="32"/>
          <w:lang w:eastAsia="zh-CN"/>
        </w:rPr>
        <w:t>，</w:t>
      </w:r>
      <w:r>
        <w:rPr>
          <w:rFonts w:hint="eastAsia" w:eastAsia="仿宋_GB2312" w:cs="仿宋_GB2312"/>
          <w:snapToGrid w:val="0"/>
          <w:kern w:val="0"/>
          <w:sz w:val="32"/>
          <w:szCs w:val="32"/>
          <w:lang w:val="en-US" w:eastAsia="zh-CN"/>
        </w:rPr>
        <w:t>基于</w:t>
      </w:r>
      <w:r>
        <w:rPr>
          <w:rFonts w:hint="eastAsia" w:ascii="Times New Roman" w:hAnsi="Times New Roman" w:eastAsia="仿宋_GB2312" w:cs="Times New Roman"/>
          <w:color w:val="000000"/>
          <w:sz w:val="32"/>
          <w:szCs w:val="32"/>
        </w:rPr>
        <w:t>比浊法、比色法、电阻抗法、荧光法原理</w:t>
      </w:r>
      <w:r>
        <w:rPr>
          <w:rFonts w:hint="eastAsia" w:eastAsia="仿宋_GB2312" w:cs="仿宋_GB2312"/>
          <w:snapToGrid w:val="0"/>
          <w:kern w:val="0"/>
          <w:sz w:val="32"/>
          <w:szCs w:val="32"/>
          <w:lang w:val="en-US" w:eastAsia="zh-CN"/>
        </w:rPr>
        <w:t>，</w:t>
      </w:r>
      <w:r>
        <w:rPr>
          <w:rFonts w:hint="eastAsia" w:ascii="Times New Roman" w:hAnsi="Times New Roman" w:eastAsia="仿宋_GB2312" w:cs="Times New Roman"/>
          <w:color w:val="000000"/>
          <w:sz w:val="32"/>
          <w:szCs w:val="32"/>
        </w:rPr>
        <w:t>鉴定从生物样本中分离出的传染性和/或病原性微生物</w:t>
      </w:r>
      <w:r>
        <w:rPr>
          <w:rFonts w:hint="eastAsia"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rPr>
        <w:t>确定从临床样本分离出的细菌病原体的药物敏感性</w:t>
      </w:r>
      <w:r>
        <w:rPr>
          <w:rFonts w:hint="eastAsia" w:ascii="Times New Roman" w:hAnsi="Times New Roman" w:eastAsia="仿宋_GB2312" w:cs="Times New Roman"/>
          <w:color w:val="000000"/>
          <w:sz w:val="32"/>
          <w:szCs w:val="32"/>
          <w:lang w:eastAsia="zh-CN"/>
        </w:rPr>
        <w:t>的微生物（鉴定）药敏分析仪</w:t>
      </w:r>
      <w:r>
        <w:rPr>
          <w:rFonts w:hint="eastAsia" w:ascii="Times New Roman" w:hAnsi="Times New Roman" w:eastAsia="仿宋_GB2312" w:cs="Times New Roman"/>
          <w:color w:val="000000"/>
          <w:sz w:val="32"/>
          <w:szCs w:val="32"/>
        </w:rPr>
        <w:t>。仅具备药敏分析功能，或同时具备鉴定与药敏分析功能的产品，均适用本指导原则。</w:t>
      </w:r>
      <w:r>
        <w:rPr>
          <w:rFonts w:hint="eastAsia" w:eastAsia="仿宋_GB2312" w:cs="仿宋_GB2312"/>
          <w:snapToGrid w:val="0"/>
          <w:kern w:val="0"/>
          <w:sz w:val="32"/>
          <w:szCs w:val="32"/>
        </w:rPr>
        <w:t>分类编码为2</w:t>
      </w:r>
      <w:r>
        <w:rPr>
          <w:rFonts w:hint="eastAsia" w:eastAsia="仿宋_GB2312" w:cs="仿宋_GB2312"/>
          <w:snapToGrid w:val="0"/>
          <w:kern w:val="0"/>
          <w:sz w:val="32"/>
          <w:szCs w:val="32"/>
          <w:lang w:val="en-US" w:eastAsia="zh-CN"/>
        </w:rPr>
        <w:t>2-06</w:t>
      </w:r>
      <w:r>
        <w:rPr>
          <w:rFonts w:hint="eastAsia" w:eastAsia="仿宋_GB2312" w:cs="仿宋_GB2312"/>
          <w:snapToGrid w:val="0"/>
          <w:kern w:val="0"/>
          <w:sz w:val="32"/>
          <w:szCs w:val="32"/>
        </w:rPr>
        <w:t>-0</w:t>
      </w:r>
      <w:r>
        <w:rPr>
          <w:rFonts w:hint="eastAsia" w:eastAsia="仿宋_GB2312" w:cs="仿宋_GB2312"/>
          <w:snapToGrid w:val="0"/>
          <w:kern w:val="0"/>
          <w:sz w:val="32"/>
          <w:szCs w:val="32"/>
          <w:lang w:val="en-US" w:eastAsia="zh-CN"/>
        </w:rPr>
        <w:t>4的微生物鉴定仪器（非质谱）</w:t>
      </w:r>
      <w:r>
        <w:rPr>
          <w:rFonts w:hint="eastAsia" w:ascii="Times New Roman" w:hAnsi="Times New Roman" w:eastAsia="仿宋_GB2312" w:cs="Times New Roman"/>
          <w:color w:val="000000"/>
          <w:sz w:val="32"/>
          <w:szCs w:val="32"/>
        </w:rPr>
        <w:t>注册可参照本指导原则，但应根据产品的具体特性确定其中内容是否适用。本指导原则不适用于以</w:t>
      </w:r>
      <w:r>
        <w:rPr>
          <w:rFonts w:hint="eastAsia" w:ascii="Times New Roman" w:hAnsi="Times New Roman" w:eastAsia="仿宋_GB2312" w:cs="Times New Roman"/>
          <w:color w:val="000000"/>
          <w:sz w:val="32"/>
          <w:szCs w:val="32"/>
          <w:lang w:val="en-US" w:eastAsia="zh-CN"/>
        </w:rPr>
        <w:t>质谱法为原理的微生物（鉴定）药敏分析仪。</w:t>
      </w:r>
    </w:p>
    <w:p w14:paraId="0677B5A7">
      <w:pPr>
        <w:spacing w:line="520" w:lineRule="exact"/>
        <w:ind w:right="-67" w:rightChars="-32" w:firstLine="640" w:firstLineChars="200"/>
        <w:outlineLvl w:val="0"/>
        <w:rPr>
          <w:rFonts w:hint="eastAsia" w:ascii="Times New Roman" w:hAnsi="Times New Roman" w:eastAsia="黑体" w:cs="Times New Roman"/>
          <w:color w:val="000000"/>
          <w:sz w:val="32"/>
          <w:szCs w:val="32"/>
        </w:rPr>
      </w:pPr>
      <w:r>
        <w:rPr>
          <w:rFonts w:hint="eastAsia" w:ascii="Times New Roman" w:hAnsi="Times New Roman" w:eastAsia="黑体" w:cs="Times New Roman"/>
          <w:color w:val="000000"/>
          <w:sz w:val="32"/>
          <w:szCs w:val="32"/>
        </w:rPr>
        <w:t>二、注册审查要点</w:t>
      </w:r>
    </w:p>
    <w:p w14:paraId="2CDBCF0E">
      <w:pPr>
        <w:spacing w:line="520" w:lineRule="exact"/>
        <w:ind w:right="-67" w:rightChars="-32" w:firstLine="640" w:firstLineChars="200"/>
        <w:outlineLvl w:val="1"/>
        <w:rPr>
          <w:rFonts w:hint="eastAsia" w:ascii="Times New Roman" w:hAnsi="Times New Roman" w:eastAsia="楷体_GB2312" w:cs="Times New Roman"/>
          <w:color w:val="000000"/>
          <w:sz w:val="32"/>
          <w:szCs w:val="32"/>
        </w:rPr>
      </w:pPr>
      <w:r>
        <w:rPr>
          <w:rFonts w:hint="eastAsia" w:ascii="Times New Roman" w:hAnsi="Times New Roman" w:eastAsia="楷体_GB2312" w:cs="Times New Roman"/>
          <w:color w:val="000000"/>
          <w:sz w:val="32"/>
          <w:szCs w:val="32"/>
        </w:rPr>
        <w:t>（一）监管信息</w:t>
      </w:r>
    </w:p>
    <w:p w14:paraId="4BF7D764">
      <w:pPr>
        <w:spacing w:line="520" w:lineRule="exact"/>
        <w:ind w:firstLine="640" w:firstLineChars="200"/>
        <w:rPr>
          <w:rFonts w:ascii="Times New Roman" w:hAnsi="Times New Roman" w:eastAsia="仿宋_GB2312"/>
          <w:sz w:val="32"/>
          <w:szCs w:val="28"/>
        </w:rPr>
      </w:pPr>
      <w:r>
        <w:rPr>
          <w:rFonts w:hint="eastAsia" w:ascii="Times New Roman" w:hAnsi="Times New Roman" w:eastAsia="仿宋_GB2312"/>
          <w:sz w:val="32"/>
          <w:szCs w:val="28"/>
        </w:rPr>
        <w:t>包括申请表、术语、缩写词列表、产品列表、关联文件、申报前与监管机构的联系情况和沟通记录、符合性声明等文件，重点关注以下内容。</w:t>
      </w:r>
    </w:p>
    <w:p w14:paraId="5B460498">
      <w:pPr>
        <w:spacing w:line="520" w:lineRule="exact"/>
        <w:ind w:firstLine="636" w:firstLineChars="200"/>
        <w:outlineLvl w:val="2"/>
        <w:rPr>
          <w:rFonts w:hint="eastAsia" w:ascii="Times New Roman" w:hAnsi="Times New Roman" w:eastAsia="仿宋_GB2312" w:cs="Times New Roman"/>
          <w:color w:val="000000"/>
          <w:spacing w:val="-1"/>
          <w:sz w:val="32"/>
          <w:szCs w:val="32"/>
        </w:rPr>
      </w:pPr>
      <w:r>
        <w:rPr>
          <w:rFonts w:hint="eastAsia" w:ascii="Times New Roman" w:hAnsi="Times New Roman" w:eastAsia="仿宋_GB2312" w:cs="Times New Roman"/>
          <w:color w:val="000000"/>
          <w:spacing w:val="-1"/>
          <w:sz w:val="32"/>
          <w:szCs w:val="32"/>
          <w:lang w:val="en-US" w:eastAsia="zh-CN"/>
        </w:rPr>
        <w:t>1.</w:t>
      </w:r>
      <w:r>
        <w:rPr>
          <w:rFonts w:hint="eastAsia" w:ascii="Times New Roman" w:hAnsi="Times New Roman" w:eastAsia="仿宋_GB2312" w:cs="Times New Roman"/>
          <w:color w:val="000000"/>
          <w:spacing w:val="-1"/>
          <w:sz w:val="32"/>
          <w:szCs w:val="32"/>
        </w:rPr>
        <w:t>产品名称</w:t>
      </w:r>
    </w:p>
    <w:p w14:paraId="77DBCEA1">
      <w:pPr>
        <w:spacing w:line="520" w:lineRule="exact"/>
        <w:ind w:firstLine="636" w:firstLineChars="200"/>
        <w:rPr>
          <w:rFonts w:hint="eastAsia" w:ascii="Times New Roman" w:hAnsi="Times New Roman" w:eastAsia="仿宋_GB2312" w:cs="Times New Roman"/>
          <w:color w:val="000000"/>
          <w:spacing w:val="-1"/>
          <w:sz w:val="32"/>
          <w:szCs w:val="32"/>
        </w:rPr>
      </w:pPr>
      <w:r>
        <w:rPr>
          <w:rFonts w:hint="eastAsia" w:ascii="Times New Roman" w:hAnsi="Times New Roman" w:eastAsia="仿宋_GB2312" w:cs="Times New Roman"/>
          <w:color w:val="000000"/>
          <w:spacing w:val="-1"/>
          <w:sz w:val="32"/>
          <w:szCs w:val="32"/>
        </w:rPr>
        <w:t>产品命名应符合《医疗器械通用名称命名规则》《临床检验器械通用名称命名指导原则》，</w:t>
      </w:r>
      <w:r>
        <w:rPr>
          <w:rFonts w:hint="eastAsia" w:ascii="Times New Roman" w:hAnsi="Times New Roman" w:eastAsia="仿宋_GB2312"/>
          <w:sz w:val="32"/>
          <w:szCs w:val="28"/>
        </w:rPr>
        <w:t>《医疗器械分类目录》及相关法规的要求，产品通用名称由核心词和特征词组成，</w:t>
      </w:r>
      <w:r>
        <w:rPr>
          <w:rFonts w:hint="eastAsia" w:ascii="Times New Roman" w:hAnsi="Times New Roman" w:eastAsia="仿宋_GB2312" w:cs="Times New Roman"/>
          <w:color w:val="000000"/>
          <w:spacing w:val="-1"/>
          <w:sz w:val="32"/>
          <w:szCs w:val="32"/>
          <w:lang w:val="en-US" w:eastAsia="zh-CN"/>
        </w:rPr>
        <w:t>如</w:t>
      </w:r>
      <w:r>
        <w:rPr>
          <w:rFonts w:hint="eastAsia" w:ascii="Times New Roman" w:hAnsi="Times New Roman" w:eastAsia="仿宋_GB2312" w:cs="Times New Roman"/>
          <w:color w:val="000000"/>
          <w:spacing w:val="-1"/>
          <w:sz w:val="32"/>
          <w:szCs w:val="32"/>
        </w:rPr>
        <w:t>微生物鉴定药敏分析仪</w:t>
      </w:r>
      <w:r>
        <w:rPr>
          <w:rFonts w:hint="eastAsia" w:ascii="Times New Roman" w:hAnsi="Times New Roman" w:eastAsia="仿宋_GB2312" w:cs="Times New Roman"/>
          <w:color w:val="000000"/>
          <w:spacing w:val="-1"/>
          <w:sz w:val="32"/>
          <w:szCs w:val="32"/>
          <w:lang w:eastAsia="zh-CN"/>
        </w:rPr>
        <w:t>、</w:t>
      </w:r>
      <w:r>
        <w:rPr>
          <w:rFonts w:hint="eastAsia" w:ascii="Times New Roman" w:hAnsi="Times New Roman" w:eastAsia="仿宋_GB2312" w:cs="Times New Roman"/>
          <w:color w:val="000000"/>
          <w:spacing w:val="-1"/>
          <w:sz w:val="32"/>
          <w:szCs w:val="32"/>
        </w:rPr>
        <w:t>微生物药敏分析仪</w:t>
      </w:r>
      <w:r>
        <w:rPr>
          <w:rFonts w:hint="eastAsia" w:ascii="Times New Roman" w:hAnsi="Times New Roman" w:eastAsia="仿宋_GB2312" w:cs="Times New Roman"/>
          <w:color w:val="000000"/>
          <w:spacing w:val="-1"/>
          <w:sz w:val="32"/>
          <w:szCs w:val="32"/>
          <w:lang w:eastAsia="zh-CN"/>
        </w:rPr>
        <w:t>。</w:t>
      </w:r>
    </w:p>
    <w:p w14:paraId="7D9B6904">
      <w:pPr>
        <w:overflowPunct w:val="0"/>
        <w:autoSpaceDE w:val="0"/>
        <w:autoSpaceDN w:val="0"/>
        <w:spacing w:line="520" w:lineRule="exact"/>
        <w:ind w:firstLine="640" w:firstLineChars="200"/>
        <w:outlineLvl w:val="2"/>
        <w:rPr>
          <w:rFonts w:hint="eastAsia" w:eastAsia="仿宋_GB2312"/>
          <w:snapToGrid w:val="0"/>
          <w:kern w:val="0"/>
          <w:sz w:val="32"/>
          <w:szCs w:val="32"/>
        </w:rPr>
      </w:pPr>
      <w:r>
        <w:rPr>
          <w:rFonts w:hint="eastAsia" w:eastAsia="仿宋_GB2312"/>
          <w:snapToGrid w:val="0"/>
          <w:kern w:val="0"/>
          <w:sz w:val="32"/>
          <w:szCs w:val="32"/>
        </w:rPr>
        <w:t>2.</w:t>
      </w:r>
      <w:r>
        <w:rPr>
          <w:rFonts w:hint="eastAsia" w:eastAsia="仿宋_GB2312"/>
          <w:snapToGrid w:val="0"/>
          <w:kern w:val="0"/>
          <w:sz w:val="32"/>
          <w:szCs w:val="32"/>
          <w:lang w:val="en-US" w:eastAsia="zh-CN"/>
        </w:rPr>
        <w:t>管理类别和</w:t>
      </w:r>
      <w:r>
        <w:rPr>
          <w:rFonts w:hint="eastAsia" w:eastAsia="仿宋_GB2312"/>
          <w:snapToGrid w:val="0"/>
          <w:kern w:val="0"/>
          <w:sz w:val="32"/>
          <w:szCs w:val="32"/>
        </w:rPr>
        <w:t>分类编码</w:t>
      </w:r>
    </w:p>
    <w:p w14:paraId="09EF4B44">
      <w:pPr>
        <w:overflowPunct w:val="0"/>
        <w:autoSpaceDE w:val="0"/>
        <w:autoSpaceDN w:val="0"/>
        <w:spacing w:line="520" w:lineRule="exact"/>
        <w:ind w:firstLine="640" w:firstLineChars="200"/>
        <w:rPr>
          <w:rFonts w:hint="eastAsia"/>
        </w:rPr>
      </w:pPr>
      <w:r>
        <w:rPr>
          <w:rFonts w:hint="eastAsia" w:ascii="Times New Roman" w:hAnsi="Times New Roman" w:eastAsia="仿宋_GB2312"/>
          <w:sz w:val="32"/>
          <w:szCs w:val="28"/>
        </w:rPr>
        <w:t>根据2017版《医疗器械分类目录》，管理类别为第Ⅱ类，所属分类子目录为22临床检验器械</w:t>
      </w:r>
      <w:r>
        <w:rPr>
          <w:rFonts w:eastAsia="仿宋_GB2312"/>
          <w:snapToGrid w:val="0"/>
          <w:kern w:val="0"/>
          <w:sz w:val="32"/>
          <w:szCs w:val="32"/>
        </w:rPr>
        <w:t>，</w:t>
      </w:r>
      <w:r>
        <w:rPr>
          <w:rFonts w:hint="eastAsia" w:ascii="Times New Roman" w:hAnsi="Times New Roman" w:eastAsia="仿宋_GB2312"/>
          <w:sz w:val="32"/>
          <w:szCs w:val="28"/>
        </w:rPr>
        <w:t>一级产品类别为</w:t>
      </w:r>
      <w:r>
        <w:rPr>
          <w:rFonts w:hint="eastAsia" w:ascii="Times New Roman" w:hAnsi="Times New Roman" w:eastAsia="仿宋_GB2312"/>
          <w:sz w:val="32"/>
          <w:szCs w:val="28"/>
          <w:lang w:val="en-US" w:eastAsia="zh-CN"/>
        </w:rPr>
        <w:t>06</w:t>
      </w:r>
      <w:r>
        <w:rPr>
          <w:rFonts w:hint="eastAsia" w:ascii="Times New Roman" w:hAnsi="Times New Roman" w:eastAsia="仿宋_GB2312"/>
          <w:sz w:val="32"/>
          <w:szCs w:val="28"/>
        </w:rPr>
        <w:t>微生物分析设备，二级产品类别为06微生物鉴定药敏分析仪器，</w:t>
      </w:r>
      <w:r>
        <w:rPr>
          <w:rFonts w:eastAsia="仿宋_GB2312"/>
          <w:snapToGrid w:val="0"/>
          <w:kern w:val="0"/>
          <w:sz w:val="32"/>
          <w:szCs w:val="32"/>
        </w:rPr>
        <w:t>申报产品</w:t>
      </w:r>
      <w:r>
        <w:rPr>
          <w:rFonts w:hint="eastAsia" w:eastAsia="仿宋_GB2312"/>
          <w:snapToGrid w:val="0"/>
          <w:kern w:val="0"/>
          <w:sz w:val="32"/>
          <w:szCs w:val="32"/>
        </w:rPr>
        <w:t>分类</w:t>
      </w:r>
      <w:r>
        <w:rPr>
          <w:rFonts w:eastAsia="仿宋_GB2312"/>
          <w:snapToGrid w:val="0"/>
          <w:kern w:val="0"/>
          <w:sz w:val="32"/>
          <w:szCs w:val="32"/>
        </w:rPr>
        <w:t>编码为</w:t>
      </w:r>
      <w:r>
        <w:rPr>
          <w:rFonts w:hint="eastAsia" w:eastAsia="仿宋_GB2312"/>
          <w:snapToGrid w:val="0"/>
          <w:kern w:val="0"/>
          <w:sz w:val="32"/>
          <w:szCs w:val="32"/>
        </w:rPr>
        <w:t>2</w:t>
      </w:r>
      <w:r>
        <w:rPr>
          <w:rFonts w:hint="eastAsia" w:eastAsia="仿宋_GB2312"/>
          <w:snapToGrid w:val="0"/>
          <w:kern w:val="0"/>
          <w:sz w:val="32"/>
          <w:szCs w:val="32"/>
          <w:lang w:val="en-US" w:eastAsia="zh-CN"/>
        </w:rPr>
        <w:t>2-06-06</w:t>
      </w:r>
      <w:r>
        <w:rPr>
          <w:rFonts w:eastAsia="仿宋_GB2312"/>
          <w:snapToGrid w:val="0"/>
          <w:kern w:val="0"/>
          <w:sz w:val="32"/>
          <w:szCs w:val="32"/>
        </w:rPr>
        <w:t>。</w:t>
      </w:r>
    </w:p>
    <w:p w14:paraId="288CC7CB">
      <w:pPr>
        <w:spacing w:line="520" w:lineRule="exact"/>
        <w:ind w:firstLine="640" w:firstLineChars="200"/>
        <w:rPr>
          <w:rFonts w:ascii="Times New Roman" w:hAnsi="Times New Roman" w:eastAsia="仿宋_GB2312"/>
          <w:sz w:val="32"/>
          <w:szCs w:val="28"/>
        </w:rPr>
      </w:pPr>
      <w:bookmarkStart w:id="0" w:name="_Toc432753652"/>
      <w:r>
        <w:rPr>
          <w:rFonts w:hint="eastAsia" w:ascii="Times New Roman" w:hAnsi="Times New Roman" w:eastAsia="仿宋_GB2312"/>
          <w:sz w:val="32"/>
          <w:szCs w:val="28"/>
          <w:lang w:val="en-US" w:eastAsia="zh-CN"/>
        </w:rPr>
        <w:t>3</w:t>
      </w:r>
      <w:r>
        <w:rPr>
          <w:rFonts w:hint="eastAsia" w:ascii="Times New Roman" w:hAnsi="Times New Roman" w:eastAsia="仿宋_GB2312"/>
          <w:sz w:val="32"/>
          <w:szCs w:val="28"/>
        </w:rPr>
        <w:t>.注册单元</w:t>
      </w:r>
      <w:bookmarkEnd w:id="0"/>
      <w:r>
        <w:rPr>
          <w:rFonts w:hint="eastAsia" w:ascii="Times New Roman" w:hAnsi="Times New Roman" w:eastAsia="仿宋_GB2312"/>
          <w:sz w:val="32"/>
          <w:szCs w:val="28"/>
        </w:rPr>
        <w:t>划分</w:t>
      </w:r>
    </w:p>
    <w:p w14:paraId="5B39D4C2">
      <w:pPr>
        <w:spacing w:line="520" w:lineRule="exact"/>
        <w:ind w:firstLine="640" w:firstLineChars="200"/>
        <w:rPr>
          <w:rFonts w:hint="eastAsia" w:ascii="Times New Roman" w:hAnsi="Times New Roman" w:eastAsia="仿宋_GB2312"/>
          <w:sz w:val="32"/>
          <w:szCs w:val="28"/>
        </w:rPr>
      </w:pPr>
      <w:r>
        <w:rPr>
          <w:rFonts w:hint="eastAsia" w:ascii="Times New Roman" w:hAnsi="Times New Roman" w:eastAsia="仿宋_GB2312"/>
          <w:sz w:val="32"/>
          <w:szCs w:val="28"/>
        </w:rPr>
        <w:t>参考《医疗器械注册单元划分指导原则》，若申报产品存在多个型号规格或配置，应根据产品的技术原理及其特点、结构及组成、性能指标、适用范围等关键要素进行注册单元划分。</w:t>
      </w:r>
    </w:p>
    <w:p w14:paraId="6C14A601">
      <w:pPr>
        <w:spacing w:line="520" w:lineRule="exact"/>
        <w:ind w:right="-67" w:rightChars="-32" w:firstLine="640" w:firstLineChars="200"/>
      </w:pPr>
      <w:r>
        <w:rPr>
          <w:rFonts w:hint="eastAsia" w:ascii="Times New Roman" w:hAnsi="Times New Roman" w:eastAsia="仿宋_GB2312"/>
          <w:sz w:val="32"/>
          <w:szCs w:val="32"/>
        </w:rPr>
        <w:t>以下情形建议划分为不同注册单元</w:t>
      </w:r>
      <w:r>
        <w:rPr>
          <w:rFonts w:ascii="Times New Roman" w:hAnsi="Times New Roman" w:eastAsia="仿宋_GB2312"/>
          <w:sz w:val="32"/>
          <w:szCs w:val="32"/>
          <w:lang w:val="en"/>
        </w:rPr>
        <w:t>:</w:t>
      </w:r>
    </w:p>
    <w:p w14:paraId="394B08D8">
      <w:pPr>
        <w:spacing w:line="520" w:lineRule="exact"/>
        <w:ind w:firstLine="636" w:firstLineChars="200"/>
        <w:rPr>
          <w:rFonts w:hint="eastAsia" w:ascii="Times New Roman" w:hAnsi="Times New Roman" w:eastAsia="仿宋_GB2312" w:cs="Times New Roman"/>
          <w:color w:val="000000"/>
          <w:spacing w:val="-1"/>
          <w:sz w:val="32"/>
          <w:szCs w:val="32"/>
        </w:rPr>
      </w:pPr>
      <w:r>
        <w:rPr>
          <w:rFonts w:hint="eastAsia" w:ascii="Times New Roman" w:hAnsi="Times New Roman" w:eastAsia="仿宋_GB2312" w:cs="Times New Roman"/>
          <w:color w:val="000000"/>
          <w:spacing w:val="-1"/>
          <w:sz w:val="32"/>
          <w:szCs w:val="32"/>
        </w:rPr>
        <w:t>（1）</w:t>
      </w:r>
      <w:r>
        <w:rPr>
          <w:rFonts w:hint="eastAsia" w:ascii="Times New Roman" w:hAnsi="Times New Roman" w:eastAsia="仿宋_GB2312" w:cs="Times New Roman"/>
          <w:color w:val="000000"/>
          <w:spacing w:val="-1"/>
          <w:sz w:val="32"/>
          <w:szCs w:val="32"/>
          <w:lang w:val="en-US" w:eastAsia="zh-CN"/>
        </w:rPr>
        <w:t>不同</w:t>
      </w:r>
      <w:r>
        <w:rPr>
          <w:rFonts w:hint="eastAsia" w:ascii="Times New Roman" w:hAnsi="Times New Roman" w:eastAsia="仿宋_GB2312" w:cs="Times New Roman"/>
          <w:color w:val="000000"/>
          <w:spacing w:val="-1"/>
          <w:sz w:val="32"/>
          <w:szCs w:val="32"/>
        </w:rPr>
        <w:t>检测原理</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如：电阻抗法与比色法</w:t>
      </w:r>
      <w:r>
        <w:rPr>
          <w:rFonts w:hint="eastAsia" w:ascii="Times New Roman" w:hAnsi="Times New Roman" w:eastAsia="仿宋_GB2312"/>
          <w:sz w:val="32"/>
          <w:szCs w:val="32"/>
          <w:lang w:eastAsia="zh-CN"/>
        </w:rPr>
        <w:t>）</w:t>
      </w:r>
      <w:r>
        <w:rPr>
          <w:rFonts w:hint="eastAsia" w:ascii="Times New Roman" w:hAnsi="Times New Roman" w:eastAsia="仿宋_GB2312" w:cs="Times New Roman"/>
          <w:color w:val="000000"/>
          <w:spacing w:val="-1"/>
          <w:sz w:val="32"/>
          <w:szCs w:val="32"/>
          <w:lang w:eastAsia="zh-CN"/>
        </w:rPr>
        <w:t>，</w:t>
      </w:r>
      <w:r>
        <w:rPr>
          <w:rFonts w:hint="eastAsia" w:ascii="Times New Roman" w:hAnsi="Times New Roman" w:eastAsia="仿宋_GB2312" w:cs="Times New Roman"/>
          <w:color w:val="000000"/>
          <w:spacing w:val="-1"/>
          <w:sz w:val="32"/>
          <w:szCs w:val="32"/>
          <w:lang w:val="en-US" w:eastAsia="zh-CN"/>
        </w:rPr>
        <w:t>应划分为不同注册单元</w:t>
      </w:r>
      <w:r>
        <w:rPr>
          <w:rFonts w:hint="eastAsia" w:ascii="Times New Roman" w:hAnsi="Times New Roman" w:eastAsia="仿宋_GB2312" w:cs="Times New Roman"/>
          <w:color w:val="000000"/>
          <w:spacing w:val="-1"/>
          <w:sz w:val="32"/>
          <w:szCs w:val="32"/>
        </w:rPr>
        <w:t>；</w:t>
      </w:r>
    </w:p>
    <w:p w14:paraId="2A943D0F">
      <w:pPr>
        <w:widowControl/>
        <w:numPr>
          <w:ilvl w:val="0"/>
          <w:numId w:val="0"/>
        </w:numPr>
        <w:spacing w:line="520" w:lineRule="exact"/>
        <w:ind w:right="-67" w:rightChars="-32" w:firstLine="636" w:firstLineChars="200"/>
        <w:rPr>
          <w:rFonts w:hint="eastAsia" w:ascii="Times New Roman" w:hAnsi="Times New Roman" w:eastAsia="仿宋_GB2312" w:cs="Times New Roman"/>
          <w:color w:val="000000"/>
          <w:spacing w:val="-1"/>
          <w:sz w:val="32"/>
          <w:szCs w:val="32"/>
        </w:rPr>
      </w:pPr>
      <w:r>
        <w:rPr>
          <w:rFonts w:hint="eastAsia" w:ascii="Times New Roman" w:hAnsi="Times New Roman" w:eastAsia="仿宋_GB2312" w:cs="Times New Roman"/>
          <w:color w:val="000000"/>
          <w:spacing w:val="-1"/>
          <w:kern w:val="2"/>
          <w:sz w:val="32"/>
          <w:szCs w:val="32"/>
          <w:lang w:val="en-US" w:eastAsia="zh-CN" w:bidi="ar-SA"/>
        </w:rPr>
        <w:t>（2）</w:t>
      </w:r>
      <w:r>
        <w:rPr>
          <w:rFonts w:hint="eastAsia" w:ascii="Times New Roman" w:hAnsi="Times New Roman" w:eastAsia="仿宋_GB2312"/>
          <w:sz w:val="32"/>
          <w:szCs w:val="32"/>
          <w:lang w:val="en"/>
        </w:rPr>
        <w:t>不同自动化程度应划分为不同的注册单元</w:t>
      </w:r>
      <w:r>
        <w:rPr>
          <w:rFonts w:hint="eastAsia" w:ascii="Times New Roman" w:hAnsi="Times New Roman" w:eastAsia="仿宋_GB2312" w:cs="Times New Roman"/>
          <w:color w:val="000000"/>
          <w:spacing w:val="-1"/>
          <w:sz w:val="32"/>
          <w:szCs w:val="32"/>
        </w:rPr>
        <w:t>；</w:t>
      </w:r>
    </w:p>
    <w:p w14:paraId="53D48C7D">
      <w:pPr>
        <w:widowControl/>
        <w:numPr>
          <w:ilvl w:val="0"/>
          <w:numId w:val="0"/>
        </w:numPr>
        <w:spacing w:line="520" w:lineRule="exact"/>
        <w:ind w:right="-67" w:rightChars="-32" w:firstLine="636" w:firstLineChars="200"/>
        <w:rPr>
          <w:rFonts w:hint="eastAsia"/>
        </w:rPr>
      </w:pPr>
      <w:r>
        <w:rPr>
          <w:rFonts w:hint="eastAsia" w:ascii="Times New Roman" w:hAnsi="Times New Roman" w:eastAsia="仿宋_GB2312" w:cs="Times New Roman"/>
          <w:color w:val="000000"/>
          <w:spacing w:val="-1"/>
          <w:sz w:val="32"/>
          <w:szCs w:val="32"/>
          <w:lang w:eastAsia="zh-CN"/>
        </w:rPr>
        <w:t>（</w:t>
      </w:r>
      <w:r>
        <w:rPr>
          <w:rFonts w:hint="eastAsia" w:ascii="Times New Roman" w:hAnsi="Times New Roman" w:eastAsia="仿宋_GB2312" w:cs="Times New Roman"/>
          <w:color w:val="000000"/>
          <w:spacing w:val="-1"/>
          <w:sz w:val="32"/>
          <w:szCs w:val="32"/>
          <w:lang w:val="en-US" w:eastAsia="zh-CN"/>
        </w:rPr>
        <w:t>3</w:t>
      </w:r>
      <w:r>
        <w:rPr>
          <w:rFonts w:hint="eastAsia" w:ascii="Times New Roman" w:hAnsi="Times New Roman" w:eastAsia="仿宋_GB2312" w:cs="Times New Roman"/>
          <w:color w:val="000000"/>
          <w:spacing w:val="-1"/>
          <w:sz w:val="32"/>
          <w:szCs w:val="32"/>
          <w:lang w:eastAsia="zh-CN"/>
        </w:rPr>
        <w:t>）</w:t>
      </w:r>
      <w:r>
        <w:rPr>
          <w:rFonts w:hint="eastAsia" w:ascii="Times New Roman" w:hAnsi="Times New Roman" w:eastAsia="仿宋_GB2312" w:cs="Times New Roman"/>
          <w:color w:val="000000"/>
          <w:spacing w:val="-1"/>
          <w:sz w:val="32"/>
          <w:szCs w:val="32"/>
        </w:rPr>
        <w:t>关键检测技术或核心模块存在本质差异。</w:t>
      </w:r>
    </w:p>
    <w:p w14:paraId="0E1FA91E">
      <w:pPr>
        <w:spacing w:line="520" w:lineRule="exact"/>
        <w:ind w:right="-67" w:rightChars="-32" w:firstLine="640" w:firstLineChars="200"/>
        <w:outlineLvl w:val="1"/>
        <w:rPr>
          <w:rFonts w:hint="eastAsia" w:ascii="Times New Roman" w:hAnsi="Times New Roman" w:eastAsia="楷体_GB2312" w:cs="Times New Roman"/>
          <w:color w:val="000000"/>
          <w:sz w:val="32"/>
          <w:szCs w:val="32"/>
        </w:rPr>
      </w:pPr>
      <w:r>
        <w:rPr>
          <w:rFonts w:hint="eastAsia" w:ascii="Times New Roman" w:hAnsi="Times New Roman" w:eastAsia="楷体_GB2312" w:cs="Times New Roman"/>
          <w:color w:val="000000"/>
          <w:sz w:val="32"/>
          <w:szCs w:val="32"/>
        </w:rPr>
        <w:t>（二）综述资料</w:t>
      </w:r>
    </w:p>
    <w:p w14:paraId="3B3F18EC">
      <w:pPr>
        <w:spacing w:line="520"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综述资料主要包括概述、产品描述、适用范围和禁忌证、申报产品上市历史及其他需说明的内容。重点关注以下内容：</w:t>
      </w:r>
    </w:p>
    <w:p w14:paraId="15249792">
      <w:pPr>
        <w:numPr>
          <w:ilvl w:val="0"/>
          <w:numId w:val="0"/>
        </w:numPr>
        <w:spacing w:line="520" w:lineRule="exact"/>
        <w:ind w:left="0" w:leftChars="0" w:firstLine="636" w:firstLineChars="200"/>
        <w:outlineLvl w:val="2"/>
        <w:rPr>
          <w:rFonts w:hint="eastAsia" w:ascii="Times New Roman" w:hAnsi="Times New Roman" w:eastAsia="仿宋_GB2312" w:cs="Times New Roman"/>
          <w:color w:val="000000"/>
          <w:spacing w:val="-1"/>
          <w:sz w:val="32"/>
          <w:szCs w:val="32"/>
        </w:rPr>
      </w:pPr>
      <w:r>
        <w:rPr>
          <w:rFonts w:hint="eastAsia" w:ascii="Times New Roman" w:hAnsi="Times New Roman" w:eastAsia="仿宋_GB2312" w:cs="Times New Roman"/>
          <w:color w:val="000000"/>
          <w:spacing w:val="-1"/>
          <w:sz w:val="32"/>
          <w:szCs w:val="32"/>
          <w:lang w:val="en-US" w:eastAsia="zh-CN"/>
        </w:rPr>
        <w:t>1.</w:t>
      </w:r>
      <w:r>
        <w:rPr>
          <w:rFonts w:hint="eastAsia" w:ascii="Times New Roman" w:hAnsi="Times New Roman" w:eastAsia="仿宋_GB2312" w:cs="Times New Roman"/>
          <w:color w:val="000000"/>
          <w:spacing w:val="-1"/>
          <w:sz w:val="32"/>
          <w:szCs w:val="32"/>
        </w:rPr>
        <w:t>产品描述</w:t>
      </w:r>
    </w:p>
    <w:p w14:paraId="2E734DBC">
      <w:pPr>
        <w:pStyle w:val="9"/>
        <w:overflowPunct w:val="0"/>
        <w:autoSpaceDE w:val="0"/>
        <w:autoSpaceDN w:val="0"/>
        <w:spacing w:line="520" w:lineRule="exact"/>
        <w:ind w:right="210" w:firstLine="640"/>
        <w:outlineLvl w:val="3"/>
        <w:rPr>
          <w:rFonts w:hint="default" w:ascii="Times New Roman" w:hAnsi="Times New Roman" w:eastAsia="仿宋_GB2312" w:cs="Times New Roman"/>
          <w:color w:val="000000"/>
          <w:spacing w:val="-1"/>
          <w:sz w:val="32"/>
          <w:szCs w:val="32"/>
          <w:lang w:val="en-US" w:eastAsia="zh-CN"/>
        </w:rPr>
      </w:pPr>
      <w:r>
        <w:rPr>
          <w:rFonts w:hint="eastAsia" w:ascii="Times New Roman" w:hAnsi="Times New Roman" w:eastAsia="仿宋_GB2312" w:cs="Times New Roman"/>
          <w:color w:val="000000"/>
          <w:spacing w:val="-1"/>
          <w:sz w:val="32"/>
          <w:szCs w:val="32"/>
          <w:lang w:val="en-US" w:eastAsia="zh-CN"/>
        </w:rPr>
        <w:t>1.1</w:t>
      </w:r>
      <w:r>
        <w:rPr>
          <w:rFonts w:hint="eastAsia" w:ascii="Times New Roman" w:hAnsi="Times New Roman" w:eastAsia="仿宋_GB2312"/>
          <w:snapToGrid w:val="0"/>
          <w:kern w:val="0"/>
          <w:sz w:val="32"/>
          <w:szCs w:val="32"/>
        </w:rPr>
        <w:t>器械及操作原理描述</w:t>
      </w:r>
    </w:p>
    <w:p w14:paraId="776F1D0A">
      <w:pPr>
        <w:numPr>
          <w:ilvl w:val="0"/>
          <w:numId w:val="0"/>
        </w:numPr>
        <w:spacing w:line="520" w:lineRule="exact"/>
        <w:ind w:firstLine="636" w:firstLineChars="200"/>
        <w:outlineLvl w:val="9"/>
        <w:rPr>
          <w:rFonts w:hint="eastAsia" w:ascii="Times New Roman" w:hAnsi="Times New Roman" w:eastAsia="仿宋_GB2312"/>
          <w:snapToGrid w:val="0"/>
          <w:kern w:val="0"/>
          <w:sz w:val="32"/>
          <w:szCs w:val="32"/>
          <w:lang w:val="en-US" w:eastAsia="zh-CN"/>
        </w:rPr>
      </w:pPr>
      <w:r>
        <w:rPr>
          <w:rFonts w:hint="eastAsia" w:ascii="Times New Roman" w:hAnsi="Times New Roman" w:eastAsia="仿宋_GB2312" w:cs="Times New Roman"/>
          <w:color w:val="000000"/>
          <w:spacing w:val="-1"/>
          <w:sz w:val="32"/>
          <w:szCs w:val="32"/>
          <w:lang w:val="en-US" w:eastAsia="zh-CN"/>
        </w:rPr>
        <w:t>1.1.1</w:t>
      </w:r>
      <w:r>
        <w:rPr>
          <w:rFonts w:hint="eastAsia" w:ascii="Times New Roman" w:hAnsi="Times New Roman" w:eastAsia="仿宋_GB2312"/>
          <w:snapToGrid w:val="0"/>
          <w:kern w:val="0"/>
          <w:sz w:val="32"/>
          <w:szCs w:val="32"/>
          <w:lang w:val="en-US" w:eastAsia="zh-CN"/>
        </w:rPr>
        <w:t>工作原理</w:t>
      </w:r>
    </w:p>
    <w:p w14:paraId="3EF2DC1A">
      <w:pPr>
        <w:numPr>
          <w:ilvl w:val="-1"/>
          <w:numId w:val="0"/>
        </w:numPr>
        <w:spacing w:line="520" w:lineRule="exact"/>
        <w:ind w:firstLine="636" w:firstLineChars="200"/>
        <w:outlineLvl w:val="9"/>
        <w:rPr>
          <w:rFonts w:hint="eastAsia" w:ascii="Times New Roman" w:hAnsi="Times New Roman" w:eastAsia="仿宋_GB2312" w:cs="Times New Roman"/>
          <w:color w:val="000000"/>
          <w:spacing w:val="-1"/>
          <w:sz w:val="32"/>
          <w:szCs w:val="32"/>
        </w:rPr>
      </w:pPr>
      <w:r>
        <w:rPr>
          <w:rFonts w:hint="eastAsia" w:ascii="Times New Roman" w:hAnsi="Times New Roman" w:eastAsia="仿宋_GB2312" w:cs="Times New Roman"/>
          <w:color w:val="000000"/>
          <w:spacing w:val="-1"/>
          <w:sz w:val="32"/>
          <w:szCs w:val="32"/>
          <w:lang w:val="en-US" w:eastAsia="zh-CN"/>
        </w:rPr>
        <w:t>1.1.1.1</w:t>
      </w:r>
      <w:r>
        <w:rPr>
          <w:rFonts w:hint="eastAsia" w:ascii="Times New Roman" w:hAnsi="Times New Roman" w:eastAsia="仿宋_GB2312" w:cs="Times New Roman"/>
          <w:color w:val="000000"/>
          <w:spacing w:val="-1"/>
          <w:sz w:val="32"/>
          <w:szCs w:val="32"/>
        </w:rPr>
        <w:t>鉴定功能原理</w:t>
      </w:r>
    </w:p>
    <w:p w14:paraId="45ABA266">
      <w:pPr>
        <w:numPr>
          <w:ilvl w:val="-1"/>
          <w:numId w:val="0"/>
        </w:numPr>
        <w:spacing w:line="520" w:lineRule="exact"/>
        <w:ind w:firstLine="636" w:firstLineChars="200"/>
        <w:outlineLvl w:val="9"/>
        <w:rPr>
          <w:rFonts w:hint="eastAsia" w:ascii="Times New Roman" w:hAnsi="Times New Roman" w:eastAsia="仿宋_GB2312" w:cs="Times New Roman"/>
          <w:color w:val="000000"/>
          <w:spacing w:val="-1"/>
          <w:sz w:val="32"/>
          <w:szCs w:val="32"/>
        </w:rPr>
      </w:pPr>
      <w:r>
        <w:rPr>
          <w:rFonts w:hint="eastAsia" w:ascii="Times New Roman" w:hAnsi="Times New Roman" w:eastAsia="仿宋_GB2312" w:cs="Times New Roman"/>
          <w:color w:val="000000"/>
          <w:spacing w:val="-1"/>
          <w:sz w:val="32"/>
          <w:szCs w:val="32"/>
        </w:rPr>
        <w:t>反应板的鉴定孔内预置专属生化底物，利用不同微生物的生化代谢特性差异，通过检测细菌生长代谢引发的底物变化，结合光学检测信号判定生化反应阴、阳性结果，最终完成微生物菌种鉴定。</w:t>
      </w:r>
    </w:p>
    <w:p w14:paraId="703D77AC">
      <w:pPr>
        <w:numPr>
          <w:ilvl w:val="0"/>
          <w:numId w:val="0"/>
        </w:numPr>
        <w:spacing w:line="520" w:lineRule="exact"/>
        <w:ind w:firstLine="636" w:firstLineChars="200"/>
        <w:outlineLvl w:val="9"/>
        <w:rPr>
          <w:rFonts w:hint="eastAsia" w:ascii="Times New Roman" w:hAnsi="Times New Roman" w:eastAsia="仿宋_GB2312" w:cs="Times New Roman"/>
          <w:color w:val="000000"/>
          <w:spacing w:val="-1"/>
          <w:sz w:val="32"/>
          <w:szCs w:val="32"/>
        </w:rPr>
      </w:pPr>
      <w:r>
        <w:rPr>
          <w:rFonts w:hint="eastAsia" w:ascii="Times New Roman" w:hAnsi="Times New Roman" w:eastAsia="仿宋_GB2312" w:cs="Times New Roman"/>
          <w:color w:val="000000"/>
          <w:spacing w:val="-1"/>
          <w:sz w:val="32"/>
          <w:szCs w:val="32"/>
        </w:rPr>
        <w:t>鉴定功能主要依托比色法、荧光法实现，由设备搭载的独立比色系统、荧光系统两套光学检测模块完成信号采集，具体实现方式：</w:t>
      </w:r>
    </w:p>
    <w:p w14:paraId="3132D8B3">
      <w:pPr>
        <w:numPr>
          <w:ilvl w:val="0"/>
          <w:numId w:val="0"/>
        </w:numPr>
        <w:spacing w:line="520" w:lineRule="exact"/>
        <w:ind w:firstLine="636" w:firstLineChars="200"/>
        <w:outlineLvl w:val="9"/>
        <w:rPr>
          <w:rFonts w:hint="eastAsia" w:ascii="Times New Roman" w:hAnsi="Times New Roman" w:eastAsia="仿宋_GB2312" w:cs="Times New Roman"/>
          <w:color w:val="000000"/>
          <w:spacing w:val="-1"/>
          <w:sz w:val="32"/>
          <w:szCs w:val="32"/>
        </w:rPr>
      </w:pPr>
      <w:r>
        <w:rPr>
          <w:rFonts w:hint="eastAsia" w:ascii="Times New Roman" w:hAnsi="Times New Roman" w:eastAsia="仿宋_GB2312" w:cs="Times New Roman"/>
          <w:color w:val="000000"/>
          <w:spacing w:val="-1"/>
          <w:sz w:val="32"/>
          <w:szCs w:val="32"/>
        </w:rPr>
        <w:t>1</w:t>
      </w:r>
      <w:r>
        <w:rPr>
          <w:rFonts w:hint="eastAsia" w:ascii="Times New Roman" w:hAnsi="Times New Roman" w:eastAsia="仿宋_GB2312" w:cs="Times New Roman"/>
          <w:color w:val="000000"/>
          <w:spacing w:val="-1"/>
          <w:sz w:val="32"/>
          <w:szCs w:val="32"/>
          <w:lang w:eastAsia="zh-CN"/>
        </w:rPr>
        <w:t>）</w:t>
      </w:r>
      <w:r>
        <w:rPr>
          <w:rFonts w:hint="eastAsia" w:ascii="Times New Roman" w:hAnsi="Times New Roman" w:eastAsia="仿宋_GB2312" w:cs="Times New Roman"/>
          <w:color w:val="000000"/>
          <w:spacing w:val="-1"/>
          <w:sz w:val="32"/>
          <w:szCs w:val="32"/>
        </w:rPr>
        <w:t>比色法检测：比色系统发射特定波长光线，检测鉴定孔内生化底物因细菌生长代谢产生的颜色变化，捕捉反应孔对特定波长光的吸收量变化，生成对应的比色光学信号。</w:t>
      </w:r>
    </w:p>
    <w:p w14:paraId="63D5DF8B">
      <w:pPr>
        <w:numPr>
          <w:ilvl w:val="0"/>
          <w:numId w:val="0"/>
        </w:numPr>
        <w:spacing w:line="520" w:lineRule="exact"/>
        <w:ind w:firstLine="636" w:firstLineChars="200"/>
        <w:outlineLvl w:val="9"/>
        <w:rPr>
          <w:rFonts w:hint="eastAsia" w:ascii="Times New Roman" w:hAnsi="Times New Roman" w:eastAsia="仿宋_GB2312" w:cs="Times New Roman"/>
          <w:color w:val="000000"/>
          <w:spacing w:val="-1"/>
          <w:sz w:val="32"/>
          <w:szCs w:val="32"/>
        </w:rPr>
      </w:pPr>
      <w:r>
        <w:rPr>
          <w:rFonts w:hint="eastAsia" w:ascii="Times New Roman" w:hAnsi="Times New Roman" w:eastAsia="仿宋_GB2312" w:cs="Times New Roman"/>
          <w:color w:val="000000"/>
          <w:spacing w:val="-1"/>
          <w:sz w:val="32"/>
          <w:szCs w:val="32"/>
        </w:rPr>
        <w:t>2</w:t>
      </w:r>
      <w:r>
        <w:rPr>
          <w:rFonts w:hint="eastAsia" w:ascii="Times New Roman" w:hAnsi="Times New Roman" w:eastAsia="仿宋_GB2312" w:cs="Times New Roman"/>
          <w:color w:val="000000"/>
          <w:spacing w:val="-1"/>
          <w:sz w:val="32"/>
          <w:szCs w:val="32"/>
          <w:lang w:eastAsia="zh-CN"/>
        </w:rPr>
        <w:t>）</w:t>
      </w:r>
      <w:r>
        <w:rPr>
          <w:rFonts w:hint="eastAsia" w:ascii="Times New Roman" w:hAnsi="Times New Roman" w:eastAsia="仿宋_GB2312" w:cs="Times New Roman"/>
          <w:color w:val="000000"/>
          <w:spacing w:val="-1"/>
          <w:sz w:val="32"/>
          <w:szCs w:val="32"/>
        </w:rPr>
        <w:t>荧光法检测：荧光系统提供特定激发波长光源，检测鉴定孔内底物经细菌代谢后产生的荧光信号，精准采集各反应孔的荧光强度变化，生成对应的荧光光学信号。</w:t>
      </w:r>
    </w:p>
    <w:p w14:paraId="1B89A967">
      <w:pPr>
        <w:numPr>
          <w:ilvl w:val="0"/>
          <w:numId w:val="0"/>
        </w:numPr>
        <w:spacing w:line="520" w:lineRule="exact"/>
        <w:ind w:firstLine="636" w:firstLineChars="200"/>
        <w:outlineLvl w:val="9"/>
        <w:rPr>
          <w:rFonts w:hint="eastAsia" w:ascii="Times New Roman" w:hAnsi="Times New Roman" w:eastAsia="仿宋_GB2312" w:cs="Times New Roman"/>
          <w:color w:val="000000"/>
          <w:spacing w:val="-1"/>
          <w:sz w:val="32"/>
          <w:szCs w:val="32"/>
        </w:rPr>
      </w:pPr>
      <w:r>
        <w:rPr>
          <w:rFonts w:hint="eastAsia" w:ascii="Times New Roman" w:hAnsi="Times New Roman" w:eastAsia="仿宋_GB2312" w:cs="Times New Roman"/>
          <w:color w:val="000000"/>
          <w:spacing w:val="-1"/>
          <w:sz w:val="32"/>
          <w:szCs w:val="32"/>
        </w:rPr>
        <w:t>上述两类光学信号均通过光电传感器转换为电压类电信号，再经模数转换生成数字信息，传输至CPU进行运算分析，判定各生化反应结果（阳性/阴性），以此实现微生物精准鉴定。</w:t>
      </w:r>
    </w:p>
    <w:p w14:paraId="321E8BA0">
      <w:pPr>
        <w:numPr>
          <w:ilvl w:val="0"/>
          <w:numId w:val="0"/>
        </w:numPr>
        <w:spacing w:line="520" w:lineRule="exact"/>
        <w:ind w:firstLine="636" w:firstLineChars="200"/>
        <w:outlineLvl w:val="9"/>
        <w:rPr>
          <w:rFonts w:hint="eastAsia" w:ascii="Times New Roman" w:hAnsi="Times New Roman" w:eastAsia="仿宋_GB2312" w:cs="Times New Roman"/>
          <w:color w:val="000000"/>
          <w:spacing w:val="-1"/>
          <w:sz w:val="32"/>
          <w:szCs w:val="32"/>
        </w:rPr>
      </w:pPr>
      <w:r>
        <w:rPr>
          <w:rFonts w:hint="eastAsia" w:ascii="Times New Roman" w:hAnsi="Times New Roman" w:eastAsia="仿宋_GB2312" w:cs="Times New Roman"/>
          <w:color w:val="000000"/>
          <w:spacing w:val="-1"/>
          <w:sz w:val="32"/>
          <w:szCs w:val="32"/>
          <w:lang w:val="en-US" w:eastAsia="zh-CN"/>
        </w:rPr>
        <w:t>1.1.1.2</w:t>
      </w:r>
      <w:r>
        <w:rPr>
          <w:rFonts w:hint="eastAsia" w:ascii="Times New Roman" w:hAnsi="Times New Roman" w:eastAsia="仿宋_GB2312" w:cs="Times New Roman"/>
          <w:color w:val="000000"/>
          <w:spacing w:val="-1"/>
          <w:sz w:val="32"/>
          <w:szCs w:val="32"/>
        </w:rPr>
        <w:t>药敏检测功能原理</w:t>
      </w:r>
    </w:p>
    <w:p w14:paraId="470D1D0B">
      <w:pPr>
        <w:numPr>
          <w:ilvl w:val="0"/>
          <w:numId w:val="0"/>
        </w:numPr>
        <w:spacing w:line="520" w:lineRule="exact"/>
        <w:ind w:firstLine="636" w:firstLineChars="200"/>
        <w:outlineLvl w:val="9"/>
        <w:rPr>
          <w:rFonts w:hint="eastAsia" w:ascii="Times New Roman" w:hAnsi="Times New Roman" w:eastAsia="仿宋_GB2312" w:cs="Times New Roman"/>
          <w:color w:val="000000"/>
          <w:spacing w:val="-1"/>
          <w:sz w:val="32"/>
          <w:szCs w:val="32"/>
        </w:rPr>
      </w:pPr>
      <w:r>
        <w:rPr>
          <w:rFonts w:hint="eastAsia" w:ascii="Times New Roman" w:hAnsi="Times New Roman" w:eastAsia="仿宋_GB2312" w:cs="Times New Roman"/>
          <w:color w:val="000000"/>
          <w:spacing w:val="-1"/>
          <w:sz w:val="32"/>
          <w:szCs w:val="32"/>
        </w:rPr>
        <w:t>反应板的药敏孔内预置不同梯度浓度的抗菌药物，通过检测不同药物浓度环境下的</w:t>
      </w:r>
      <w:r>
        <w:rPr>
          <w:rFonts w:hint="eastAsia" w:ascii="Times New Roman" w:hAnsi="Times New Roman" w:eastAsia="仿宋_GB2312" w:cs="Times New Roman"/>
          <w:color w:val="000000"/>
          <w:spacing w:val="-1"/>
          <w:sz w:val="32"/>
          <w:szCs w:val="32"/>
          <w:lang w:val="en-US" w:eastAsia="zh-CN"/>
        </w:rPr>
        <w:t>微生物</w:t>
      </w:r>
      <w:r>
        <w:rPr>
          <w:rFonts w:hint="eastAsia" w:ascii="Times New Roman" w:hAnsi="Times New Roman" w:eastAsia="仿宋_GB2312" w:cs="Times New Roman"/>
          <w:color w:val="000000"/>
          <w:spacing w:val="-1"/>
          <w:sz w:val="32"/>
          <w:szCs w:val="32"/>
        </w:rPr>
        <w:t>生长状态，分析抗菌药物对目标菌株的抑制效果，最终获得菌株的最低抑菌浓度（MIC）或定性药物敏感性结果。</w:t>
      </w:r>
    </w:p>
    <w:p w14:paraId="4C0AC87D">
      <w:pPr>
        <w:numPr>
          <w:ilvl w:val="0"/>
          <w:numId w:val="0"/>
        </w:numPr>
        <w:spacing w:line="520" w:lineRule="exact"/>
        <w:ind w:firstLine="636" w:firstLineChars="200"/>
        <w:outlineLvl w:val="9"/>
        <w:rPr>
          <w:rFonts w:hint="eastAsia" w:ascii="Times New Roman" w:hAnsi="Times New Roman" w:eastAsia="仿宋_GB2312" w:cs="Times New Roman"/>
          <w:color w:val="000000"/>
          <w:spacing w:val="-1"/>
          <w:sz w:val="32"/>
          <w:szCs w:val="32"/>
        </w:rPr>
      </w:pPr>
      <w:r>
        <w:rPr>
          <w:rFonts w:hint="eastAsia" w:ascii="Times New Roman" w:hAnsi="Times New Roman" w:eastAsia="仿宋_GB2312" w:cs="Times New Roman"/>
          <w:color w:val="000000"/>
          <w:spacing w:val="-1"/>
          <w:sz w:val="32"/>
          <w:szCs w:val="32"/>
        </w:rPr>
        <w:t>药敏功能主要依托比浊法、电阻抗法（库尔特原理）两种方式检测细菌生长情况，具体实现方式：</w:t>
      </w:r>
    </w:p>
    <w:p w14:paraId="22254470">
      <w:pPr>
        <w:numPr>
          <w:ilvl w:val="0"/>
          <w:numId w:val="0"/>
        </w:numPr>
        <w:spacing w:line="520" w:lineRule="exact"/>
        <w:ind w:firstLine="636" w:firstLineChars="200"/>
        <w:outlineLvl w:val="9"/>
        <w:rPr>
          <w:rFonts w:hint="eastAsia" w:ascii="Times New Roman" w:hAnsi="Times New Roman" w:eastAsia="仿宋_GB2312" w:cs="Times New Roman"/>
          <w:color w:val="000000"/>
          <w:spacing w:val="-1"/>
          <w:sz w:val="32"/>
          <w:szCs w:val="32"/>
        </w:rPr>
      </w:pPr>
      <w:r>
        <w:rPr>
          <w:rFonts w:hint="eastAsia" w:ascii="Times New Roman" w:hAnsi="Times New Roman" w:eastAsia="仿宋_GB2312" w:cs="Times New Roman"/>
          <w:color w:val="000000"/>
          <w:spacing w:val="-1"/>
          <w:sz w:val="32"/>
          <w:szCs w:val="32"/>
        </w:rPr>
        <w:t>1</w:t>
      </w:r>
      <w:r>
        <w:rPr>
          <w:rFonts w:hint="eastAsia" w:ascii="Times New Roman" w:hAnsi="Times New Roman" w:eastAsia="仿宋_GB2312" w:cs="Times New Roman"/>
          <w:color w:val="000000"/>
          <w:spacing w:val="-1"/>
          <w:sz w:val="32"/>
          <w:szCs w:val="32"/>
          <w:lang w:eastAsia="zh-CN"/>
        </w:rPr>
        <w:t>）</w:t>
      </w:r>
      <w:r>
        <w:rPr>
          <w:rFonts w:hint="eastAsia" w:ascii="Times New Roman" w:hAnsi="Times New Roman" w:eastAsia="仿宋_GB2312" w:cs="Times New Roman"/>
          <w:color w:val="000000"/>
          <w:spacing w:val="-1"/>
          <w:sz w:val="32"/>
          <w:szCs w:val="32"/>
        </w:rPr>
        <w:t>比浊法检测：基于细菌生长会改变培养液浊度的特性，通过光学检测模块监测药敏孔内菌液的浊度变化，判断不同抗菌药物浓度下细菌的生长繁殖情况，辅助分析药物抑菌效果。</w:t>
      </w:r>
    </w:p>
    <w:p w14:paraId="35F248EC">
      <w:pPr>
        <w:numPr>
          <w:ilvl w:val="0"/>
          <w:numId w:val="0"/>
        </w:numPr>
        <w:spacing w:line="520" w:lineRule="exact"/>
        <w:ind w:firstLine="636" w:firstLineChars="200"/>
        <w:outlineLvl w:val="9"/>
        <w:rPr>
          <w:rFonts w:hint="eastAsia" w:ascii="Times New Roman" w:hAnsi="Times New Roman" w:eastAsia="仿宋_GB2312" w:cs="Times New Roman"/>
          <w:color w:val="000000"/>
          <w:spacing w:val="-1"/>
          <w:sz w:val="32"/>
          <w:szCs w:val="32"/>
        </w:rPr>
      </w:pPr>
      <w:r>
        <w:rPr>
          <w:rFonts w:hint="eastAsia" w:ascii="Times New Roman" w:hAnsi="Times New Roman" w:eastAsia="仿宋_GB2312" w:cs="Times New Roman"/>
          <w:color w:val="000000"/>
          <w:spacing w:val="-1"/>
          <w:sz w:val="32"/>
          <w:szCs w:val="32"/>
        </w:rPr>
        <w:t>2</w:t>
      </w:r>
      <w:r>
        <w:rPr>
          <w:rFonts w:hint="eastAsia" w:ascii="Times New Roman" w:hAnsi="Times New Roman" w:eastAsia="仿宋_GB2312" w:cs="Times New Roman"/>
          <w:color w:val="000000"/>
          <w:spacing w:val="-1"/>
          <w:sz w:val="32"/>
          <w:szCs w:val="32"/>
          <w:lang w:eastAsia="zh-CN"/>
        </w:rPr>
        <w:t>）</w:t>
      </w:r>
      <w:r>
        <w:rPr>
          <w:rFonts w:hint="eastAsia" w:ascii="Times New Roman" w:hAnsi="Times New Roman" w:eastAsia="仿宋_GB2312" w:cs="Times New Roman"/>
          <w:color w:val="000000"/>
          <w:spacing w:val="-1"/>
          <w:sz w:val="32"/>
          <w:szCs w:val="32"/>
        </w:rPr>
        <w:t>电阻抗法检测（库尔特原理）：将待测菌液样本置于恒定电流体系中，在恒定电流与负压的双重驱动下，样本持续流经专属检测通道。当单个细菌微粒通过检测通道时，会瞬间改变通道内的电阻值；依据欧姆定律，恒定电流下的电阻变化会同步转化为电压变化，且每一个细菌通过均会产生独立的电压脉冲信号。该脉冲信号经缓冲、放大、滤波等硬件电路预处理后，完成精准信号采集与数据运算，可实现细菌单细胞计数，精准判定不同药物浓度下的细菌生长情况，最终计算得出菌株的药物敏感性结果。</w:t>
      </w:r>
    </w:p>
    <w:p w14:paraId="6A24E3F4">
      <w:pPr>
        <w:numPr>
          <w:ilvl w:val="0"/>
          <w:numId w:val="0"/>
        </w:numPr>
        <w:spacing w:line="520" w:lineRule="exact"/>
        <w:ind w:firstLine="636" w:firstLineChars="200"/>
        <w:outlineLvl w:val="9"/>
        <w:rPr>
          <w:rFonts w:hint="default" w:ascii="Times New Roman" w:hAnsi="Times New Roman" w:eastAsia="仿宋_GB2312" w:cs="Times New Roman"/>
          <w:color w:val="000000"/>
          <w:spacing w:val="-1"/>
          <w:sz w:val="32"/>
          <w:szCs w:val="32"/>
          <w:lang w:val="en-US" w:eastAsia="zh-CN"/>
        </w:rPr>
      </w:pPr>
      <w:r>
        <w:rPr>
          <w:rFonts w:hint="eastAsia" w:ascii="Times New Roman" w:hAnsi="Times New Roman" w:eastAsia="仿宋_GB2312" w:cs="Times New Roman"/>
          <w:color w:val="000000"/>
          <w:spacing w:val="-1"/>
          <w:sz w:val="32"/>
          <w:szCs w:val="32"/>
          <w:lang w:val="en-US" w:eastAsia="zh-CN"/>
        </w:rPr>
        <w:t>因此，基于上述两个功能的原理，鉴定功能与药敏检测功能可共用同一套光学系统。</w:t>
      </w:r>
    </w:p>
    <w:p w14:paraId="78F17CB5">
      <w:pPr>
        <w:numPr>
          <w:ilvl w:val="0"/>
          <w:numId w:val="0"/>
        </w:numPr>
        <w:overflowPunct/>
        <w:autoSpaceDE/>
        <w:autoSpaceDN/>
        <w:spacing w:line="520" w:lineRule="exact"/>
        <w:ind w:firstLine="636" w:firstLineChars="200"/>
        <w:rPr>
          <w:rFonts w:hint="eastAsia" w:ascii="Times New Roman" w:hAnsi="Times New Roman" w:eastAsia="仿宋_GB2312" w:cs="Times New Roman"/>
          <w:snapToGrid/>
          <w:color w:val="auto"/>
          <w:spacing w:val="-1"/>
          <w:kern w:val="2"/>
          <w:sz w:val="32"/>
          <w:szCs w:val="32"/>
          <w:lang w:val="en-US" w:eastAsia="zh-CN"/>
        </w:rPr>
      </w:pPr>
      <w:r>
        <w:rPr>
          <w:rFonts w:hint="eastAsia" w:ascii="Times New Roman" w:hAnsi="Times New Roman" w:eastAsia="仿宋_GB2312" w:cs="Times New Roman"/>
          <w:snapToGrid/>
          <w:color w:val="auto"/>
          <w:spacing w:val="-1"/>
          <w:kern w:val="2"/>
          <w:sz w:val="32"/>
          <w:szCs w:val="32"/>
          <w:lang w:val="en-US" w:eastAsia="zh-CN"/>
        </w:rPr>
        <w:t>1.1.2 结构组成</w:t>
      </w:r>
    </w:p>
    <w:p w14:paraId="1E589BDC">
      <w:pPr>
        <w:spacing w:line="520" w:lineRule="exact"/>
        <w:ind w:firstLine="640" w:firstLineChars="200"/>
        <w:rPr>
          <w:rFonts w:hint="eastAsia" w:ascii="Times New Roman" w:hAnsi="Times New Roman" w:eastAsia="仿宋_GB2312"/>
          <w:sz w:val="32"/>
          <w:szCs w:val="28"/>
        </w:rPr>
      </w:pPr>
      <w:r>
        <w:rPr>
          <w:rFonts w:hint="eastAsia" w:ascii="Times New Roman" w:hAnsi="Times New Roman" w:eastAsia="仿宋_GB2312"/>
          <w:sz w:val="32"/>
          <w:szCs w:val="28"/>
        </w:rPr>
        <w:t>通常由主机、计算机（</w:t>
      </w:r>
      <w:r>
        <w:rPr>
          <w:rFonts w:hint="eastAsia" w:ascii="Times New Roman" w:hAnsi="Times New Roman" w:eastAsia="仿宋_GB2312"/>
          <w:sz w:val="32"/>
          <w:szCs w:val="28"/>
          <w:lang w:val="en-US" w:eastAsia="zh-CN"/>
        </w:rPr>
        <w:t>如适用</w:t>
      </w:r>
      <w:r>
        <w:rPr>
          <w:rFonts w:hint="eastAsia" w:ascii="Times New Roman" w:hAnsi="Times New Roman" w:eastAsia="仿宋_GB2312"/>
          <w:sz w:val="32"/>
          <w:szCs w:val="28"/>
        </w:rPr>
        <w:t>）、随机软件、网络连接设备（</w:t>
      </w:r>
      <w:r>
        <w:rPr>
          <w:rFonts w:hint="eastAsia" w:ascii="Times New Roman" w:hAnsi="Times New Roman" w:eastAsia="仿宋_GB2312"/>
          <w:sz w:val="32"/>
          <w:szCs w:val="28"/>
          <w:lang w:val="en-US" w:eastAsia="zh-CN"/>
        </w:rPr>
        <w:t>如适用</w:t>
      </w:r>
      <w:r>
        <w:rPr>
          <w:rFonts w:hint="eastAsia" w:ascii="Times New Roman" w:hAnsi="Times New Roman" w:eastAsia="仿宋_GB2312"/>
          <w:sz w:val="32"/>
          <w:szCs w:val="28"/>
        </w:rPr>
        <w:t>）</w:t>
      </w:r>
      <w:r>
        <w:rPr>
          <w:rFonts w:hint="eastAsia" w:ascii="Times New Roman" w:hAnsi="Times New Roman" w:eastAsia="仿宋_GB2312"/>
          <w:sz w:val="32"/>
          <w:szCs w:val="28"/>
          <w:lang w:eastAsia="zh-CN"/>
        </w:rPr>
        <w:t>、</w:t>
      </w:r>
      <w:r>
        <w:rPr>
          <w:rFonts w:hint="eastAsia" w:ascii="Times New Roman" w:hAnsi="Times New Roman" w:eastAsia="仿宋_GB2312"/>
          <w:sz w:val="32"/>
          <w:szCs w:val="28"/>
        </w:rPr>
        <w:t>条码阅读器模块组成</w:t>
      </w:r>
      <w:r>
        <w:rPr>
          <w:rFonts w:hint="eastAsia" w:ascii="Times New Roman" w:hAnsi="Times New Roman" w:eastAsia="仿宋_GB2312"/>
          <w:sz w:val="32"/>
          <w:szCs w:val="28"/>
          <w:lang w:eastAsia="zh-CN"/>
        </w:rPr>
        <w:t>。</w:t>
      </w:r>
      <w:r>
        <w:rPr>
          <w:rFonts w:hint="eastAsia" w:ascii="Times New Roman" w:hAnsi="Times New Roman" w:eastAsia="仿宋_GB2312"/>
          <w:sz w:val="32"/>
          <w:szCs w:val="28"/>
          <w:lang w:val="en-US" w:eastAsia="zh-CN"/>
        </w:rPr>
        <w:t>主机主要由</w:t>
      </w:r>
      <w:r>
        <w:rPr>
          <w:rFonts w:hint="eastAsia" w:ascii="Times New Roman" w:hAnsi="Times New Roman" w:eastAsia="仿宋_GB2312"/>
          <w:sz w:val="32"/>
          <w:szCs w:val="28"/>
        </w:rPr>
        <w:t>自动接种器模块</w:t>
      </w:r>
      <w:r>
        <w:rPr>
          <w:rFonts w:hint="eastAsia" w:ascii="Times New Roman" w:hAnsi="Times New Roman" w:eastAsia="仿宋_GB2312"/>
          <w:sz w:val="32"/>
          <w:szCs w:val="28"/>
          <w:lang w:eastAsia="zh-CN"/>
        </w:rPr>
        <w:t>（</w:t>
      </w:r>
      <w:r>
        <w:rPr>
          <w:rFonts w:hint="eastAsia" w:ascii="Times New Roman" w:hAnsi="Times New Roman" w:eastAsia="仿宋_GB2312"/>
          <w:sz w:val="32"/>
          <w:szCs w:val="28"/>
          <w:lang w:val="en-US" w:eastAsia="zh-CN"/>
        </w:rPr>
        <w:t>如适用</w:t>
      </w:r>
      <w:r>
        <w:rPr>
          <w:rFonts w:hint="eastAsia" w:ascii="Times New Roman" w:hAnsi="Times New Roman" w:eastAsia="仿宋_GB2312"/>
          <w:sz w:val="32"/>
          <w:szCs w:val="28"/>
          <w:lang w:eastAsia="zh-CN"/>
        </w:rPr>
        <w:t>）</w:t>
      </w:r>
      <w:r>
        <w:rPr>
          <w:rFonts w:hint="eastAsia" w:ascii="Times New Roman" w:hAnsi="Times New Roman" w:eastAsia="仿宋_GB2312"/>
          <w:sz w:val="32"/>
          <w:szCs w:val="28"/>
        </w:rPr>
        <w:t>、</w:t>
      </w:r>
      <w:r>
        <w:rPr>
          <w:rFonts w:hint="eastAsia" w:ascii="Times New Roman" w:hAnsi="Times New Roman" w:eastAsia="仿宋_GB2312"/>
          <w:sz w:val="32"/>
          <w:szCs w:val="28"/>
          <w:lang w:val="en-US" w:eastAsia="zh-CN"/>
        </w:rPr>
        <w:t>温控（孵育）</w:t>
      </w:r>
      <w:r>
        <w:rPr>
          <w:rFonts w:hint="eastAsia" w:ascii="Times New Roman" w:hAnsi="Times New Roman" w:eastAsia="仿宋_GB2312"/>
          <w:sz w:val="32"/>
          <w:szCs w:val="28"/>
        </w:rPr>
        <w:t>模块、</w:t>
      </w:r>
      <w:r>
        <w:rPr>
          <w:rFonts w:hint="eastAsia" w:ascii="Times New Roman" w:hAnsi="Times New Roman" w:eastAsia="仿宋_GB2312"/>
          <w:sz w:val="32"/>
          <w:szCs w:val="28"/>
          <w:lang w:val="en-US" w:eastAsia="zh-CN"/>
        </w:rPr>
        <w:t>检测模块、机械传动模块、电路控制模块</w:t>
      </w:r>
      <w:r>
        <w:rPr>
          <w:rFonts w:hint="eastAsia" w:ascii="Times New Roman" w:hAnsi="Times New Roman" w:eastAsia="仿宋_GB2312"/>
          <w:sz w:val="32"/>
          <w:szCs w:val="28"/>
        </w:rPr>
        <w:t>组成。</w:t>
      </w:r>
    </w:p>
    <w:p w14:paraId="48C904F4">
      <w:pPr>
        <w:widowControl/>
        <w:numPr>
          <w:ilvl w:val="-1"/>
          <w:numId w:val="0"/>
        </w:numPr>
        <w:spacing w:line="520" w:lineRule="exact"/>
        <w:ind w:firstLine="616" w:firstLineChars="200"/>
        <w:rPr>
          <w:rFonts w:hint="eastAsia" w:ascii="Times New Roman" w:hAnsi="Times New Roman" w:eastAsia="仿宋_GB2312" w:cs="Times New Roman"/>
          <w:color w:val="000000"/>
          <w:spacing w:val="-1"/>
          <w:sz w:val="32"/>
          <w:szCs w:val="32"/>
        </w:rPr>
      </w:pPr>
      <w:r>
        <w:rPr>
          <w:rFonts w:hint="eastAsia" w:ascii="Times New Roman" w:hAnsi="Times New Roman" w:eastAsia="仿宋_GB2312"/>
          <w:spacing w:val="-6"/>
          <w:sz w:val="32"/>
          <w:szCs w:val="32"/>
        </w:rPr>
        <w:t>申请人应当根据拟申报产品的具体特征详细描述各组成模块、各模块的具体组成结构，并详细描述拟申报产品的主要功能及各组成模块的功能，可以采用图示结合文字描述的形式给予明确说明。</w:t>
      </w:r>
    </w:p>
    <w:p w14:paraId="32A816C5">
      <w:pPr>
        <w:numPr>
          <w:ilvl w:val="0"/>
          <w:numId w:val="0"/>
        </w:numPr>
        <w:spacing w:line="520" w:lineRule="exact"/>
        <w:ind w:firstLine="636" w:firstLineChars="200"/>
        <w:outlineLvl w:val="9"/>
        <w:rPr>
          <w:rFonts w:hint="default" w:ascii="Times New Roman" w:hAnsi="Times New Roman" w:eastAsia="仿宋_GB2312" w:cs="Times New Roman"/>
          <w:color w:val="000000"/>
          <w:spacing w:val="-1"/>
          <w:sz w:val="32"/>
          <w:szCs w:val="32"/>
          <w:lang w:val="en-US" w:eastAsia="zh-CN"/>
        </w:rPr>
      </w:pPr>
      <w:r>
        <w:rPr>
          <w:rFonts w:hint="eastAsia" w:ascii="Times New Roman" w:hAnsi="Times New Roman" w:eastAsia="仿宋_GB2312" w:cs="Times New Roman"/>
          <w:color w:val="000000"/>
          <w:spacing w:val="-1"/>
          <w:sz w:val="32"/>
          <w:szCs w:val="32"/>
          <w:lang w:val="en-US" w:eastAsia="zh-CN"/>
        </w:rPr>
        <w:t>1.2 型号规格</w:t>
      </w:r>
    </w:p>
    <w:p w14:paraId="7C8DD094">
      <w:pPr>
        <w:numPr>
          <w:ilvl w:val="0"/>
          <w:numId w:val="0"/>
        </w:numPr>
        <w:spacing w:line="520" w:lineRule="exact"/>
        <w:ind w:firstLine="640" w:firstLineChars="200"/>
        <w:outlineLvl w:val="9"/>
        <w:rPr>
          <w:rFonts w:hint="eastAsia" w:ascii="Times New Roman" w:hAnsi="Times New Roman" w:eastAsia="仿宋_GB2312" w:cs="Times New Roman"/>
          <w:color w:val="000000"/>
          <w:spacing w:val="-1"/>
          <w:sz w:val="32"/>
          <w:szCs w:val="32"/>
        </w:rPr>
      </w:pPr>
      <w:r>
        <w:rPr>
          <w:rFonts w:hint="eastAsia" w:ascii="Times New Roman" w:hAnsi="Times New Roman" w:eastAsia="仿宋_GB2312"/>
          <w:sz w:val="32"/>
          <w:szCs w:val="22"/>
        </w:rPr>
        <w:t>对于同一注册单元申报产品存在多种型号规格的，应当明确各型号规格之间的区别</w:t>
      </w:r>
      <w:r>
        <w:rPr>
          <w:rFonts w:hint="eastAsia" w:ascii="Times New Roman" w:hAnsi="Times New Roman" w:eastAsia="仿宋_GB2312"/>
          <w:sz w:val="32"/>
          <w:szCs w:val="22"/>
          <w:lang w:eastAsia="zh-CN"/>
        </w:rPr>
        <w:t>。</w:t>
      </w:r>
      <w:r>
        <w:rPr>
          <w:rFonts w:eastAsia="仿宋_GB2312"/>
          <w:color w:val="000000"/>
          <w:sz w:val="32"/>
          <w:szCs w:val="32"/>
        </w:rPr>
        <w:t>应当采用对比表或带有说明性文字的图片、图表，描述各种型号规格的结构组成（或配置）、功能、产品特征和运行模式、技术参数等内容。</w:t>
      </w:r>
    </w:p>
    <w:p w14:paraId="0CE19625">
      <w:pPr>
        <w:numPr>
          <w:ilvl w:val="0"/>
          <w:numId w:val="0"/>
        </w:numPr>
        <w:spacing w:line="520" w:lineRule="exact"/>
        <w:ind w:firstLine="636" w:firstLineChars="200"/>
        <w:rPr>
          <w:rFonts w:hint="eastAsia" w:ascii="Times New Roman" w:hAnsi="Times New Roman" w:eastAsia="仿宋_GB2312" w:cs="Times New Roman"/>
          <w:color w:val="000000"/>
          <w:spacing w:val="-1"/>
          <w:sz w:val="32"/>
          <w:szCs w:val="32"/>
        </w:rPr>
      </w:pPr>
      <w:r>
        <w:rPr>
          <w:rFonts w:hint="eastAsia" w:ascii="Times New Roman" w:hAnsi="Times New Roman" w:eastAsia="仿宋_GB2312" w:cs="Times New Roman"/>
          <w:color w:val="000000"/>
          <w:spacing w:val="-1"/>
          <w:sz w:val="32"/>
          <w:szCs w:val="32"/>
          <w:lang w:val="en-US" w:eastAsia="zh-CN"/>
        </w:rPr>
        <w:t>1.3</w:t>
      </w:r>
      <w:r>
        <w:rPr>
          <w:rFonts w:hint="eastAsia" w:ascii="Times New Roman" w:hAnsi="Times New Roman" w:eastAsia="仿宋_GB2312" w:cs="Times New Roman"/>
          <w:color w:val="000000"/>
          <w:spacing w:val="-1"/>
          <w:sz w:val="32"/>
          <w:szCs w:val="32"/>
        </w:rPr>
        <w:t>包装说明</w:t>
      </w:r>
    </w:p>
    <w:p w14:paraId="769FBEA1">
      <w:pPr>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22"/>
        </w:rPr>
        <w:t>概述产品包装信息及与该产品一起销售的配件包装信息，含配件清单。</w:t>
      </w:r>
    </w:p>
    <w:p w14:paraId="03921539">
      <w:pPr>
        <w:numPr>
          <w:ilvl w:val="0"/>
          <w:numId w:val="0"/>
        </w:numPr>
        <w:spacing w:line="520" w:lineRule="exact"/>
        <w:ind w:left="0" w:leftChars="0" w:firstLine="636" w:firstLineChars="200"/>
        <w:outlineLvl w:val="2"/>
        <w:rPr>
          <w:rFonts w:hint="eastAsia" w:ascii="Times New Roman" w:hAnsi="Times New Roman" w:eastAsia="仿宋_GB2312" w:cs="Times New Roman"/>
          <w:color w:val="000000"/>
          <w:spacing w:val="-1"/>
          <w:sz w:val="32"/>
          <w:szCs w:val="32"/>
        </w:rPr>
      </w:pPr>
      <w:r>
        <w:rPr>
          <w:rFonts w:hint="eastAsia" w:ascii="Times New Roman" w:hAnsi="Times New Roman" w:eastAsia="仿宋_GB2312" w:cs="Times New Roman"/>
          <w:color w:val="000000"/>
          <w:spacing w:val="-1"/>
          <w:sz w:val="32"/>
          <w:szCs w:val="32"/>
          <w:lang w:val="en-US" w:eastAsia="zh-CN"/>
        </w:rPr>
        <w:t>2.</w:t>
      </w:r>
      <w:r>
        <w:rPr>
          <w:rFonts w:hint="eastAsia" w:ascii="Times New Roman" w:hAnsi="Times New Roman" w:eastAsia="仿宋_GB2312" w:cs="Times New Roman"/>
          <w:color w:val="000000"/>
          <w:spacing w:val="-1"/>
          <w:sz w:val="32"/>
          <w:szCs w:val="32"/>
        </w:rPr>
        <w:t>适用范围和禁忌证</w:t>
      </w:r>
    </w:p>
    <w:p w14:paraId="386823D5">
      <w:pPr>
        <w:numPr>
          <w:ilvl w:val="0"/>
          <w:numId w:val="0"/>
        </w:numPr>
        <w:spacing w:line="520" w:lineRule="exact"/>
        <w:ind w:firstLine="636" w:firstLineChars="200"/>
        <w:rPr>
          <w:rFonts w:hint="eastAsia" w:ascii="Times New Roman" w:hAnsi="Times New Roman" w:eastAsia="仿宋_GB2312" w:cs="Times New Roman"/>
          <w:color w:val="000000"/>
          <w:spacing w:val="-1"/>
          <w:sz w:val="32"/>
          <w:szCs w:val="32"/>
        </w:rPr>
      </w:pPr>
      <w:r>
        <w:rPr>
          <w:rFonts w:hint="eastAsia" w:ascii="Times New Roman" w:hAnsi="Times New Roman" w:eastAsia="仿宋_GB2312" w:cs="Times New Roman"/>
          <w:color w:val="000000"/>
          <w:spacing w:val="-1"/>
          <w:sz w:val="32"/>
          <w:szCs w:val="32"/>
          <w:lang w:val="en-US" w:eastAsia="zh-CN"/>
        </w:rPr>
        <w:t>2.1</w:t>
      </w:r>
      <w:r>
        <w:rPr>
          <w:rFonts w:hint="eastAsia" w:ascii="Times New Roman" w:hAnsi="Times New Roman" w:eastAsia="仿宋_GB2312" w:cs="Times New Roman"/>
          <w:color w:val="000000"/>
          <w:spacing w:val="-1"/>
          <w:sz w:val="32"/>
          <w:szCs w:val="32"/>
        </w:rPr>
        <w:t>适用范围</w:t>
      </w:r>
    </w:p>
    <w:p w14:paraId="6C06A0B8">
      <w:pPr>
        <w:numPr>
          <w:ilvl w:val="0"/>
          <w:numId w:val="0"/>
        </w:numPr>
        <w:spacing w:line="520" w:lineRule="exact"/>
        <w:ind w:firstLine="640" w:firstLineChars="200"/>
        <w:rPr>
          <w:rFonts w:hint="eastAsia" w:ascii="Times New Roman" w:hAnsi="Times New Roman" w:eastAsia="仿宋_GB2312"/>
          <w:sz w:val="32"/>
          <w:szCs w:val="22"/>
        </w:rPr>
      </w:pPr>
      <w:r>
        <w:rPr>
          <w:rFonts w:hint="eastAsia" w:ascii="Times New Roman" w:hAnsi="Times New Roman" w:eastAsia="仿宋_GB2312"/>
          <w:sz w:val="32"/>
          <w:szCs w:val="22"/>
        </w:rPr>
        <w:t>明确写明产品的预期用途，应包括检测原理、</w:t>
      </w:r>
      <w:r>
        <w:rPr>
          <w:rFonts w:hint="eastAsia" w:ascii="Times New Roman" w:hAnsi="Times New Roman" w:eastAsia="仿宋_GB2312"/>
          <w:sz w:val="32"/>
          <w:szCs w:val="22"/>
          <w:lang w:val="en-US" w:eastAsia="zh-CN"/>
        </w:rPr>
        <w:t>系统特性（配合使用的试剂厂家）</w:t>
      </w:r>
      <w:r>
        <w:rPr>
          <w:rFonts w:hint="eastAsia" w:ascii="Times New Roman" w:hAnsi="Times New Roman" w:eastAsia="仿宋_GB2312"/>
          <w:sz w:val="32"/>
          <w:szCs w:val="22"/>
        </w:rPr>
        <w:t>和预期检测</w:t>
      </w:r>
      <w:r>
        <w:rPr>
          <w:rFonts w:hint="eastAsia" w:ascii="Times New Roman" w:hAnsi="Times New Roman" w:eastAsia="仿宋_GB2312"/>
          <w:sz w:val="32"/>
          <w:szCs w:val="22"/>
          <w:lang w:val="en-US" w:eastAsia="zh-CN"/>
        </w:rPr>
        <w:t>微生物种类等</w:t>
      </w:r>
      <w:r>
        <w:rPr>
          <w:rFonts w:hint="eastAsia" w:ascii="Times New Roman" w:hAnsi="Times New Roman" w:eastAsia="仿宋_GB2312"/>
          <w:sz w:val="32"/>
          <w:szCs w:val="22"/>
        </w:rPr>
        <w:t>。</w:t>
      </w:r>
    </w:p>
    <w:p w14:paraId="73CFE9B7">
      <w:pPr>
        <w:pStyle w:val="8"/>
        <w:spacing w:line="520" w:lineRule="exact"/>
        <w:ind w:firstLine="616" w:firstLineChars="200"/>
        <w:jc w:val="both"/>
        <w:rPr>
          <w:rFonts w:hint="eastAsia" w:ascii="Times New Roman" w:hAnsi="Times New Roman" w:eastAsia="仿宋_GB2312"/>
          <w:spacing w:val="-6"/>
          <w:sz w:val="32"/>
          <w:szCs w:val="32"/>
          <w:lang w:eastAsia="zh-CN"/>
        </w:rPr>
      </w:pPr>
      <w:r>
        <w:rPr>
          <w:rFonts w:hint="eastAsia" w:ascii="Times New Roman" w:hAnsi="Times New Roman" w:eastAsia="仿宋_GB2312"/>
          <w:spacing w:val="-6"/>
          <w:sz w:val="32"/>
          <w:szCs w:val="32"/>
        </w:rPr>
        <w:t>如仪器与配套试剂为封闭系统，建议描述中说明与配套试剂共同使用</w:t>
      </w:r>
      <w:r>
        <w:rPr>
          <w:rFonts w:hint="eastAsia" w:ascii="Times New Roman" w:hAnsi="Times New Roman" w:eastAsia="仿宋_GB2312"/>
          <w:spacing w:val="-6"/>
          <w:sz w:val="32"/>
          <w:szCs w:val="32"/>
          <w:lang w:eastAsia="zh-CN"/>
        </w:rPr>
        <w:t>；</w:t>
      </w:r>
    </w:p>
    <w:p w14:paraId="0097ACD4">
      <w:pPr>
        <w:numPr>
          <w:ilvl w:val="0"/>
          <w:numId w:val="0"/>
        </w:numPr>
        <w:spacing w:line="520" w:lineRule="exact"/>
        <w:ind w:firstLine="640" w:firstLineChars="200"/>
        <w:rPr>
          <w:rFonts w:hint="eastAsia" w:ascii="Times New Roman" w:hAnsi="Times New Roman" w:eastAsia="仿宋_GB2312"/>
          <w:sz w:val="32"/>
          <w:szCs w:val="22"/>
        </w:rPr>
      </w:pPr>
      <w:r>
        <w:rPr>
          <w:rFonts w:hint="eastAsia" w:ascii="Times New Roman" w:hAnsi="Times New Roman" w:eastAsia="仿宋_GB2312"/>
          <w:sz w:val="32"/>
          <w:szCs w:val="22"/>
        </w:rPr>
        <w:t>预期检测</w:t>
      </w:r>
      <w:r>
        <w:rPr>
          <w:rFonts w:hint="eastAsia" w:ascii="Times New Roman" w:hAnsi="Times New Roman" w:eastAsia="仿宋_GB2312"/>
          <w:sz w:val="32"/>
          <w:szCs w:val="22"/>
          <w:lang w:val="en-US" w:eastAsia="zh-CN"/>
        </w:rPr>
        <w:t>微生物种类</w:t>
      </w:r>
      <w:r>
        <w:rPr>
          <w:rFonts w:hint="eastAsia" w:ascii="Times New Roman" w:hAnsi="Times New Roman" w:eastAsia="仿宋_GB2312"/>
          <w:spacing w:val="0"/>
          <w:sz w:val="32"/>
          <w:szCs w:val="22"/>
        </w:rPr>
        <w:t>应当根据研究资料的具体结果写明申报产品可以检测</w:t>
      </w:r>
      <w:r>
        <w:rPr>
          <w:rFonts w:hint="eastAsia" w:ascii="Times New Roman" w:hAnsi="Times New Roman" w:eastAsia="仿宋_GB2312"/>
          <w:spacing w:val="0"/>
          <w:sz w:val="32"/>
          <w:szCs w:val="22"/>
          <w:lang w:eastAsia="zh-CN"/>
        </w:rPr>
        <w:t>的</w:t>
      </w:r>
      <w:r>
        <w:rPr>
          <w:rFonts w:hint="eastAsia" w:ascii="Times New Roman" w:hAnsi="Times New Roman" w:eastAsia="仿宋_GB2312" w:cs="Times New Roman"/>
          <w:spacing w:val="0"/>
          <w:sz w:val="32"/>
          <w:szCs w:val="22"/>
        </w:rPr>
        <w:t>微生物种类</w:t>
      </w:r>
      <w:r>
        <w:rPr>
          <w:rFonts w:hint="eastAsia" w:ascii="Times New Roman" w:hAnsi="Times New Roman" w:eastAsia="仿宋_GB2312" w:cs="Times New Roman"/>
          <w:spacing w:val="0"/>
          <w:sz w:val="32"/>
          <w:szCs w:val="22"/>
          <w:lang w:eastAsia="zh-CN"/>
        </w:rPr>
        <w:t>（</w:t>
      </w:r>
      <w:r>
        <w:rPr>
          <w:rFonts w:hint="eastAsia" w:ascii="Times New Roman" w:hAnsi="Times New Roman" w:eastAsia="仿宋_GB2312" w:cs="Times New Roman"/>
          <w:spacing w:val="0"/>
          <w:sz w:val="32"/>
          <w:szCs w:val="22"/>
          <w:lang w:val="en-US" w:eastAsia="zh-CN"/>
        </w:rPr>
        <w:t>革兰氏阴性杆菌、革兰氏阳性球菌等</w:t>
      </w:r>
      <w:r>
        <w:rPr>
          <w:rFonts w:hint="eastAsia" w:ascii="Times New Roman" w:hAnsi="Times New Roman" w:eastAsia="仿宋_GB2312" w:cs="Times New Roman"/>
          <w:spacing w:val="0"/>
          <w:sz w:val="32"/>
          <w:szCs w:val="22"/>
          <w:lang w:eastAsia="zh-CN"/>
        </w:rPr>
        <w:t>）</w:t>
      </w:r>
      <w:r>
        <w:rPr>
          <w:rFonts w:hint="eastAsia" w:ascii="Times New Roman" w:hAnsi="Times New Roman" w:eastAsia="仿宋_GB2312"/>
          <w:spacing w:val="0"/>
          <w:sz w:val="32"/>
          <w:szCs w:val="22"/>
        </w:rPr>
        <w:t>。</w:t>
      </w:r>
    </w:p>
    <w:p w14:paraId="11EBAA97">
      <w:pPr>
        <w:numPr>
          <w:ilvl w:val="0"/>
          <w:numId w:val="0"/>
        </w:numPr>
        <w:spacing w:line="520" w:lineRule="exact"/>
        <w:ind w:firstLine="640" w:firstLineChars="200"/>
        <w:rPr>
          <w:rFonts w:hint="eastAsia"/>
          <w:lang w:val="en-US" w:eastAsia="zh-CN"/>
        </w:rPr>
      </w:pPr>
      <w:r>
        <w:rPr>
          <w:rFonts w:hint="eastAsia" w:ascii="Times New Roman" w:hAnsi="Times New Roman" w:eastAsia="仿宋_GB2312"/>
          <w:sz w:val="32"/>
          <w:szCs w:val="22"/>
          <w:lang w:val="en-US" w:eastAsia="zh-CN"/>
        </w:rPr>
        <w:t>例如，“该产品采用比色法原理</w:t>
      </w:r>
      <w:r>
        <w:rPr>
          <w:rFonts w:hint="eastAsia" w:ascii="Times New Roman" w:hAnsi="Times New Roman" w:eastAsia="仿宋_GB2312" w:cs="Times New Roman"/>
          <w:sz w:val="32"/>
          <w:szCs w:val="22"/>
        </w:rPr>
        <w:t>进行微生物鉴定</w:t>
      </w:r>
      <w:r>
        <w:rPr>
          <w:rFonts w:hint="eastAsia" w:ascii="Times New Roman" w:hAnsi="Times New Roman" w:eastAsia="仿宋_GB2312"/>
          <w:sz w:val="32"/>
          <w:szCs w:val="22"/>
          <w:lang w:val="en-US" w:eastAsia="zh-CN"/>
        </w:rPr>
        <w:t>，采用比浊法原理进行药敏试验，配套本公司检测试剂，用于对临床样本分离出的革兰氏阳性和革兰氏阴性细菌进行鉴定和药物敏感性分析。”</w:t>
      </w:r>
    </w:p>
    <w:p w14:paraId="1DFDF20F">
      <w:pPr>
        <w:numPr>
          <w:ilvl w:val="0"/>
          <w:numId w:val="0"/>
        </w:numPr>
        <w:spacing w:line="520" w:lineRule="exact"/>
        <w:ind w:firstLine="636" w:firstLineChars="200"/>
        <w:rPr>
          <w:rFonts w:hint="eastAsia" w:ascii="Times New Roman" w:hAnsi="Times New Roman" w:eastAsia="仿宋_GB2312" w:cs="Times New Roman"/>
          <w:color w:val="000000"/>
          <w:spacing w:val="-1"/>
          <w:sz w:val="32"/>
          <w:szCs w:val="32"/>
        </w:rPr>
      </w:pPr>
      <w:r>
        <w:rPr>
          <w:rFonts w:hint="eastAsia" w:ascii="Times New Roman" w:hAnsi="Times New Roman" w:eastAsia="仿宋_GB2312" w:cs="Times New Roman"/>
          <w:color w:val="000000"/>
          <w:spacing w:val="-1"/>
          <w:sz w:val="32"/>
          <w:szCs w:val="32"/>
          <w:lang w:val="en-US" w:eastAsia="zh-CN"/>
        </w:rPr>
        <w:t xml:space="preserve">2.2 </w:t>
      </w:r>
      <w:r>
        <w:rPr>
          <w:rFonts w:hint="eastAsia" w:ascii="Times New Roman" w:hAnsi="Times New Roman" w:eastAsia="仿宋_GB2312" w:cs="Times New Roman"/>
          <w:color w:val="000000"/>
          <w:spacing w:val="-1"/>
          <w:sz w:val="32"/>
          <w:szCs w:val="32"/>
        </w:rPr>
        <w:t>预期使用环境</w:t>
      </w:r>
    </w:p>
    <w:p w14:paraId="17135CFF">
      <w:pPr>
        <w:spacing w:line="520"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明确写明预期使用环境，包括申报产品预期使用的地点和预期使用的环境条件。</w:t>
      </w:r>
    </w:p>
    <w:p w14:paraId="6AA9D8E5">
      <w:pPr>
        <w:spacing w:line="520"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明确写明申报产品预期使用的地点，如医疗机构。</w:t>
      </w:r>
    </w:p>
    <w:p w14:paraId="20A52A34">
      <w:pPr>
        <w:spacing w:line="520"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明确写明可能会影响申报产品安全性和有效性的环境条件，也即申报产品的正常工作条件，包括空间要求、温度、湿度、海拔高度/大气压强、电源要求等，对每一条件均应给出具体的指标要求，如温度范围在10℃～30℃。</w:t>
      </w:r>
    </w:p>
    <w:p w14:paraId="187C787D">
      <w:pPr>
        <w:spacing w:line="520"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3.其它需说明的内容</w:t>
      </w:r>
    </w:p>
    <w:p w14:paraId="665B6C0D">
      <w:pPr>
        <w:spacing w:line="520" w:lineRule="exact"/>
        <w:ind w:firstLine="640" w:firstLineChars="200"/>
        <w:rPr>
          <w:rFonts w:ascii="Times New Roman" w:hAnsi="Times New Roman" w:eastAsia="仿宋_GB2312"/>
          <w:sz w:val="32"/>
          <w:szCs w:val="22"/>
        </w:rPr>
      </w:pPr>
      <w:r>
        <w:rPr>
          <w:rFonts w:hint="eastAsia" w:ascii="Times New Roman" w:hAnsi="Times New Roman" w:eastAsia="仿宋_GB2312"/>
          <w:sz w:val="32"/>
          <w:szCs w:val="22"/>
        </w:rPr>
        <w:t>申请人应说明与其组合使用实现预期用途的其他产品及其上市信息等。说明是否需与其他设备组合使用。</w:t>
      </w:r>
    </w:p>
    <w:p w14:paraId="387F143B">
      <w:pPr>
        <w:spacing w:line="520" w:lineRule="exact"/>
        <w:ind w:firstLine="636" w:firstLineChars="200"/>
        <w:outlineLvl w:val="1"/>
        <w:rPr>
          <w:rFonts w:hint="eastAsia" w:ascii="Times New Roman" w:hAnsi="Times New Roman" w:eastAsia="仿宋_GB2312" w:cs="Times New Roman"/>
          <w:color w:val="000000"/>
          <w:spacing w:val="-1"/>
          <w:sz w:val="32"/>
          <w:szCs w:val="32"/>
        </w:rPr>
      </w:pPr>
      <w:r>
        <w:rPr>
          <w:rFonts w:hint="eastAsia" w:ascii="Times New Roman" w:hAnsi="Times New Roman" w:eastAsia="仿宋_GB2312" w:cs="Times New Roman"/>
          <w:color w:val="000000"/>
          <w:spacing w:val="-1"/>
          <w:sz w:val="32"/>
          <w:szCs w:val="32"/>
        </w:rPr>
        <w:t>（三）非临床资料</w:t>
      </w:r>
    </w:p>
    <w:p w14:paraId="3C3AD56A">
      <w:pPr>
        <w:overflowPunct w:val="0"/>
        <w:autoSpaceDE w:val="0"/>
        <w:autoSpaceDN w:val="0"/>
        <w:spacing w:line="520" w:lineRule="exact"/>
        <w:ind w:firstLine="640" w:firstLineChars="200"/>
        <w:outlineLvl w:val="2"/>
        <w:rPr>
          <w:rFonts w:hint="eastAsia" w:eastAsia="仿宋_GB2312"/>
          <w:snapToGrid w:val="0"/>
          <w:kern w:val="0"/>
          <w:sz w:val="32"/>
          <w:szCs w:val="32"/>
        </w:rPr>
      </w:pPr>
      <w:r>
        <w:rPr>
          <w:rFonts w:hint="eastAsia" w:eastAsia="仿宋_GB2312"/>
          <w:snapToGrid w:val="0"/>
          <w:kern w:val="0"/>
          <w:sz w:val="32"/>
          <w:szCs w:val="32"/>
        </w:rPr>
        <w:t>1.产品风险管理资料</w:t>
      </w:r>
    </w:p>
    <w:p w14:paraId="6FF01097">
      <w:pPr>
        <w:widowControl/>
        <w:spacing w:line="520" w:lineRule="exact"/>
        <w:ind w:firstLine="640" w:firstLineChars="200"/>
        <w:rPr>
          <w:rFonts w:eastAsia="仿宋_GB2312"/>
          <w:sz w:val="32"/>
          <w:szCs w:val="32"/>
        </w:rPr>
      </w:pPr>
      <w:r>
        <w:rPr>
          <w:rFonts w:hint="eastAsia" w:eastAsia="仿宋_GB2312"/>
          <w:sz w:val="32"/>
          <w:szCs w:val="32"/>
        </w:rPr>
        <w:t>应参照GB/T 42062</w:t>
      </w:r>
      <w:r>
        <w:rPr>
          <w:rFonts w:hint="eastAsia" w:ascii="方正仿宋_GB2312" w:hAnsi="方正仿宋_GB2312" w:eastAsia="方正仿宋_GB2312" w:cs="方正仿宋_GB2312"/>
          <w:color w:val="000000" w:themeColor="text1"/>
          <w:sz w:val="32"/>
          <w:szCs w:val="32"/>
          <w14:textFill>
            <w14:solidFill>
              <w14:schemeClr w14:val="tx1"/>
            </w14:solidFill>
          </w14:textFill>
        </w:rPr>
        <w:t>和</w:t>
      </w:r>
      <w:r>
        <w:rPr>
          <w:rFonts w:hint="eastAsia" w:eastAsia="仿宋_GB2312"/>
          <w:sz w:val="32"/>
          <w:szCs w:val="32"/>
        </w:rPr>
        <w:t>YY/T 1437</w:t>
      </w:r>
      <w:r>
        <w:rPr>
          <w:rFonts w:hint="eastAsia" w:ascii="方正仿宋_GB2312" w:hAnsi="方正仿宋_GB2312" w:eastAsia="方正仿宋_GB2312" w:cs="方正仿宋_GB2312"/>
          <w:color w:val="000000" w:themeColor="text1"/>
          <w:sz w:val="32"/>
          <w:szCs w:val="32"/>
          <w14:textFill>
            <w14:solidFill>
              <w14:schemeClr w14:val="tx1"/>
            </w14:solidFill>
          </w14:textFill>
        </w:rPr>
        <w:t>的要求，提供风险管理报告</w:t>
      </w:r>
      <w:r>
        <w:rPr>
          <w:rFonts w:hint="eastAsia" w:eastAsia="仿宋_GB2312"/>
          <w:sz w:val="32"/>
          <w:szCs w:val="32"/>
        </w:rPr>
        <w:t>。申请人需识别和判定与产品有关的危险，估计和评价相关风险，控制风险并监测风险控制的安全性、有效性。本指导原则提供了产品的可能危险示例的不完全清单，帮助申请人判定与产品有关的危险。申请人可以根据产品特征确定其他可能危险，采取相应控制措施，确保产品风险降至可接受的程度。</w:t>
      </w:r>
    </w:p>
    <w:p w14:paraId="36C2F90B">
      <w:pPr>
        <w:spacing w:line="520" w:lineRule="exact"/>
        <w:ind w:firstLine="640" w:firstLineChars="200"/>
        <w:rPr>
          <w:rFonts w:eastAsia="仿宋_GB2312"/>
          <w:sz w:val="32"/>
          <w:szCs w:val="32"/>
        </w:rPr>
      </w:pPr>
      <w:r>
        <w:rPr>
          <w:rFonts w:hint="eastAsia" w:eastAsia="仿宋_GB2312"/>
          <w:sz w:val="32"/>
          <w:szCs w:val="32"/>
        </w:rPr>
        <w:t>1.1产品的主要危险</w:t>
      </w:r>
    </w:p>
    <w:p w14:paraId="3D166F43">
      <w:pPr>
        <w:spacing w:line="520" w:lineRule="exact"/>
        <w:ind w:firstLine="640" w:firstLineChars="200"/>
        <w:rPr>
          <w:rFonts w:eastAsia="仿宋_GB2312"/>
          <w:sz w:val="32"/>
          <w:szCs w:val="32"/>
          <w:highlight w:val="yellow"/>
        </w:rPr>
      </w:pPr>
      <w:r>
        <w:rPr>
          <w:rFonts w:hint="eastAsia" w:eastAsia="仿宋_GB2312"/>
          <w:sz w:val="32"/>
          <w:szCs w:val="32"/>
        </w:rPr>
        <w:t>产品的主要危险大致可包括五个方面，即：能量危险、生物学和化学危险、操作危险、信息危险、软件危险。</w:t>
      </w:r>
    </w:p>
    <w:p w14:paraId="53C60024">
      <w:pPr>
        <w:spacing w:line="520" w:lineRule="exact"/>
        <w:ind w:firstLine="640" w:firstLineChars="200"/>
        <w:rPr>
          <w:rFonts w:eastAsia="仿宋_GB2312"/>
          <w:sz w:val="32"/>
          <w:szCs w:val="32"/>
        </w:rPr>
      </w:pPr>
      <w:r>
        <w:rPr>
          <w:rFonts w:hint="eastAsia" w:eastAsia="仿宋_GB2312"/>
          <w:sz w:val="32"/>
          <w:szCs w:val="32"/>
        </w:rPr>
        <w:t>1.1.1能量危险</w:t>
      </w:r>
    </w:p>
    <w:p w14:paraId="3299F470">
      <w:pPr>
        <w:spacing w:line="520" w:lineRule="exact"/>
        <w:ind w:firstLine="636" w:firstLineChars="200"/>
        <w:rPr>
          <w:rFonts w:hint="eastAsia" w:ascii="Times New Roman" w:hAnsi="Times New Roman" w:eastAsia="仿宋_GB2312" w:cs="Times New Roman"/>
          <w:color w:val="000000"/>
          <w:spacing w:val="-1"/>
          <w:sz w:val="32"/>
          <w:szCs w:val="32"/>
        </w:rPr>
      </w:pPr>
      <w:r>
        <w:rPr>
          <w:rFonts w:hint="eastAsia" w:ascii="Times New Roman" w:hAnsi="Times New Roman" w:eastAsia="仿宋_GB2312" w:cs="Times New Roman"/>
          <w:color w:val="000000"/>
          <w:spacing w:val="-1"/>
          <w:sz w:val="32"/>
          <w:szCs w:val="32"/>
        </w:rPr>
        <w:t>电磁能：共同使用的设备（</w:t>
      </w:r>
      <w:r>
        <w:rPr>
          <w:rFonts w:hint="eastAsia" w:ascii="Times New Roman" w:hAnsi="Times New Roman" w:eastAsia="仿宋_GB2312" w:cs="Times New Roman"/>
          <w:color w:val="000000"/>
          <w:spacing w:val="-1"/>
          <w:sz w:val="32"/>
          <w:szCs w:val="32"/>
          <w:lang w:val="en-US" w:eastAsia="zh-CN"/>
        </w:rPr>
        <w:t>如：</w:t>
      </w:r>
      <w:r>
        <w:rPr>
          <w:rFonts w:hint="eastAsia" w:ascii="Times New Roman" w:hAnsi="Times New Roman" w:eastAsia="仿宋_GB2312" w:cs="Times New Roman"/>
          <w:color w:val="000000"/>
          <w:spacing w:val="-1"/>
          <w:sz w:val="32"/>
          <w:szCs w:val="32"/>
        </w:rPr>
        <w:t>移动电话）对申报产品的电磁干扰，静电放电对申报产品产生的干扰，申报产品正常工作中产生的电磁场对可能共同使用的其他设备的影响等引发的危险。</w:t>
      </w:r>
    </w:p>
    <w:p w14:paraId="5A104B9D">
      <w:pPr>
        <w:spacing w:line="520" w:lineRule="exact"/>
        <w:ind w:firstLine="636" w:firstLineChars="200"/>
        <w:rPr>
          <w:rFonts w:hint="eastAsia" w:ascii="Times New Roman" w:hAnsi="Times New Roman" w:eastAsia="仿宋_GB2312" w:cs="Times New Roman"/>
          <w:color w:val="000000"/>
          <w:spacing w:val="-1"/>
          <w:sz w:val="32"/>
          <w:szCs w:val="32"/>
        </w:rPr>
      </w:pPr>
      <w:r>
        <w:rPr>
          <w:rFonts w:hint="eastAsia" w:ascii="Times New Roman" w:hAnsi="Times New Roman" w:eastAsia="仿宋_GB2312" w:cs="Times New Roman"/>
          <w:color w:val="000000"/>
          <w:spacing w:val="-1"/>
          <w:sz w:val="32"/>
          <w:szCs w:val="32"/>
        </w:rPr>
        <w:t>漏电流：漏电流过大对使用者造成电击伤害。</w:t>
      </w:r>
    </w:p>
    <w:p w14:paraId="1223956D">
      <w:pPr>
        <w:spacing w:line="520" w:lineRule="exact"/>
        <w:ind w:firstLine="636" w:firstLineChars="200"/>
        <w:rPr>
          <w:rFonts w:hint="eastAsia" w:ascii="Times New Roman" w:hAnsi="Times New Roman" w:eastAsia="仿宋_GB2312" w:cs="Times New Roman"/>
          <w:color w:val="000000"/>
          <w:spacing w:val="-1"/>
          <w:sz w:val="32"/>
          <w:szCs w:val="32"/>
        </w:rPr>
      </w:pPr>
      <w:r>
        <w:rPr>
          <w:rFonts w:hint="eastAsia" w:ascii="Times New Roman" w:hAnsi="Times New Roman" w:eastAsia="仿宋_GB2312" w:cs="Times New Roman"/>
          <w:color w:val="000000"/>
          <w:spacing w:val="-1"/>
          <w:sz w:val="32"/>
          <w:szCs w:val="32"/>
          <w:lang w:val="en-US" w:eastAsia="zh-CN"/>
        </w:rPr>
        <w:t>运动零件</w:t>
      </w:r>
      <w:r>
        <w:rPr>
          <w:rFonts w:hint="eastAsia" w:ascii="Times New Roman" w:hAnsi="Times New Roman" w:eastAsia="仿宋_GB2312" w:cs="Times New Roman"/>
          <w:color w:val="000000"/>
          <w:spacing w:val="-1"/>
          <w:sz w:val="32"/>
          <w:szCs w:val="32"/>
          <w:lang w:eastAsia="zh-CN"/>
        </w:rPr>
        <w:t>：加样针堵塞或挂滴导致体积不准。运动控制器定位偏差导致错孔拍照/传感或撞板，引发批次性错误。</w:t>
      </w:r>
      <w:r>
        <w:rPr>
          <w:rFonts w:hint="eastAsia" w:ascii="Times New Roman" w:hAnsi="Times New Roman" w:eastAsia="仿宋_GB2312" w:cs="Times New Roman"/>
          <w:color w:val="000000"/>
          <w:spacing w:val="-1"/>
          <w:sz w:val="32"/>
          <w:szCs w:val="32"/>
        </w:rPr>
        <w:t>部件</w:t>
      </w:r>
      <w:r>
        <w:rPr>
          <w:rFonts w:hint="eastAsia" w:ascii="Times New Roman" w:hAnsi="Times New Roman" w:eastAsia="仿宋_GB2312" w:cs="Times New Roman"/>
          <w:color w:val="000000"/>
          <w:spacing w:val="-1"/>
          <w:sz w:val="32"/>
          <w:szCs w:val="32"/>
          <w:lang w:val="en-US" w:eastAsia="zh-CN"/>
        </w:rPr>
        <w:t>运动过程触碰</w:t>
      </w:r>
      <w:r>
        <w:rPr>
          <w:rFonts w:hint="eastAsia" w:ascii="Times New Roman" w:hAnsi="Times New Roman" w:eastAsia="仿宋_GB2312" w:cs="Times New Roman"/>
          <w:color w:val="000000"/>
          <w:spacing w:val="-1"/>
          <w:sz w:val="32"/>
          <w:szCs w:val="32"/>
        </w:rPr>
        <w:t>导致夹伤</w:t>
      </w:r>
      <w:r>
        <w:rPr>
          <w:rFonts w:hint="eastAsia" w:ascii="Times New Roman" w:hAnsi="Times New Roman" w:eastAsia="仿宋_GB2312" w:cs="Times New Roman"/>
          <w:color w:val="000000"/>
          <w:spacing w:val="-1"/>
          <w:sz w:val="32"/>
          <w:szCs w:val="32"/>
          <w:lang w:val="en-US" w:eastAsia="zh-CN"/>
        </w:rPr>
        <w:t>手指</w:t>
      </w:r>
      <w:r>
        <w:rPr>
          <w:rFonts w:hint="eastAsia" w:ascii="Times New Roman" w:hAnsi="Times New Roman" w:eastAsia="仿宋_GB2312" w:cs="Times New Roman"/>
          <w:color w:val="000000"/>
          <w:spacing w:val="-1"/>
          <w:sz w:val="32"/>
          <w:szCs w:val="32"/>
        </w:rPr>
        <w:t>。仪器固定不良、锁/传感器故障、电机误动，引发挤压伤。</w:t>
      </w:r>
    </w:p>
    <w:p w14:paraId="6392593D">
      <w:pPr>
        <w:spacing w:line="520" w:lineRule="exact"/>
        <w:ind w:firstLine="636" w:firstLineChars="200"/>
        <w:rPr>
          <w:rFonts w:hint="eastAsia" w:ascii="Times New Roman" w:hAnsi="Times New Roman" w:eastAsia="仿宋_GB2312" w:cs="Times New Roman"/>
          <w:color w:val="000000"/>
          <w:spacing w:val="-1"/>
          <w:sz w:val="32"/>
          <w:szCs w:val="32"/>
          <w:lang w:eastAsia="zh-CN"/>
        </w:rPr>
      </w:pPr>
      <w:r>
        <w:rPr>
          <w:rFonts w:hint="eastAsia" w:ascii="Times New Roman" w:hAnsi="Times New Roman" w:eastAsia="仿宋_GB2312" w:cs="Times New Roman"/>
          <w:color w:val="000000"/>
          <w:spacing w:val="-1"/>
          <w:sz w:val="32"/>
          <w:szCs w:val="32"/>
        </w:rPr>
        <w:t>热能危</w:t>
      </w:r>
      <w:r>
        <w:rPr>
          <w:rFonts w:hint="eastAsia" w:ascii="Times New Roman" w:hAnsi="Times New Roman" w:eastAsia="仿宋_GB2312" w:cs="Times New Roman"/>
          <w:color w:val="000000"/>
          <w:spacing w:val="-1"/>
          <w:sz w:val="32"/>
          <w:szCs w:val="32"/>
          <w:lang w:val="en-US" w:eastAsia="zh-CN"/>
        </w:rPr>
        <w:t>害：</w:t>
      </w:r>
      <w:r>
        <w:rPr>
          <w:rFonts w:hint="eastAsia" w:ascii="Times New Roman" w:hAnsi="Times New Roman" w:eastAsia="仿宋_GB2312" w:cs="Times New Roman"/>
          <w:color w:val="000000"/>
          <w:spacing w:val="-1"/>
          <w:sz w:val="32"/>
          <w:szCs w:val="32"/>
        </w:rPr>
        <w:t>温育系统温度波动或均匀性差（如边缘孔位温度偏差），导致微生物生长滞后或过快，MIC结果失真（特别是时间依赖性抗生素）。冷却风扇失效、散热不良、组件老化，引发部件烧毁、火灾、热灼伤。设备无法正常工作，无法将温度维持在规定的范围内</w:t>
      </w:r>
      <w:r>
        <w:rPr>
          <w:rFonts w:hint="eastAsia" w:ascii="Times New Roman" w:hAnsi="Times New Roman" w:eastAsia="仿宋_GB2312" w:cs="Times New Roman"/>
          <w:color w:val="000000"/>
          <w:spacing w:val="-1"/>
          <w:sz w:val="32"/>
          <w:szCs w:val="32"/>
          <w:lang w:eastAsia="zh-CN"/>
        </w:rPr>
        <w:t>。</w:t>
      </w:r>
    </w:p>
    <w:p w14:paraId="4EB85E03">
      <w:pPr>
        <w:spacing w:line="520" w:lineRule="exact"/>
        <w:ind w:firstLine="640" w:firstLineChars="200"/>
        <w:rPr>
          <w:rFonts w:hint="eastAsia" w:eastAsia="仿宋_GB2312"/>
          <w:sz w:val="32"/>
          <w:szCs w:val="32"/>
        </w:rPr>
      </w:pPr>
      <w:r>
        <w:rPr>
          <w:rFonts w:hint="eastAsia" w:eastAsia="仿宋_GB2312"/>
          <w:sz w:val="32"/>
          <w:szCs w:val="32"/>
        </w:rPr>
        <w:t>1.1.2生物学和化学危险</w:t>
      </w:r>
    </w:p>
    <w:p w14:paraId="753CC72D">
      <w:pPr>
        <w:spacing w:line="520" w:lineRule="exact"/>
        <w:ind w:firstLine="636" w:firstLineChars="200"/>
        <w:rPr>
          <w:rFonts w:hint="eastAsia" w:ascii="Times New Roman" w:hAnsi="Times New Roman" w:eastAsia="仿宋_GB2312" w:cs="Times New Roman"/>
          <w:color w:val="000000"/>
          <w:spacing w:val="-1"/>
          <w:sz w:val="32"/>
          <w:szCs w:val="32"/>
          <w:lang w:eastAsia="zh-CN"/>
        </w:rPr>
      </w:pPr>
      <w:r>
        <w:rPr>
          <w:rFonts w:hint="eastAsia" w:ascii="Times New Roman" w:hAnsi="Times New Roman" w:eastAsia="仿宋_GB2312" w:cs="Times New Roman"/>
          <w:color w:val="000000"/>
          <w:spacing w:val="-1"/>
          <w:sz w:val="32"/>
          <w:szCs w:val="32"/>
        </w:rPr>
        <w:t>生物</w:t>
      </w:r>
      <w:r>
        <w:rPr>
          <w:rFonts w:hint="eastAsia" w:ascii="Times New Roman" w:hAnsi="Times New Roman" w:eastAsia="仿宋_GB2312" w:cs="Times New Roman"/>
          <w:color w:val="000000"/>
          <w:spacing w:val="-1"/>
          <w:sz w:val="32"/>
          <w:szCs w:val="32"/>
          <w:lang w:val="en-US" w:eastAsia="zh-CN"/>
        </w:rPr>
        <w:t>学：</w:t>
      </w:r>
      <w:r>
        <w:rPr>
          <w:rFonts w:hint="eastAsia" w:ascii="Times New Roman" w:hAnsi="Times New Roman" w:eastAsia="仿宋_GB2312" w:cs="Times New Roman"/>
          <w:color w:val="000000"/>
          <w:spacing w:val="-1"/>
          <w:sz w:val="32"/>
          <w:szCs w:val="32"/>
        </w:rPr>
        <w:t>样本/废弃物处理不当</w:t>
      </w:r>
      <w:r>
        <w:rPr>
          <w:rFonts w:hint="eastAsia" w:ascii="Times New Roman" w:hAnsi="Times New Roman" w:eastAsia="仿宋_GB2312" w:cs="Times New Roman"/>
          <w:color w:val="000000"/>
          <w:spacing w:val="-1"/>
          <w:sz w:val="32"/>
          <w:szCs w:val="32"/>
          <w:lang w:eastAsia="zh-CN"/>
        </w:rPr>
        <w:t>，</w:t>
      </w:r>
      <w:r>
        <w:rPr>
          <w:rFonts w:hint="eastAsia" w:ascii="Times New Roman" w:hAnsi="Times New Roman" w:eastAsia="仿宋_GB2312" w:cs="Times New Roman"/>
          <w:color w:val="000000"/>
          <w:spacing w:val="-1"/>
          <w:sz w:val="32"/>
          <w:szCs w:val="32"/>
        </w:rPr>
        <w:t>剩余微生物样本、污染试剂、废液，引发交叉感染、环境污染、病原体传播、感染进展。一次性耗材破损（密封盖），板卡封闭不当、未正确就位或脱落，板卡中的物质遗洒</w:t>
      </w:r>
      <w:r>
        <w:rPr>
          <w:rFonts w:hint="eastAsia" w:ascii="Times New Roman" w:hAnsi="Times New Roman" w:eastAsia="仿宋_GB2312" w:cs="Times New Roman"/>
          <w:color w:val="000000"/>
          <w:spacing w:val="-1"/>
          <w:sz w:val="32"/>
          <w:szCs w:val="32"/>
          <w:lang w:eastAsia="zh-CN"/>
        </w:rPr>
        <w:t>，</w:t>
      </w:r>
      <w:r>
        <w:rPr>
          <w:rFonts w:hint="eastAsia" w:ascii="Times New Roman" w:hAnsi="Times New Roman" w:eastAsia="仿宋_GB2312" w:cs="Times New Roman"/>
          <w:color w:val="000000"/>
          <w:spacing w:val="-1"/>
          <w:sz w:val="32"/>
          <w:szCs w:val="32"/>
          <w:lang w:val="en-US" w:eastAsia="zh-CN"/>
        </w:rPr>
        <w:t>造成实验室感染风险</w:t>
      </w:r>
      <w:r>
        <w:rPr>
          <w:rFonts w:hint="eastAsia" w:ascii="Times New Roman" w:hAnsi="Times New Roman" w:eastAsia="仿宋_GB2312" w:cs="Times New Roman"/>
          <w:color w:val="000000"/>
          <w:spacing w:val="-1"/>
          <w:sz w:val="32"/>
          <w:szCs w:val="32"/>
          <w:lang w:eastAsia="zh-CN"/>
        </w:rPr>
        <w:t>。开盖加样或转运过程中气溶胶产生，存在实验室获得性感染风险。</w:t>
      </w:r>
    </w:p>
    <w:p w14:paraId="590C658A">
      <w:pPr>
        <w:spacing w:line="520" w:lineRule="exact"/>
        <w:ind w:firstLine="640" w:firstLineChars="200"/>
        <w:rPr>
          <w:rFonts w:hint="eastAsia" w:ascii="Times New Roman" w:hAnsi="Times New Roman" w:eastAsia="仿宋_GB2312" w:cs="Times New Roman"/>
          <w:color w:val="000000"/>
          <w:spacing w:val="-1"/>
          <w:sz w:val="32"/>
          <w:szCs w:val="32"/>
        </w:rPr>
      </w:pPr>
      <w:r>
        <w:rPr>
          <w:rFonts w:eastAsia="仿宋_GB2312"/>
          <w:kern w:val="0"/>
          <w:sz w:val="32"/>
          <w:szCs w:val="32"/>
        </w:rPr>
        <w:t>化学：使用的清洁剂、消毒剂残留引发的危险。</w:t>
      </w:r>
    </w:p>
    <w:p w14:paraId="63F99643">
      <w:pPr>
        <w:spacing w:line="520" w:lineRule="exact"/>
        <w:ind w:firstLine="636" w:firstLineChars="200"/>
        <w:rPr>
          <w:rFonts w:hint="default" w:ascii="Times New Roman" w:hAnsi="Times New Roman" w:eastAsia="仿宋_GB2312" w:cs="Times New Roman"/>
          <w:color w:val="000000"/>
          <w:spacing w:val="-1"/>
          <w:sz w:val="32"/>
          <w:szCs w:val="32"/>
          <w:lang w:val="en-US" w:eastAsia="zh-CN"/>
        </w:rPr>
      </w:pPr>
      <w:r>
        <w:rPr>
          <w:rFonts w:hint="eastAsia" w:ascii="Times New Roman" w:hAnsi="Times New Roman" w:eastAsia="仿宋_GB2312" w:cs="Times New Roman"/>
          <w:color w:val="000000"/>
          <w:spacing w:val="-1"/>
          <w:sz w:val="32"/>
          <w:szCs w:val="32"/>
          <w:lang w:val="en-US" w:eastAsia="zh-CN"/>
        </w:rPr>
        <w:t>1.1.3</w:t>
      </w:r>
      <w:r>
        <w:rPr>
          <w:rFonts w:hint="eastAsia" w:eastAsia="仿宋_GB2312"/>
          <w:sz w:val="32"/>
          <w:szCs w:val="32"/>
        </w:rPr>
        <w:t>操作危险</w:t>
      </w:r>
    </w:p>
    <w:p w14:paraId="1AA5187C">
      <w:pPr>
        <w:spacing w:line="520" w:lineRule="exact"/>
        <w:ind w:firstLine="640" w:firstLineChars="200"/>
        <w:rPr>
          <w:rFonts w:eastAsia="仿宋_GB2312"/>
          <w:sz w:val="32"/>
          <w:szCs w:val="32"/>
        </w:rPr>
      </w:pPr>
      <w:r>
        <w:rPr>
          <w:rFonts w:hint="eastAsia" w:eastAsia="仿宋_GB2312"/>
          <w:sz w:val="32"/>
          <w:szCs w:val="32"/>
        </w:rPr>
        <w:t>由不熟练/未经训练的人员使用，未对使用者进行培训或者使用者未按说明书中的要求进行操作，造成的检测失败、检测结果不准确。</w:t>
      </w:r>
    </w:p>
    <w:p w14:paraId="2D3FFA1F">
      <w:pPr>
        <w:spacing w:line="520" w:lineRule="exact"/>
        <w:ind w:firstLine="640" w:firstLineChars="200"/>
        <w:rPr>
          <w:rFonts w:hint="eastAsia" w:ascii="Times New Roman" w:hAnsi="Times New Roman" w:eastAsia="仿宋_GB2312" w:cs="Times New Roman"/>
          <w:color w:val="000000"/>
          <w:spacing w:val="-1"/>
          <w:sz w:val="32"/>
          <w:szCs w:val="32"/>
        </w:rPr>
      </w:pPr>
      <w:r>
        <w:rPr>
          <w:rFonts w:hint="eastAsia" w:eastAsia="仿宋_GB2312"/>
          <w:sz w:val="32"/>
          <w:szCs w:val="32"/>
        </w:rPr>
        <w:t>使用不同厂家的或与分析仪不相匹配的试剂，造成的检测失败、检测结果不准确。</w:t>
      </w:r>
    </w:p>
    <w:p w14:paraId="2CA3BB3D">
      <w:pPr>
        <w:spacing w:line="520" w:lineRule="exact"/>
        <w:ind w:firstLine="640" w:firstLineChars="200"/>
        <w:rPr>
          <w:rFonts w:hint="eastAsia" w:ascii="Times New Roman" w:hAnsi="Times New Roman" w:eastAsia="仿宋_GB2312" w:cs="Times New Roman"/>
          <w:color w:val="000000"/>
          <w:spacing w:val="-1"/>
          <w:sz w:val="32"/>
          <w:szCs w:val="32"/>
        </w:rPr>
      </w:pPr>
      <w:r>
        <w:rPr>
          <w:rFonts w:hint="eastAsia" w:eastAsia="仿宋_GB2312"/>
          <w:sz w:val="32"/>
          <w:szCs w:val="32"/>
        </w:rPr>
        <w:t>未在制造商规定的使用环境条件下使用产品，可能造成检测结果不准确，产品寿命降低。</w:t>
      </w:r>
    </w:p>
    <w:p w14:paraId="39BA1ABD">
      <w:pPr>
        <w:spacing w:line="520" w:lineRule="exact"/>
        <w:ind w:firstLine="636" w:firstLineChars="200"/>
        <w:rPr>
          <w:rFonts w:hint="eastAsia" w:ascii="Times New Roman" w:hAnsi="Times New Roman" w:eastAsia="仿宋_GB2312" w:cs="Times New Roman"/>
          <w:color w:val="000000"/>
          <w:spacing w:val="-1"/>
          <w:sz w:val="32"/>
          <w:szCs w:val="32"/>
        </w:rPr>
      </w:pPr>
      <w:r>
        <w:rPr>
          <w:rFonts w:hint="eastAsia" w:ascii="Times New Roman" w:hAnsi="Times New Roman" w:eastAsia="仿宋_GB2312" w:cs="Times New Roman"/>
          <w:color w:val="000000"/>
          <w:spacing w:val="-1"/>
          <w:sz w:val="32"/>
          <w:szCs w:val="32"/>
        </w:rPr>
        <w:t>试剂放错位置、污染试剂，导致鉴定/药敏结果错误、感染控制失效、治疗不当。</w:t>
      </w:r>
    </w:p>
    <w:p w14:paraId="66BFFC6F">
      <w:pPr>
        <w:spacing w:line="520" w:lineRule="exact"/>
        <w:ind w:firstLine="636" w:firstLineChars="200"/>
        <w:rPr>
          <w:rFonts w:hint="eastAsia" w:ascii="Times New Roman" w:hAnsi="Times New Roman" w:eastAsia="仿宋_GB2312" w:cs="Times New Roman"/>
          <w:color w:val="000000"/>
          <w:spacing w:val="-1"/>
          <w:sz w:val="32"/>
          <w:szCs w:val="32"/>
          <w:lang w:eastAsia="zh-CN"/>
        </w:rPr>
      </w:pPr>
      <w:r>
        <w:rPr>
          <w:rFonts w:hint="eastAsia" w:ascii="Times New Roman" w:hAnsi="Times New Roman" w:eastAsia="仿宋_GB2312" w:cs="Times New Roman"/>
          <w:color w:val="000000"/>
          <w:spacing w:val="-1"/>
          <w:sz w:val="32"/>
          <w:szCs w:val="32"/>
        </w:rPr>
        <w:t>扫码器故障，无法正确识别并分配板条</w:t>
      </w:r>
      <w:r>
        <w:rPr>
          <w:rFonts w:hint="eastAsia" w:ascii="Times New Roman" w:hAnsi="Times New Roman" w:eastAsia="仿宋_GB2312" w:cs="Times New Roman"/>
          <w:color w:val="000000"/>
          <w:spacing w:val="-1"/>
          <w:sz w:val="32"/>
          <w:szCs w:val="32"/>
          <w:lang w:eastAsia="zh-CN"/>
        </w:rPr>
        <w:t>。</w:t>
      </w:r>
    </w:p>
    <w:p w14:paraId="43EACE95">
      <w:pPr>
        <w:spacing w:line="520" w:lineRule="exact"/>
        <w:ind w:firstLine="640" w:firstLineChars="200"/>
        <w:rPr>
          <w:rFonts w:eastAsia="仿宋_GB2312"/>
          <w:sz w:val="32"/>
          <w:szCs w:val="32"/>
        </w:rPr>
      </w:pPr>
      <w:r>
        <w:rPr>
          <w:rFonts w:hint="eastAsia" w:eastAsia="仿宋_GB2312"/>
          <w:sz w:val="32"/>
          <w:szCs w:val="32"/>
        </w:rPr>
        <w:t>1.1.4信息危险</w:t>
      </w:r>
    </w:p>
    <w:p w14:paraId="6790184B">
      <w:pPr>
        <w:spacing w:line="520" w:lineRule="exact"/>
        <w:ind w:firstLine="636" w:firstLineChars="200"/>
        <w:rPr>
          <w:rFonts w:hint="eastAsia" w:ascii="Times New Roman" w:hAnsi="Times New Roman" w:eastAsia="仿宋_GB2312" w:cs="Times New Roman"/>
          <w:color w:val="000000"/>
          <w:spacing w:val="-1"/>
          <w:sz w:val="32"/>
          <w:szCs w:val="32"/>
        </w:rPr>
      </w:pPr>
      <w:r>
        <w:rPr>
          <w:rFonts w:hint="eastAsia" w:ascii="Times New Roman" w:hAnsi="Times New Roman" w:eastAsia="仿宋_GB2312" w:cs="Times New Roman"/>
          <w:color w:val="000000"/>
          <w:spacing w:val="-1"/>
          <w:sz w:val="32"/>
          <w:szCs w:val="32"/>
        </w:rPr>
        <w:t>CLSI/EUCAST标准每年更新，若系统数据库未及时同步，可能导致依据旧标准判读新耐药机制（如碳青霉烯酶耐药）的错误。</w:t>
      </w:r>
    </w:p>
    <w:p w14:paraId="6ECF3636">
      <w:pPr>
        <w:spacing w:line="520" w:lineRule="exact"/>
        <w:ind w:firstLine="636" w:firstLineChars="200"/>
        <w:rPr>
          <w:rFonts w:hint="eastAsia" w:ascii="Times New Roman" w:hAnsi="Times New Roman" w:eastAsia="仿宋_GB2312" w:cs="Times New Roman"/>
          <w:color w:val="000000"/>
          <w:spacing w:val="-1"/>
          <w:sz w:val="32"/>
          <w:szCs w:val="32"/>
        </w:rPr>
      </w:pPr>
      <w:r>
        <w:rPr>
          <w:rFonts w:hint="eastAsia" w:ascii="Times New Roman" w:hAnsi="Times New Roman" w:eastAsia="仿宋_GB2312" w:cs="Times New Roman"/>
          <w:color w:val="000000"/>
          <w:spacing w:val="-1"/>
          <w:sz w:val="32"/>
          <w:szCs w:val="32"/>
        </w:rPr>
        <w:t>CLSI、EUCAST、FDA及国内共识对部分药物（如头孢哌酮舒巴坦）折点不一致，若系统切换逻辑不清晰，易产生合规争议。</w:t>
      </w:r>
    </w:p>
    <w:p w14:paraId="27C675FA">
      <w:pPr>
        <w:spacing w:line="520" w:lineRule="exact"/>
        <w:ind w:firstLine="636" w:firstLineChars="200"/>
        <w:rPr>
          <w:rFonts w:hint="eastAsia" w:ascii="Times New Roman" w:hAnsi="Times New Roman" w:eastAsia="仿宋_GB2312" w:cs="Times New Roman"/>
          <w:color w:val="000000"/>
          <w:spacing w:val="-1"/>
          <w:sz w:val="32"/>
          <w:szCs w:val="32"/>
        </w:rPr>
      </w:pPr>
      <w:r>
        <w:rPr>
          <w:rFonts w:hint="eastAsia" w:ascii="Times New Roman" w:hAnsi="Times New Roman" w:eastAsia="仿宋_GB2312" w:cs="Times New Roman"/>
          <w:color w:val="000000"/>
          <w:spacing w:val="-1"/>
          <w:sz w:val="32"/>
          <w:szCs w:val="32"/>
        </w:rPr>
        <w:t>结果逻辑矛盾</w:t>
      </w:r>
      <w:r>
        <w:rPr>
          <w:rFonts w:hint="eastAsia" w:ascii="Times New Roman" w:hAnsi="Times New Roman" w:eastAsia="仿宋_GB2312" w:cs="Times New Roman"/>
          <w:color w:val="000000"/>
          <w:spacing w:val="-1"/>
          <w:sz w:val="32"/>
          <w:szCs w:val="32"/>
          <w:lang w:eastAsia="zh-CN"/>
        </w:rPr>
        <w:t>，</w:t>
      </w:r>
      <w:r>
        <w:rPr>
          <w:rFonts w:hint="eastAsia" w:ascii="Times New Roman" w:hAnsi="Times New Roman" w:eastAsia="仿宋_GB2312" w:cs="Times New Roman"/>
          <w:color w:val="000000"/>
          <w:spacing w:val="-1"/>
          <w:sz w:val="32"/>
          <w:szCs w:val="32"/>
        </w:rPr>
        <w:t>系统未设置专家规则（Expert Rules），如“苯唑西林耐药则报所有β-内酰胺类耐药”，导致报告出现不符合耐药机制的“假敏感”药敏结果。</w:t>
      </w:r>
    </w:p>
    <w:p w14:paraId="72B71825">
      <w:pPr>
        <w:spacing w:line="520" w:lineRule="exact"/>
        <w:ind w:firstLine="636" w:firstLineChars="200"/>
        <w:rPr>
          <w:rFonts w:hint="eastAsia" w:ascii="Times New Roman" w:hAnsi="Times New Roman" w:eastAsia="仿宋_GB2312" w:cs="Times New Roman"/>
          <w:color w:val="000000"/>
          <w:spacing w:val="-1"/>
          <w:sz w:val="32"/>
          <w:szCs w:val="32"/>
        </w:rPr>
      </w:pPr>
      <w:r>
        <w:rPr>
          <w:rFonts w:hint="eastAsia" w:ascii="Times New Roman" w:hAnsi="Times New Roman" w:eastAsia="仿宋_GB2312" w:cs="Times New Roman"/>
          <w:color w:val="000000"/>
          <w:spacing w:val="-1"/>
          <w:sz w:val="32"/>
          <w:szCs w:val="32"/>
        </w:rPr>
        <w:t>未设置“危急值”（如碳青霉烯耐药）预警或审核拦截机制，延误感染控制。</w:t>
      </w:r>
    </w:p>
    <w:p w14:paraId="1B925863">
      <w:pPr>
        <w:spacing w:line="520" w:lineRule="exact"/>
        <w:ind w:firstLine="636" w:firstLineChars="200"/>
        <w:rPr>
          <w:rFonts w:hint="eastAsia" w:ascii="Times New Roman" w:hAnsi="Times New Roman" w:eastAsia="仿宋_GB2312" w:cs="Times New Roman"/>
          <w:color w:val="000000"/>
          <w:spacing w:val="-1"/>
          <w:sz w:val="32"/>
          <w:szCs w:val="32"/>
        </w:rPr>
      </w:pPr>
      <w:r>
        <w:rPr>
          <w:rFonts w:hint="eastAsia" w:ascii="Times New Roman" w:hAnsi="Times New Roman" w:eastAsia="仿宋_GB2312" w:cs="Times New Roman"/>
          <w:color w:val="000000"/>
          <w:spacing w:val="-1"/>
          <w:sz w:val="32"/>
          <w:szCs w:val="32"/>
        </w:rPr>
        <w:t>标记缺失/错误</w:t>
      </w:r>
      <w:r>
        <w:rPr>
          <w:rFonts w:hint="eastAsia" w:ascii="Times New Roman" w:hAnsi="Times New Roman" w:eastAsia="仿宋_GB2312" w:cs="Times New Roman"/>
          <w:color w:val="000000"/>
          <w:spacing w:val="-1"/>
          <w:sz w:val="32"/>
          <w:szCs w:val="32"/>
          <w:lang w:eastAsia="zh-CN"/>
        </w:rPr>
        <w:t>，</w:t>
      </w:r>
      <w:r>
        <w:rPr>
          <w:rFonts w:hint="eastAsia" w:ascii="Times New Roman" w:hAnsi="Times New Roman" w:eastAsia="仿宋_GB2312" w:cs="Times New Roman"/>
          <w:color w:val="000000"/>
          <w:spacing w:val="-1"/>
          <w:sz w:val="32"/>
          <w:szCs w:val="32"/>
        </w:rPr>
        <w:t>危险提示、操作说明、试剂匹配、维护周期、电气安全、接地标识不全或不清，导致误操作、风险未识别、事故发生。</w:t>
      </w:r>
    </w:p>
    <w:p w14:paraId="0936C5E1">
      <w:pPr>
        <w:spacing w:line="520" w:lineRule="exact"/>
        <w:ind w:firstLine="636" w:firstLineChars="200"/>
        <w:rPr>
          <w:rFonts w:hint="eastAsia" w:ascii="Times New Roman" w:hAnsi="Times New Roman" w:eastAsia="仿宋_GB2312" w:cs="Times New Roman"/>
          <w:color w:val="000000"/>
          <w:spacing w:val="-1"/>
          <w:sz w:val="32"/>
          <w:szCs w:val="32"/>
        </w:rPr>
      </w:pPr>
      <w:r>
        <w:rPr>
          <w:rFonts w:hint="eastAsia" w:ascii="Times New Roman" w:hAnsi="Times New Roman" w:eastAsia="仿宋_GB2312" w:cs="Times New Roman"/>
          <w:color w:val="000000"/>
          <w:spacing w:val="-1"/>
          <w:sz w:val="32"/>
          <w:szCs w:val="32"/>
        </w:rPr>
        <w:t>警告不足</w:t>
      </w:r>
      <w:r>
        <w:rPr>
          <w:rFonts w:hint="eastAsia" w:ascii="Times New Roman" w:hAnsi="Times New Roman" w:eastAsia="仿宋_GB2312" w:cs="Times New Roman"/>
          <w:color w:val="000000"/>
          <w:spacing w:val="-1"/>
          <w:sz w:val="32"/>
          <w:szCs w:val="32"/>
          <w:lang w:eastAsia="zh-CN"/>
        </w:rPr>
        <w:t>，</w:t>
      </w:r>
      <w:r>
        <w:rPr>
          <w:rFonts w:hint="eastAsia" w:ascii="Times New Roman" w:hAnsi="Times New Roman" w:eastAsia="仿宋_GB2312" w:cs="Times New Roman"/>
          <w:color w:val="000000"/>
          <w:spacing w:val="-1"/>
          <w:sz w:val="32"/>
          <w:szCs w:val="32"/>
        </w:rPr>
        <w:t>未提示泄漏、电击、夹点、高温、生物危害、误用风险、维护风险，引发操作失误、伤害、结果错误。</w:t>
      </w:r>
    </w:p>
    <w:p w14:paraId="1E4CB78C">
      <w:pPr>
        <w:spacing w:line="520" w:lineRule="exact"/>
        <w:ind w:firstLine="640" w:firstLineChars="200"/>
        <w:rPr>
          <w:rFonts w:eastAsia="仿宋_GB2312"/>
          <w:sz w:val="32"/>
          <w:szCs w:val="32"/>
        </w:rPr>
      </w:pPr>
      <w:r>
        <w:rPr>
          <w:rFonts w:hint="eastAsia" w:eastAsia="仿宋_GB2312"/>
          <w:sz w:val="32"/>
          <w:szCs w:val="32"/>
        </w:rPr>
        <w:t>1.1.5软件危险</w:t>
      </w:r>
    </w:p>
    <w:p w14:paraId="29DA244A">
      <w:pPr>
        <w:spacing w:line="520" w:lineRule="exact"/>
        <w:ind w:firstLine="636" w:firstLineChars="200"/>
        <w:rPr>
          <w:rFonts w:hint="eastAsia" w:ascii="Times New Roman" w:hAnsi="Times New Roman" w:eastAsia="仿宋_GB2312" w:cs="Times New Roman"/>
          <w:color w:val="000000"/>
          <w:spacing w:val="-1"/>
          <w:sz w:val="32"/>
          <w:szCs w:val="32"/>
        </w:rPr>
      </w:pPr>
      <w:r>
        <w:rPr>
          <w:rFonts w:hint="eastAsia" w:ascii="Times New Roman" w:hAnsi="Times New Roman" w:eastAsia="仿宋_GB2312" w:cs="Times New Roman"/>
          <w:color w:val="000000"/>
          <w:spacing w:val="-1"/>
          <w:sz w:val="32"/>
          <w:szCs w:val="32"/>
        </w:rPr>
        <w:t>数据保密性/完整性不足</w:t>
      </w:r>
      <w:r>
        <w:rPr>
          <w:rFonts w:hint="eastAsia" w:ascii="Times New Roman" w:hAnsi="Times New Roman" w:eastAsia="仿宋_GB2312" w:cs="Times New Roman"/>
          <w:color w:val="000000"/>
          <w:spacing w:val="-1"/>
          <w:sz w:val="32"/>
          <w:szCs w:val="32"/>
          <w:lang w:eastAsia="zh-CN"/>
        </w:rPr>
        <w:t>，</w:t>
      </w:r>
      <w:r>
        <w:rPr>
          <w:rFonts w:hint="eastAsia" w:ascii="Times New Roman" w:hAnsi="Times New Roman" w:eastAsia="仿宋_GB2312" w:cs="Times New Roman"/>
          <w:color w:val="000000"/>
          <w:spacing w:val="-1"/>
          <w:sz w:val="32"/>
          <w:szCs w:val="32"/>
        </w:rPr>
        <w:t>无授权访问、篡改、删除、丢失，导致患者信息泄露、结果被篡改、溯源失效、医疗纠纷、治疗错误。</w:t>
      </w:r>
    </w:p>
    <w:p w14:paraId="3EF51D67">
      <w:pPr>
        <w:spacing w:line="520" w:lineRule="exact"/>
        <w:ind w:firstLine="636" w:firstLineChars="200"/>
        <w:rPr>
          <w:rFonts w:hint="eastAsia" w:ascii="Times New Roman" w:hAnsi="Times New Roman" w:eastAsia="仿宋_GB2312" w:cs="Times New Roman"/>
          <w:color w:val="000000"/>
          <w:spacing w:val="-1"/>
          <w:sz w:val="32"/>
          <w:szCs w:val="32"/>
        </w:rPr>
      </w:pPr>
      <w:r>
        <w:rPr>
          <w:rFonts w:hint="eastAsia" w:ascii="Times New Roman" w:hAnsi="Times New Roman" w:eastAsia="仿宋_GB2312" w:cs="Times New Roman"/>
          <w:color w:val="000000"/>
          <w:spacing w:val="-1"/>
          <w:sz w:val="32"/>
          <w:szCs w:val="32"/>
        </w:rPr>
        <w:t>数据追溯失效</w:t>
      </w:r>
      <w:r>
        <w:rPr>
          <w:rFonts w:hint="eastAsia" w:ascii="Times New Roman" w:hAnsi="Times New Roman" w:eastAsia="仿宋_GB2312" w:cs="Times New Roman"/>
          <w:color w:val="000000"/>
          <w:spacing w:val="-1"/>
          <w:sz w:val="32"/>
          <w:szCs w:val="32"/>
          <w:lang w:eastAsia="zh-CN"/>
        </w:rPr>
        <w:t>，</w:t>
      </w:r>
      <w:r>
        <w:rPr>
          <w:rFonts w:hint="eastAsia" w:ascii="Times New Roman" w:hAnsi="Times New Roman" w:eastAsia="仿宋_GB2312" w:cs="Times New Roman"/>
          <w:color w:val="000000"/>
          <w:spacing w:val="-1"/>
          <w:sz w:val="32"/>
          <w:szCs w:val="32"/>
        </w:rPr>
        <w:t>原始信息或阴阳性矩阵未存档，无法复核结果，不符合GLP（良好实验室规范）要求。</w:t>
      </w:r>
    </w:p>
    <w:p w14:paraId="0A1A1F1C">
      <w:pPr>
        <w:spacing w:line="520" w:lineRule="exact"/>
        <w:ind w:firstLine="636" w:firstLineChars="200"/>
        <w:outlineLvl w:val="2"/>
        <w:rPr>
          <w:rFonts w:hint="eastAsia" w:ascii="Times New Roman" w:hAnsi="Times New Roman" w:eastAsia="仿宋_GB2312" w:cs="Times New Roman"/>
          <w:color w:val="000000"/>
          <w:spacing w:val="-1"/>
          <w:sz w:val="32"/>
          <w:szCs w:val="32"/>
        </w:rPr>
      </w:pPr>
      <w:r>
        <w:rPr>
          <w:rFonts w:hint="eastAsia" w:ascii="Times New Roman" w:hAnsi="Times New Roman" w:eastAsia="仿宋_GB2312" w:cs="Times New Roman"/>
          <w:color w:val="000000"/>
          <w:spacing w:val="-1"/>
          <w:sz w:val="32"/>
          <w:szCs w:val="32"/>
          <w:lang w:val="en-US" w:eastAsia="zh-CN"/>
        </w:rPr>
        <w:t>2.</w:t>
      </w:r>
      <w:r>
        <w:rPr>
          <w:rFonts w:hint="eastAsia" w:ascii="Times New Roman" w:hAnsi="Times New Roman" w:eastAsia="仿宋_GB2312" w:cs="Times New Roman"/>
          <w:color w:val="000000"/>
          <w:spacing w:val="-1"/>
          <w:sz w:val="32"/>
          <w:szCs w:val="32"/>
        </w:rPr>
        <w:t>产品技术要求及检验报告</w:t>
      </w:r>
    </w:p>
    <w:p w14:paraId="7D6D2B42">
      <w:pPr>
        <w:overflowPunct w:val="0"/>
        <w:autoSpaceDE w:val="0"/>
        <w:autoSpaceDN w:val="0"/>
        <w:spacing w:line="520" w:lineRule="exact"/>
        <w:ind w:firstLine="640" w:firstLineChars="200"/>
        <w:outlineLvl w:val="9"/>
        <w:rPr>
          <w:rFonts w:eastAsia="仿宋_GB2312"/>
          <w:snapToGrid w:val="0"/>
          <w:kern w:val="0"/>
          <w:sz w:val="32"/>
          <w:szCs w:val="32"/>
        </w:rPr>
      </w:pPr>
      <w:r>
        <w:rPr>
          <w:rFonts w:hint="eastAsia" w:eastAsia="仿宋_GB2312"/>
          <w:snapToGrid w:val="0"/>
          <w:kern w:val="0"/>
          <w:sz w:val="32"/>
          <w:szCs w:val="32"/>
        </w:rPr>
        <w:t>2.1</w:t>
      </w:r>
      <w:r>
        <w:rPr>
          <w:rFonts w:eastAsia="仿宋_GB2312"/>
          <w:snapToGrid w:val="0"/>
          <w:kern w:val="0"/>
          <w:sz w:val="32"/>
          <w:szCs w:val="32"/>
        </w:rPr>
        <w:t>产品技术要求</w:t>
      </w:r>
    </w:p>
    <w:p w14:paraId="3D46F488">
      <w:pPr>
        <w:overflowPunct w:val="0"/>
        <w:autoSpaceDE w:val="0"/>
        <w:autoSpaceDN w:val="0"/>
        <w:spacing w:line="520" w:lineRule="exact"/>
        <w:ind w:firstLine="640" w:firstLineChars="200"/>
        <w:rPr>
          <w:rFonts w:eastAsia="仿宋_GB2312"/>
          <w:snapToGrid w:val="0"/>
          <w:kern w:val="0"/>
          <w:sz w:val="32"/>
          <w:szCs w:val="32"/>
        </w:rPr>
      </w:pPr>
      <w:r>
        <w:rPr>
          <w:rFonts w:hint="eastAsia" w:eastAsia="仿宋_GB2312"/>
          <w:snapToGrid w:val="0"/>
          <w:kern w:val="0"/>
          <w:sz w:val="32"/>
          <w:szCs w:val="32"/>
        </w:rPr>
        <w:t>依据</w:t>
      </w:r>
      <w:r>
        <w:rPr>
          <w:rFonts w:eastAsia="仿宋_GB2312"/>
          <w:snapToGrid w:val="0"/>
          <w:kern w:val="0"/>
          <w:sz w:val="32"/>
          <w:szCs w:val="32"/>
        </w:rPr>
        <w:t>《医疗器械产品技术要求编写指导原则》进行编制。</w:t>
      </w:r>
    </w:p>
    <w:p w14:paraId="1CFC961E">
      <w:pPr>
        <w:pStyle w:val="9"/>
        <w:overflowPunct w:val="0"/>
        <w:autoSpaceDE w:val="0"/>
        <w:autoSpaceDN w:val="0"/>
        <w:spacing w:line="520" w:lineRule="exact"/>
        <w:ind w:right="210" w:firstLine="640"/>
        <w:rPr>
          <w:rFonts w:hint="eastAsia" w:ascii="Times New Roman" w:hAnsi="Times New Roman" w:eastAsia="仿宋_GB2312" w:cs="Times New Roman"/>
          <w:color w:val="000000"/>
          <w:spacing w:val="-1"/>
          <w:sz w:val="32"/>
          <w:szCs w:val="32"/>
        </w:rPr>
      </w:pPr>
      <w:r>
        <w:rPr>
          <w:rFonts w:ascii="Times New Roman" w:hAnsi="Times New Roman" w:eastAsia="仿宋_GB2312"/>
          <w:snapToGrid w:val="0"/>
          <w:kern w:val="0"/>
          <w:sz w:val="32"/>
          <w:szCs w:val="32"/>
        </w:rPr>
        <w:t>2.1.1</w:t>
      </w:r>
      <w:r>
        <w:rPr>
          <w:rFonts w:hint="eastAsia" w:ascii="Times New Roman" w:hAnsi="Times New Roman" w:eastAsia="仿宋_GB2312"/>
          <w:sz w:val="32"/>
          <w:szCs w:val="32"/>
        </w:rPr>
        <w:t>型号/规格及其划分说明</w:t>
      </w:r>
    </w:p>
    <w:p w14:paraId="1A53C512">
      <w:pPr>
        <w:pStyle w:val="8"/>
        <w:spacing w:line="520" w:lineRule="exact"/>
        <w:ind w:firstLine="641"/>
        <w:jc w:val="both"/>
        <w:rPr>
          <w:rFonts w:hint="eastAsia" w:ascii="Times New Roman" w:hAnsi="Times New Roman" w:eastAsia="仿宋_GB2312"/>
          <w:kern w:val="2"/>
          <w:sz w:val="32"/>
          <w:szCs w:val="32"/>
        </w:rPr>
      </w:pPr>
      <w:r>
        <w:rPr>
          <w:rFonts w:hint="eastAsia" w:ascii="Times New Roman" w:hAnsi="Times New Roman" w:eastAsia="仿宋_GB2312"/>
          <w:kern w:val="2"/>
          <w:sz w:val="32"/>
          <w:szCs w:val="32"/>
        </w:rPr>
        <w:t>说明产品的型号、规格，明确产品型号、规格的划分说明，明确不同型号间产品差异。</w:t>
      </w:r>
    </w:p>
    <w:p w14:paraId="5AFF5A08">
      <w:pPr>
        <w:pStyle w:val="8"/>
        <w:spacing w:line="520" w:lineRule="exact"/>
        <w:ind w:firstLine="641"/>
        <w:jc w:val="both"/>
        <w:rPr>
          <w:rFonts w:ascii="Times New Roman" w:hAnsi="Times New Roman" w:eastAsia="仿宋_GB2312"/>
          <w:kern w:val="2"/>
          <w:sz w:val="32"/>
          <w:szCs w:val="32"/>
          <w:highlight w:val="yellow"/>
        </w:rPr>
      </w:pPr>
      <w:r>
        <w:rPr>
          <w:rFonts w:hint="eastAsia" w:ascii="Times New Roman" w:hAnsi="Times New Roman" w:eastAsia="仿宋_GB2312"/>
          <w:kern w:val="2"/>
          <w:sz w:val="32"/>
          <w:szCs w:val="32"/>
        </w:rPr>
        <w:t>产品中包含软件组件，应明确软件的名称、型号规格（若适用）、发布版本、版本命名规则，软件模块若有单独的版本、版本命名规则均需说明</w:t>
      </w:r>
      <w:r>
        <w:rPr>
          <w:rFonts w:hint="eastAsia" w:ascii="Times New Roman" w:hAnsi="Times New Roman" w:eastAsia="仿宋_GB2312"/>
          <w:kern w:val="2"/>
          <w:sz w:val="32"/>
          <w:szCs w:val="32"/>
          <w:lang w:eastAsia="zh-CN"/>
        </w:rPr>
        <w:t>。</w:t>
      </w:r>
    </w:p>
    <w:p w14:paraId="69F954C2">
      <w:pPr>
        <w:pStyle w:val="9"/>
        <w:overflowPunct w:val="0"/>
        <w:autoSpaceDE w:val="0"/>
        <w:autoSpaceDN w:val="0"/>
        <w:spacing w:line="520" w:lineRule="exact"/>
        <w:ind w:right="210" w:firstLine="0" w:firstLineChars="0"/>
        <w:rPr>
          <w:rFonts w:hint="default" w:ascii="Times New Roman" w:hAnsi="Times New Roman" w:eastAsia="仿宋_GB2312"/>
          <w:snapToGrid w:val="0"/>
          <w:kern w:val="0"/>
          <w:sz w:val="32"/>
          <w:szCs w:val="32"/>
        </w:rPr>
      </w:pPr>
      <w:r>
        <w:rPr>
          <w:rFonts w:hint="eastAsia" w:ascii="Times New Roman" w:hAnsi="Times New Roman" w:eastAsia="仿宋_GB2312" w:cs="Times New Roman"/>
          <w:color w:val="000000"/>
          <w:spacing w:val="-1"/>
          <w:sz w:val="32"/>
          <w:szCs w:val="32"/>
          <w:lang w:val="en-US" w:eastAsia="zh-CN"/>
        </w:rPr>
        <w:t xml:space="preserve">    </w:t>
      </w:r>
      <w:r>
        <w:rPr>
          <w:rFonts w:ascii="Times New Roman" w:hAnsi="Times New Roman" w:eastAsia="仿宋_GB2312"/>
          <w:snapToGrid w:val="0"/>
          <w:kern w:val="0"/>
          <w:sz w:val="32"/>
          <w:szCs w:val="32"/>
        </w:rPr>
        <w:t>2.1.2</w:t>
      </w:r>
      <w:r>
        <w:rPr>
          <w:rFonts w:hint="default" w:ascii="Times New Roman" w:hAnsi="Times New Roman" w:eastAsia="仿宋_GB2312"/>
          <w:snapToGrid w:val="0"/>
          <w:kern w:val="0"/>
          <w:sz w:val="32"/>
          <w:szCs w:val="32"/>
        </w:rPr>
        <w:t>性能指标</w:t>
      </w:r>
    </w:p>
    <w:p w14:paraId="3DE4097C">
      <w:pPr>
        <w:widowControl/>
        <w:snapToGrid w:val="0"/>
        <w:spacing w:line="520" w:lineRule="exact"/>
        <w:ind w:firstLine="640" w:firstLineChars="20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包括功能性指标、安全性指标</w:t>
      </w:r>
      <w:r>
        <w:rPr>
          <w:rFonts w:hint="eastAsia" w:ascii="Times New Roman" w:hAnsi="Times New Roman" w:eastAsia="仿宋_GB2312"/>
          <w:sz w:val="32"/>
          <w:szCs w:val="32"/>
          <w:lang w:eastAsia="zh-CN"/>
        </w:rPr>
        <w:t>。</w:t>
      </w:r>
    </w:p>
    <w:p w14:paraId="3DFFBBC8">
      <w:pPr>
        <w:widowControl/>
        <w:snapToGrid w:val="0"/>
        <w:spacing w:line="52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功能性指标</w:t>
      </w:r>
      <w:r>
        <w:rPr>
          <w:rFonts w:hint="eastAsia" w:ascii="Times New Roman" w:hAnsi="Times New Roman" w:eastAsia="仿宋_GB2312"/>
          <w:sz w:val="32"/>
          <w:szCs w:val="32"/>
        </w:rPr>
        <w:t>具体至少包括</w:t>
      </w:r>
      <w:r>
        <w:rPr>
          <w:rFonts w:hint="default" w:ascii="Times New Roman" w:hAnsi="Times New Roman" w:eastAsia="仿宋_GB2312" w:cs="Times New Roman"/>
          <w:snapToGrid/>
          <w:color w:val="000000"/>
          <w:spacing w:val="-1"/>
          <w:kern w:val="2"/>
          <w:sz w:val="32"/>
          <w:szCs w:val="32"/>
          <w:lang w:val="en-US" w:eastAsia="zh-CN"/>
        </w:rPr>
        <w:t>产品外观、孵育</w:t>
      </w:r>
      <w:r>
        <w:rPr>
          <w:rFonts w:hint="eastAsia" w:ascii="Times New Roman" w:hAnsi="Times New Roman" w:eastAsia="仿宋_GB2312" w:cs="Times New Roman"/>
          <w:snapToGrid/>
          <w:color w:val="000000"/>
          <w:spacing w:val="-1"/>
          <w:kern w:val="2"/>
          <w:sz w:val="32"/>
          <w:szCs w:val="32"/>
          <w:lang w:val="en-US" w:eastAsia="zh-CN"/>
        </w:rPr>
        <w:t>/培养</w:t>
      </w:r>
      <w:r>
        <w:rPr>
          <w:rFonts w:hint="default" w:ascii="Times New Roman" w:hAnsi="Times New Roman" w:eastAsia="仿宋_GB2312" w:cs="Times New Roman"/>
          <w:snapToGrid/>
          <w:color w:val="000000"/>
          <w:spacing w:val="-1"/>
          <w:kern w:val="2"/>
          <w:sz w:val="32"/>
          <w:szCs w:val="32"/>
          <w:lang w:val="en-US" w:eastAsia="zh-CN"/>
        </w:rPr>
        <w:t>温度</w:t>
      </w:r>
      <w:r>
        <w:rPr>
          <w:rFonts w:hint="eastAsia" w:ascii="Times New Roman" w:hAnsi="Times New Roman" w:eastAsia="仿宋_GB2312" w:cs="Times New Roman"/>
          <w:snapToGrid/>
          <w:color w:val="000000"/>
          <w:spacing w:val="-1"/>
          <w:kern w:val="2"/>
          <w:sz w:val="32"/>
          <w:szCs w:val="32"/>
          <w:lang w:val="en-US" w:eastAsia="zh-CN"/>
        </w:rPr>
        <w:t>准确度及波动度</w:t>
      </w:r>
      <w:r>
        <w:rPr>
          <w:rFonts w:hint="default" w:ascii="Times New Roman" w:hAnsi="Times New Roman" w:eastAsia="仿宋_GB2312" w:cs="Times New Roman"/>
          <w:snapToGrid/>
          <w:color w:val="000000"/>
          <w:spacing w:val="-1"/>
          <w:kern w:val="2"/>
          <w:sz w:val="32"/>
          <w:szCs w:val="32"/>
          <w:lang w:val="en-US" w:eastAsia="zh-CN"/>
        </w:rPr>
        <w:t>要求、稳定性</w:t>
      </w:r>
      <w:r>
        <w:rPr>
          <w:rFonts w:hint="eastAsia" w:ascii="Times New Roman" w:hAnsi="Times New Roman" w:eastAsia="仿宋_GB2312" w:cs="Times New Roman"/>
          <w:snapToGrid/>
          <w:color w:val="000000"/>
          <w:spacing w:val="-1"/>
          <w:kern w:val="2"/>
          <w:sz w:val="32"/>
          <w:szCs w:val="32"/>
          <w:lang w:val="en-US" w:eastAsia="zh-CN"/>
        </w:rPr>
        <w:t>、通道一致性（如适用）、</w:t>
      </w:r>
      <w:r>
        <w:rPr>
          <w:rFonts w:hint="default" w:ascii="Times New Roman" w:hAnsi="Times New Roman" w:eastAsia="仿宋_GB2312" w:cs="Times New Roman"/>
          <w:snapToGrid/>
          <w:color w:val="000000"/>
          <w:spacing w:val="-1"/>
          <w:kern w:val="2"/>
          <w:sz w:val="32"/>
          <w:szCs w:val="32"/>
          <w:lang w:val="en-US" w:eastAsia="zh-CN"/>
        </w:rPr>
        <w:t>设备指示功能</w:t>
      </w:r>
      <w:r>
        <w:rPr>
          <w:rFonts w:hint="eastAsia" w:ascii="Times New Roman" w:hAnsi="Times New Roman" w:eastAsia="仿宋_GB2312" w:cs="Times New Roman"/>
          <w:snapToGrid/>
          <w:color w:val="000000"/>
          <w:spacing w:val="-1"/>
          <w:kern w:val="2"/>
          <w:sz w:val="32"/>
          <w:szCs w:val="32"/>
          <w:lang w:val="en-US" w:eastAsia="zh-CN"/>
        </w:rPr>
        <w:t>及</w:t>
      </w:r>
      <w:r>
        <w:rPr>
          <w:rFonts w:hint="default" w:ascii="Times New Roman" w:hAnsi="Times New Roman" w:eastAsia="仿宋_GB2312" w:cs="Times New Roman"/>
          <w:snapToGrid/>
          <w:color w:val="000000"/>
          <w:spacing w:val="-1"/>
          <w:kern w:val="2"/>
          <w:sz w:val="32"/>
          <w:szCs w:val="32"/>
          <w:lang w:val="en-US" w:eastAsia="zh-CN"/>
        </w:rPr>
        <w:t>鉴定/药敏结果的准确性、重复性</w:t>
      </w:r>
      <w:r>
        <w:rPr>
          <w:rFonts w:hint="eastAsia" w:ascii="Times New Roman" w:hAnsi="Times New Roman" w:eastAsia="仿宋_GB2312" w:cs="Times New Roman"/>
          <w:snapToGrid/>
          <w:color w:val="000000"/>
          <w:spacing w:val="-1"/>
          <w:kern w:val="2"/>
          <w:sz w:val="32"/>
          <w:szCs w:val="32"/>
          <w:lang w:val="en-US" w:eastAsia="zh-CN"/>
        </w:rPr>
        <w:t>；</w:t>
      </w:r>
      <w:r>
        <w:rPr>
          <w:rFonts w:hint="eastAsia" w:ascii="Times New Roman" w:hAnsi="Times New Roman" w:eastAsia="仿宋_GB2312"/>
          <w:sz w:val="32"/>
          <w:szCs w:val="32"/>
        </w:rPr>
        <w:t>连续工作时间、</w:t>
      </w:r>
      <w:r>
        <w:rPr>
          <w:rFonts w:hint="eastAsia" w:ascii="Times New Roman" w:hAnsi="Times New Roman" w:eastAsia="仿宋_GB2312"/>
          <w:sz w:val="32"/>
          <w:szCs w:val="32"/>
          <w:lang w:val="en-US" w:eastAsia="zh-CN"/>
        </w:rPr>
        <w:t>提示报警（鉴定功能适用）、</w:t>
      </w:r>
      <w:r>
        <w:rPr>
          <w:rFonts w:hint="eastAsia" w:ascii="Times New Roman" w:hAnsi="Times New Roman" w:eastAsia="仿宋_GB2312"/>
          <w:sz w:val="32"/>
          <w:szCs w:val="32"/>
        </w:rPr>
        <w:t>电气安全、电磁兼容、软件组件等要求。</w:t>
      </w:r>
      <w:r>
        <w:rPr>
          <w:rFonts w:hint="eastAsia" w:ascii="Times New Roman" w:hAnsi="Times New Roman" w:eastAsia="仿宋_GB2312"/>
          <w:sz w:val="32"/>
          <w:szCs w:val="32"/>
          <w:lang w:val="en-US" w:eastAsia="zh-CN"/>
        </w:rPr>
        <w:t>鉴定功能可参考</w:t>
      </w:r>
      <w:r>
        <w:rPr>
          <w:rFonts w:hint="eastAsia" w:ascii="Times New Roman" w:hAnsi="Times New Roman" w:eastAsia="仿宋_GB2312"/>
          <w:sz w:val="32"/>
          <w:szCs w:val="32"/>
        </w:rPr>
        <w:t>YY/T 1531-2017</w:t>
      </w:r>
      <w:r>
        <w:rPr>
          <w:rFonts w:hint="eastAsia" w:ascii="Times New Roman" w:hAnsi="Times New Roman" w:eastAsia="仿宋_GB2312"/>
          <w:sz w:val="32"/>
          <w:szCs w:val="32"/>
          <w:lang w:val="en-US" w:eastAsia="zh-CN"/>
        </w:rPr>
        <w:t>制定相关指标。</w:t>
      </w:r>
      <w:r>
        <w:rPr>
          <w:rFonts w:hint="eastAsia" w:ascii="Times New Roman" w:hAnsi="Times New Roman" w:eastAsia="仿宋_GB2312"/>
          <w:sz w:val="32"/>
          <w:szCs w:val="32"/>
        </w:rPr>
        <w:t>性能指标项目的具体要求应与性能研究资料保持一致，并具有确定的研究资料依据。电气安全应当符合适用的国家标准和行业标准中的要求。软件组件在“产品型号/规格及其划分说明”明确软件的名称、型号规格（如适用）、发布版本、版本命名规则。在“性能指标”明确软件的功能、使用限制、接口、访问控制、运行环境（如适用）、性能效率（如适用）等要求。对于专用型独立软件视为软件组件，除上述软件组件要求外，还需在“附录”中提供体系结构图、用户界面关系图与主界面图示、物理拓扑图以及必要的注释。环境试验要求无需列入产品技术要求中。</w:t>
      </w:r>
    </w:p>
    <w:p w14:paraId="2A58B77A">
      <w:pPr>
        <w:widowControl/>
        <w:snapToGrid w:val="0"/>
        <w:spacing w:line="520" w:lineRule="exact"/>
        <w:ind w:firstLine="636" w:firstLineChars="200"/>
        <w:rPr>
          <w:rFonts w:hint="eastAsia" w:ascii="Times New Roman" w:hAnsi="Times New Roman" w:eastAsia="仿宋_GB2312"/>
          <w:sz w:val="32"/>
          <w:szCs w:val="32"/>
        </w:rPr>
      </w:pPr>
      <w:r>
        <w:rPr>
          <w:rFonts w:hint="default" w:ascii="Times New Roman" w:hAnsi="Times New Roman" w:eastAsia="仿宋_GB2312" w:cs="Times New Roman"/>
          <w:snapToGrid/>
          <w:color w:val="000000"/>
          <w:spacing w:val="-1"/>
          <w:kern w:val="2"/>
          <w:sz w:val="32"/>
          <w:szCs w:val="32"/>
          <w:lang w:val="en-US" w:eastAsia="zh-CN"/>
        </w:rPr>
        <w:t>鉴定/药敏结果的准确性、重复性</w:t>
      </w:r>
      <w:r>
        <w:rPr>
          <w:rFonts w:hint="eastAsia" w:ascii="Times New Roman" w:hAnsi="Times New Roman" w:eastAsia="仿宋_GB2312" w:cs="Times New Roman"/>
          <w:snapToGrid/>
          <w:color w:val="000000"/>
          <w:spacing w:val="-1"/>
          <w:kern w:val="2"/>
          <w:sz w:val="32"/>
          <w:szCs w:val="32"/>
          <w:lang w:val="en-US" w:eastAsia="zh-CN"/>
        </w:rPr>
        <w:t>应选用可代表声称适用范围的试剂盒，且质控菌种应与试剂盒对应性能验证的质控菌种保持一致。</w:t>
      </w:r>
    </w:p>
    <w:p w14:paraId="57F61028">
      <w:pPr>
        <w:widowControl/>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如产品有额外模块实现额外功能，应增加相应评价指标要求。</w:t>
      </w:r>
      <w:r>
        <w:rPr>
          <w:rFonts w:hint="eastAsia" w:ascii="Times New Roman" w:hAnsi="Times New Roman" w:eastAsia="仿宋_GB2312"/>
          <w:sz w:val="32"/>
          <w:szCs w:val="32"/>
          <w:lang w:val="en-US" w:eastAsia="zh-CN"/>
        </w:rPr>
        <w:t>含有“加样模块”</w:t>
      </w:r>
      <w:r>
        <w:rPr>
          <w:rFonts w:hint="eastAsia" w:ascii="Times New Roman" w:hAnsi="Times New Roman" w:eastAsia="仿宋_GB2312"/>
          <w:sz w:val="32"/>
          <w:szCs w:val="32"/>
        </w:rPr>
        <w:t>应增加对加样装置的功能性指标的要求，如加样</w:t>
      </w:r>
      <w:r>
        <w:rPr>
          <w:rFonts w:hint="eastAsia" w:ascii="Times New Roman" w:hAnsi="Times New Roman" w:eastAsia="仿宋_GB2312"/>
          <w:sz w:val="32"/>
          <w:szCs w:val="32"/>
          <w:lang w:val="en-US" w:eastAsia="zh-CN"/>
        </w:rPr>
        <w:t>体积</w:t>
      </w:r>
      <w:r>
        <w:rPr>
          <w:rFonts w:hint="eastAsia" w:ascii="Times New Roman" w:hAnsi="Times New Roman" w:eastAsia="仿宋_GB2312"/>
          <w:sz w:val="32"/>
          <w:szCs w:val="32"/>
        </w:rPr>
        <w:t>准确度</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加样</w:t>
      </w:r>
      <w:r>
        <w:rPr>
          <w:rFonts w:hint="eastAsia" w:ascii="Times New Roman" w:hAnsi="Times New Roman" w:eastAsia="仿宋_GB2312"/>
          <w:sz w:val="32"/>
          <w:szCs w:val="32"/>
        </w:rPr>
        <w:t>重复性</w:t>
      </w:r>
      <w:r>
        <w:rPr>
          <w:rFonts w:hint="eastAsia" w:ascii="Times New Roman" w:hAnsi="Times New Roman" w:eastAsia="仿宋_GB2312"/>
          <w:sz w:val="32"/>
          <w:szCs w:val="32"/>
          <w:lang w:val="en-US" w:eastAsia="zh-CN"/>
        </w:rPr>
        <w:t>和</w:t>
      </w:r>
      <w:r>
        <w:rPr>
          <w:rFonts w:hint="eastAsia" w:ascii="Times New Roman" w:hAnsi="Times New Roman" w:eastAsia="仿宋_GB2312"/>
          <w:sz w:val="32"/>
          <w:szCs w:val="32"/>
        </w:rPr>
        <w:t>样本携带污染</w:t>
      </w:r>
      <w:r>
        <w:rPr>
          <w:rFonts w:hint="eastAsia" w:ascii="Times New Roman" w:hAnsi="Times New Roman" w:eastAsia="仿宋_GB2312"/>
          <w:sz w:val="32"/>
          <w:szCs w:val="32"/>
          <w:lang w:val="en-US" w:eastAsia="zh-CN"/>
        </w:rPr>
        <w:t>等；</w:t>
      </w:r>
      <w:r>
        <w:rPr>
          <w:rFonts w:hint="eastAsia" w:ascii="Times New Roman" w:hAnsi="Times New Roman" w:eastAsia="仿宋_GB2312"/>
          <w:sz w:val="32"/>
          <w:szCs w:val="32"/>
        </w:rPr>
        <w:t>如有加热模块，应符合GB/T 42125.2的要求。</w:t>
      </w:r>
    </w:p>
    <w:p w14:paraId="57EBB787">
      <w:pPr>
        <w:widowControl/>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2.2检验报告</w:t>
      </w:r>
    </w:p>
    <w:p w14:paraId="573896C7">
      <w:pPr>
        <w:widowControl/>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可提交申请人出具的自检报告或委托有资质的医疗器械检验机构出具的检验报告。提交自检报告需满足《医疗器械注册自检管理规定》的要求。提交委托检验报告的，委托检验机构应具有相应检验资质，按照《医疗器械检验工作规范》进行检验。</w:t>
      </w:r>
    </w:p>
    <w:p w14:paraId="3BB983C5">
      <w:pPr>
        <w:widowControl/>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同一注册单元内所检验的产品应当是能够代表本注册单元内其他产品的安全性和有效性的典型产品。应考虑产品适用范围、性能指标、安全指标、结构组成等，选择功能最全、结构最复杂、风险最高的产品。若选择典型性型号检验，申报资料中应提供典型型号覆盖说明，具体原则如下：</w:t>
      </w:r>
    </w:p>
    <w:p w14:paraId="5A4FEA0C">
      <w:pPr>
        <w:widowControl/>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（1）覆盖按最不利的原则确定，不能覆盖的差异性应分别检测。</w:t>
      </w:r>
    </w:p>
    <w:p w14:paraId="52012F6F">
      <w:pPr>
        <w:widowControl/>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（2）涉及安全性、有效性的关键件应一致，不一致的应分别检测。关键件一般包含：信号采集装置、熔断器或熔断器座</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电源变压器、用作瞬态过压限制装置的电路、电机、光源</w:t>
      </w:r>
      <w:r>
        <w:rPr>
          <w:rFonts w:hint="eastAsia" w:ascii="Times New Roman" w:hAnsi="Times New Roman" w:eastAsia="仿宋_GB2312"/>
          <w:sz w:val="32"/>
          <w:szCs w:val="32"/>
          <w:lang w:eastAsia="zh-CN"/>
        </w:rPr>
        <w:t>、开关电源、滤波器、过温保护装置、</w:t>
      </w:r>
      <w:r>
        <w:rPr>
          <w:rFonts w:hint="eastAsia" w:ascii="Times New Roman" w:hAnsi="Times New Roman" w:eastAsia="仿宋_GB2312"/>
          <w:sz w:val="32"/>
          <w:szCs w:val="32"/>
        </w:rPr>
        <w:t>设备外壳材料、高完善性元器件等。</w:t>
      </w:r>
    </w:p>
    <w:p w14:paraId="62924696">
      <w:pPr>
        <w:widowControl/>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（3）当没有充足证据能够证明同一注册单元内不同型号规格产品之间电磁兼容性能可以覆盖时，应选取每一型号规格产品进行电磁兼容项目检测。</w:t>
      </w:r>
    </w:p>
    <w:p w14:paraId="1317C9E9">
      <w:pPr>
        <w:spacing w:line="520" w:lineRule="exact"/>
        <w:ind w:firstLine="636" w:firstLineChars="200"/>
        <w:rPr>
          <w:rFonts w:hint="eastAsia" w:ascii="Times New Roman" w:hAnsi="Times New Roman" w:eastAsia="仿宋_GB2312" w:cs="Times New Roman"/>
          <w:color w:val="000000"/>
          <w:spacing w:val="-1"/>
          <w:sz w:val="32"/>
          <w:szCs w:val="32"/>
        </w:rPr>
      </w:pPr>
      <w:r>
        <w:rPr>
          <w:rFonts w:hint="eastAsia" w:ascii="Times New Roman" w:hAnsi="Times New Roman" w:eastAsia="仿宋_GB2312" w:cs="Times New Roman"/>
          <w:color w:val="000000"/>
          <w:spacing w:val="-1"/>
          <w:sz w:val="32"/>
          <w:szCs w:val="32"/>
          <w:lang w:val="en-US" w:eastAsia="zh-CN"/>
        </w:rPr>
        <w:t>3.</w:t>
      </w:r>
      <w:r>
        <w:rPr>
          <w:rFonts w:hint="eastAsia" w:ascii="Times New Roman" w:hAnsi="Times New Roman" w:eastAsia="仿宋_GB2312" w:cs="Times New Roman"/>
          <w:color w:val="000000"/>
          <w:spacing w:val="-1"/>
          <w:sz w:val="32"/>
          <w:szCs w:val="32"/>
        </w:rPr>
        <w:t>研究资料</w:t>
      </w:r>
    </w:p>
    <w:p w14:paraId="040DA6B1">
      <w:pPr>
        <w:pStyle w:val="9"/>
        <w:overflowPunct w:val="0"/>
        <w:autoSpaceDE w:val="0"/>
        <w:autoSpaceDN w:val="0"/>
        <w:spacing w:line="520" w:lineRule="exact"/>
        <w:ind w:right="210" w:firstLine="640"/>
        <w:rPr>
          <w:rFonts w:ascii="Times New Roman" w:hAnsi="Times New Roman" w:eastAsia="仿宋_GB2312" w:cs="Times New Roman"/>
          <w:color w:val="000000"/>
          <w:spacing w:val="-1"/>
          <w:sz w:val="32"/>
          <w:szCs w:val="32"/>
        </w:rPr>
      </w:pPr>
      <w:r>
        <w:rPr>
          <w:rFonts w:hint="eastAsia" w:ascii="Times New Roman" w:hAnsi="Times New Roman" w:eastAsia="仿宋_GB2312" w:cs="Times New Roman"/>
          <w:color w:val="000000"/>
          <w:spacing w:val="-1"/>
          <w:sz w:val="32"/>
          <w:szCs w:val="32"/>
          <w:lang w:val="en-US" w:eastAsia="zh-CN"/>
        </w:rPr>
        <w:t>3.</w:t>
      </w:r>
      <w:r>
        <w:rPr>
          <w:rFonts w:hint="default" w:ascii="Times New Roman" w:hAnsi="Times New Roman" w:eastAsia="仿宋_GB2312" w:cs="Times New Roman"/>
          <w:color w:val="000000"/>
          <w:spacing w:val="-1"/>
          <w:sz w:val="32"/>
          <w:szCs w:val="32"/>
          <w:lang w:val="en-US" w:eastAsia="zh-CN"/>
        </w:rPr>
        <w:t>1</w:t>
      </w:r>
      <w:r>
        <w:rPr>
          <w:rFonts w:ascii="Times New Roman" w:hAnsi="Times New Roman" w:eastAsia="仿宋_GB2312" w:cs="Times New Roman"/>
          <w:color w:val="000000"/>
          <w:spacing w:val="-1"/>
          <w:sz w:val="32"/>
          <w:szCs w:val="32"/>
        </w:rPr>
        <w:t>化学和物理性能研究</w:t>
      </w:r>
    </w:p>
    <w:p w14:paraId="39B0D22C">
      <w:pPr>
        <w:widowControl/>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性能指标确定的依据应根据产品的工作原理描述设计输入来源以及临床意义，明确申报产品所采用的标准或方法、采用的原因及理论基础。适用的国家标准、行业标准中，如果有不适用的条款，也应将不适用的条款及理由予以说明。对于标准中未给出具体要求的性能指标，注册申请人应说明申报产品功能性能指标确定的依据。</w:t>
      </w:r>
    </w:p>
    <w:p w14:paraId="4E7DA56B">
      <w:pPr>
        <w:widowControl/>
        <w:snapToGrid w:val="0"/>
        <w:spacing w:line="52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注册申请人应根据申报产品的工作原理、测量原理合理制定性能参数，包括功能性、安全性指标（如电气安全与电磁兼容）。</w:t>
      </w:r>
    </w:p>
    <w:p w14:paraId="044ABB54">
      <w:pPr>
        <w:widowControl/>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申报产品</w:t>
      </w:r>
      <w:r>
        <w:rPr>
          <w:rFonts w:hint="eastAsia" w:ascii="Times New Roman" w:hAnsi="Times New Roman" w:eastAsia="仿宋_GB2312"/>
          <w:sz w:val="32"/>
          <w:szCs w:val="32"/>
          <w:lang w:val="en-US" w:eastAsia="zh-CN"/>
        </w:rPr>
        <w:t>功能性</w:t>
      </w:r>
      <w:r>
        <w:rPr>
          <w:rFonts w:hint="eastAsia" w:ascii="Times New Roman" w:hAnsi="Times New Roman" w:eastAsia="仿宋_GB2312"/>
          <w:sz w:val="32"/>
          <w:szCs w:val="32"/>
        </w:rPr>
        <w:t>研究资料：应根据综述资料中有关申报产品结构组成和各主要组成模块的情况进行，提供详细的研究资料，一般应包括对计时模块、样品传送及处理模块、</w:t>
      </w:r>
      <w:r>
        <w:rPr>
          <w:rFonts w:hint="eastAsia" w:ascii="Times New Roman" w:hAnsi="Times New Roman" w:eastAsia="仿宋_GB2312"/>
          <w:sz w:val="32"/>
          <w:szCs w:val="32"/>
          <w:lang w:eastAsia="zh-CN"/>
        </w:rPr>
        <w:t>自动接种器</w:t>
      </w:r>
      <w:r>
        <w:rPr>
          <w:rFonts w:hint="eastAsia" w:ascii="Times New Roman" w:hAnsi="Times New Roman" w:eastAsia="仿宋_GB2312"/>
          <w:sz w:val="32"/>
          <w:szCs w:val="32"/>
          <w:lang w:val="en-US" w:eastAsia="zh-CN"/>
        </w:rPr>
        <w:t>/加样</w:t>
      </w:r>
      <w:r>
        <w:rPr>
          <w:rFonts w:hint="eastAsia" w:ascii="Times New Roman" w:hAnsi="Times New Roman" w:eastAsia="仿宋_GB2312"/>
          <w:sz w:val="32"/>
          <w:szCs w:val="32"/>
          <w:lang w:eastAsia="zh-CN"/>
        </w:rPr>
        <w:t>模块（</w:t>
      </w:r>
      <w:r>
        <w:rPr>
          <w:rFonts w:hint="eastAsia" w:ascii="Times New Roman" w:hAnsi="Times New Roman" w:eastAsia="仿宋_GB2312"/>
          <w:sz w:val="32"/>
          <w:szCs w:val="32"/>
          <w:lang w:val="en-US" w:eastAsia="zh-CN"/>
        </w:rPr>
        <w:t>如适用</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温控/</w:t>
      </w:r>
      <w:r>
        <w:rPr>
          <w:rFonts w:hint="eastAsia" w:ascii="Times New Roman" w:hAnsi="Times New Roman" w:eastAsia="仿宋_GB2312"/>
          <w:sz w:val="32"/>
          <w:szCs w:val="32"/>
          <w:lang w:eastAsia="zh-CN"/>
        </w:rPr>
        <w:t>孵育模块、检测模块、机械传动模块、电路控制模块</w:t>
      </w:r>
      <w:r>
        <w:rPr>
          <w:rFonts w:hint="eastAsia" w:ascii="Times New Roman" w:hAnsi="Times New Roman" w:eastAsia="仿宋_GB2312"/>
          <w:sz w:val="32"/>
          <w:szCs w:val="32"/>
        </w:rPr>
        <w:t>的功能性指标或者模块中主要元器件功能性指标的研究资料（仅举例）</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此外还应根据产品原理的特点进行局限性研究，如：对于单细胞计数法原理，应对粒子与杂质区分程度进行研究</w:t>
      </w:r>
      <w:r>
        <w:rPr>
          <w:rFonts w:hint="eastAsia" w:ascii="Times New Roman" w:hAnsi="Times New Roman" w:eastAsia="仿宋_GB2312"/>
          <w:sz w:val="32"/>
          <w:szCs w:val="32"/>
        </w:rPr>
        <w:t>。</w:t>
      </w:r>
    </w:p>
    <w:p w14:paraId="3390A928">
      <w:pPr>
        <w:pStyle w:val="9"/>
        <w:overflowPunct w:val="0"/>
        <w:autoSpaceDE w:val="0"/>
        <w:autoSpaceDN w:val="0"/>
        <w:spacing w:line="520" w:lineRule="exact"/>
        <w:ind w:right="210" w:firstLine="64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申报产品临床项目分析性能的研究资料：建议申请人根据申报产品的工作原理</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功能性指标</w:t>
      </w:r>
      <w:r>
        <w:rPr>
          <w:rFonts w:hint="eastAsia" w:ascii="Times New Roman" w:hAnsi="Times New Roman" w:eastAsia="仿宋_GB2312"/>
          <w:sz w:val="32"/>
          <w:szCs w:val="32"/>
          <w:lang w:val="en-US" w:eastAsia="zh-CN"/>
        </w:rPr>
        <w:t>及适用菌种范围</w:t>
      </w:r>
      <w:r>
        <w:rPr>
          <w:rFonts w:hint="eastAsia" w:ascii="Times New Roman" w:hAnsi="Times New Roman" w:eastAsia="仿宋_GB2312"/>
          <w:sz w:val="32"/>
          <w:szCs w:val="32"/>
        </w:rPr>
        <w:t>，对主要性能进行系统性研究，至少包含准确度、精密度、样本携带污染率</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如适用</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等。建议采用临床样本进行准确度研究，与已上市同类产品进行方法学比对。应采用临床样本对样本携带污染率进行研究。因产品单次检验样本用量较大，可采用临床样本或模拟样本进行精密度研究。</w:t>
      </w:r>
      <w:r>
        <w:rPr>
          <w:rFonts w:hint="eastAsia" w:ascii="Times New Roman" w:hAnsi="Times New Roman" w:eastAsia="仿宋_GB2312"/>
          <w:sz w:val="32"/>
          <w:szCs w:val="32"/>
          <w:lang w:val="en-US" w:eastAsia="zh-CN"/>
        </w:rPr>
        <w:t xml:space="preserve"> 应涵盖适用范围中声称的菌种。且依据WS/T639-2018及CLSI标准，设备需覆盖临床重点致病菌及耐药表型。因此建议开展β-内酰胺酶抑制剂复合制剂、非发酵菌、耐高浓度庆大霉素肠球菌相关性能研究，完整覆盖临床主流耐药菌种与关键用药指导表型，满足临床诊疗及耐药监测要求</w:t>
      </w:r>
      <w:r>
        <w:rPr>
          <w:rFonts w:hint="eastAsia" w:ascii="Times New Roman" w:hAnsi="Times New Roman" w:eastAsia="仿宋_GB2312" w:cs="Times New Roman"/>
          <w:snapToGrid/>
          <w:color w:val="000000"/>
          <w:spacing w:val="-1"/>
          <w:kern w:val="2"/>
          <w:sz w:val="32"/>
          <w:szCs w:val="32"/>
          <w:lang w:val="en-US" w:eastAsia="zh-CN"/>
        </w:rPr>
        <w:t>。</w:t>
      </w:r>
    </w:p>
    <w:p w14:paraId="451A77F2">
      <w:pPr>
        <w:pStyle w:val="9"/>
        <w:overflowPunct w:val="0"/>
        <w:autoSpaceDE w:val="0"/>
        <w:autoSpaceDN w:val="0"/>
        <w:spacing w:line="520" w:lineRule="exact"/>
        <w:ind w:right="210" w:firstLine="640"/>
        <w:rPr>
          <w:rFonts w:ascii="Times New Roman" w:hAnsi="Times New Roman" w:eastAsia="仿宋_GB2312" w:cs="Times New Roman"/>
          <w:color w:val="000000"/>
          <w:spacing w:val="-1"/>
          <w:sz w:val="32"/>
          <w:szCs w:val="32"/>
        </w:rPr>
      </w:pPr>
      <w:r>
        <w:rPr>
          <w:rFonts w:hint="eastAsia" w:ascii="Times New Roman" w:hAnsi="Times New Roman" w:eastAsia="仿宋_GB2312" w:cs="Times New Roman"/>
          <w:color w:val="000000"/>
          <w:spacing w:val="-1"/>
          <w:sz w:val="32"/>
          <w:szCs w:val="32"/>
          <w:lang w:val="en-US" w:eastAsia="zh-CN"/>
        </w:rPr>
        <w:t>3.</w:t>
      </w:r>
      <w:r>
        <w:rPr>
          <w:rFonts w:hint="default" w:ascii="Times New Roman" w:hAnsi="Times New Roman" w:eastAsia="仿宋_GB2312" w:cs="Times New Roman"/>
          <w:color w:val="000000"/>
          <w:spacing w:val="-1"/>
          <w:sz w:val="32"/>
          <w:szCs w:val="32"/>
          <w:lang w:val="en-US" w:eastAsia="zh-CN"/>
        </w:rPr>
        <w:t>2</w:t>
      </w:r>
      <w:r>
        <w:rPr>
          <w:rFonts w:ascii="Times New Roman" w:hAnsi="Times New Roman" w:eastAsia="仿宋_GB2312" w:cs="Times New Roman"/>
          <w:color w:val="000000"/>
          <w:spacing w:val="-1"/>
          <w:sz w:val="32"/>
          <w:szCs w:val="32"/>
        </w:rPr>
        <w:t>电气系统安全性研究</w:t>
      </w:r>
    </w:p>
    <w:p w14:paraId="6E6FD9FA">
      <w:pPr>
        <w:widowControl/>
        <w:snapToGrid w:val="0"/>
        <w:spacing w:line="52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应当提供电气安全性、机械和环境保护以及电磁兼容性的研究资料，说明适用的标准以及开展的研究。</w:t>
      </w:r>
    </w:p>
    <w:p w14:paraId="5F821D1C">
      <w:pPr>
        <w:widowControl/>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电气安全应当符合GB 4793、GB</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T</w:t>
      </w: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42125.1， GB</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T</w:t>
      </w: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42125.2、YY</w:t>
      </w: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0648及其他适用的国家标准和行业标准中的要求。</w:t>
      </w:r>
    </w:p>
    <w:p w14:paraId="0507968D">
      <w:pPr>
        <w:widowControl/>
        <w:snapToGrid w:val="0"/>
        <w:spacing w:line="520" w:lineRule="exact"/>
        <w:ind w:firstLine="640" w:firstLineChars="200"/>
        <w:rPr>
          <w:rFonts w:ascii="Times New Roman" w:hAnsi="Times New Roman" w:eastAsia="仿宋_GB2312"/>
          <w:sz w:val="32"/>
          <w:szCs w:val="32"/>
          <w:highlight w:val="yellow"/>
        </w:rPr>
      </w:pPr>
      <w:r>
        <w:rPr>
          <w:rFonts w:hint="eastAsia" w:ascii="Times New Roman" w:hAnsi="Times New Roman" w:eastAsia="仿宋_GB2312"/>
          <w:sz w:val="32"/>
          <w:szCs w:val="32"/>
        </w:rPr>
        <w:t>机械和环境保护可参照GB/T 14710《医用电器环境要求及试验方法》的要求。可采用其他等效或更优方法替代。</w:t>
      </w:r>
    </w:p>
    <w:p w14:paraId="7BBD7CAF">
      <w:pPr>
        <w:pStyle w:val="9"/>
        <w:overflowPunct w:val="0"/>
        <w:autoSpaceDE w:val="0"/>
        <w:autoSpaceDN w:val="0"/>
        <w:spacing w:line="520" w:lineRule="exact"/>
        <w:ind w:right="210" w:firstLine="640"/>
        <w:rPr>
          <w:rFonts w:hint="eastAsia" w:ascii="Times New Roman" w:hAnsi="Times New Roman" w:eastAsia="仿宋_GB2312" w:cs="Times New Roman"/>
          <w:color w:val="000000"/>
          <w:spacing w:val="-1"/>
          <w:sz w:val="32"/>
          <w:szCs w:val="32"/>
          <w:lang w:val="en-US" w:eastAsia="zh-CN"/>
        </w:rPr>
      </w:pPr>
      <w:r>
        <w:rPr>
          <w:rFonts w:hint="eastAsia" w:ascii="Times New Roman" w:hAnsi="Times New Roman" w:eastAsia="仿宋_GB2312"/>
          <w:sz w:val="32"/>
          <w:szCs w:val="32"/>
        </w:rPr>
        <w:t>电磁兼容性应当符合GB/T 18268.1《测量、控制和实验室用的电设备 电磁兼容性要求 第1部分：通用要求》和GB/T 18268.26《测量、控制和实验室用的电设备 电磁兼容性要求 第26部分：特殊要求 体外诊断（IVD）医疗设备》及其他适用的国家标准和行业标准的要求。</w:t>
      </w:r>
    </w:p>
    <w:p w14:paraId="50DC690F">
      <w:pPr>
        <w:pStyle w:val="9"/>
        <w:overflowPunct w:val="0"/>
        <w:autoSpaceDE w:val="0"/>
        <w:autoSpaceDN w:val="0"/>
        <w:spacing w:line="520" w:lineRule="exact"/>
        <w:ind w:right="210" w:firstLine="640"/>
        <w:rPr>
          <w:rFonts w:ascii="Times New Roman" w:hAnsi="Times New Roman" w:eastAsia="仿宋_GB2312" w:cs="Times New Roman"/>
          <w:color w:val="000000"/>
          <w:spacing w:val="-1"/>
          <w:sz w:val="32"/>
          <w:szCs w:val="32"/>
        </w:rPr>
      </w:pPr>
      <w:r>
        <w:rPr>
          <w:rFonts w:hint="eastAsia" w:ascii="Times New Roman" w:hAnsi="Times New Roman" w:eastAsia="仿宋_GB2312" w:cs="Times New Roman"/>
          <w:color w:val="000000"/>
          <w:spacing w:val="-1"/>
          <w:sz w:val="32"/>
          <w:szCs w:val="32"/>
          <w:lang w:val="en-US" w:eastAsia="zh-CN"/>
        </w:rPr>
        <w:t>3.</w:t>
      </w:r>
      <w:r>
        <w:rPr>
          <w:rFonts w:hint="default" w:ascii="Times New Roman" w:hAnsi="Times New Roman" w:eastAsia="仿宋_GB2312" w:cs="Times New Roman"/>
          <w:color w:val="000000"/>
          <w:spacing w:val="-1"/>
          <w:sz w:val="32"/>
          <w:szCs w:val="32"/>
          <w:lang w:val="en-US" w:eastAsia="zh-CN"/>
        </w:rPr>
        <w:t>3</w:t>
      </w:r>
      <w:r>
        <w:rPr>
          <w:rFonts w:hint="eastAsia" w:ascii="Times New Roman" w:hAnsi="Times New Roman" w:eastAsia="仿宋_GB2312"/>
          <w:sz w:val="32"/>
          <w:szCs w:val="32"/>
        </w:rPr>
        <w:t>软件及网络安全研究</w:t>
      </w:r>
    </w:p>
    <w:p w14:paraId="2A426E05">
      <w:pPr>
        <w:widowControl/>
        <w:snapToGrid w:val="0"/>
        <w:spacing w:line="52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应参照《医疗器械软件注册审查指导原则（2022年修订版）》的要求提供研究资料，内容包括基本信息、实现过程、核心功能、结论等内容，详尽程度取决于软件安全性级别（严重、中等、轻微）。其中，基本信息包括软件标识、安全性级别、结构功能、物理拓扑、运行环境、注册历史，实现过程包括开发概况、风险管理、需求规范、生存周期、验证与确认、可追溯性分析、缺陷管理、更新历史，明确核心功能、核心算法、预期用途的对应关系。</w:t>
      </w:r>
    </w:p>
    <w:p w14:paraId="404BCCC2">
      <w:pPr>
        <w:spacing w:line="520" w:lineRule="exact"/>
        <w:ind w:firstLine="640" w:firstLineChars="200"/>
        <w:rPr>
          <w:rFonts w:hint="eastAsia" w:ascii="Times New Roman" w:hAnsi="Times New Roman" w:eastAsia="仿宋_GB2312"/>
          <w:snapToGrid/>
          <w:kern w:val="2"/>
          <w:sz w:val="32"/>
          <w:szCs w:val="32"/>
          <w:lang w:val="en-US" w:eastAsia="zh-CN"/>
        </w:rPr>
      </w:pPr>
      <w:r>
        <w:rPr>
          <w:rFonts w:hint="eastAsia" w:ascii="Times New Roman" w:hAnsi="Times New Roman" w:eastAsia="仿宋_GB2312"/>
          <w:snapToGrid/>
          <w:kern w:val="2"/>
          <w:sz w:val="32"/>
          <w:szCs w:val="32"/>
          <w:lang w:val="en-US" w:eastAsia="zh-CN"/>
        </w:rPr>
        <w:t>其中，核心算法应明确鉴定逻辑、MIC判定逻辑、药敏报告遵循的判读标准（CLSI/EUCAST等）。</w:t>
      </w:r>
    </w:p>
    <w:p w14:paraId="2EF1A23C">
      <w:pPr>
        <w:widowControl/>
        <w:snapToGrid w:val="0"/>
        <w:spacing w:line="520" w:lineRule="exact"/>
        <w:ind w:firstLine="640" w:firstLineChars="20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由于不同样本类型对应禁报药物不同，软件应具有根据样本类型，选择可报告药物的功能。且应明确对应的软件界面。此部分内容应在说明书中予以明确。</w:t>
      </w:r>
    </w:p>
    <w:p w14:paraId="5125F84E">
      <w:pPr>
        <w:widowControl/>
        <w:snapToGrid w:val="0"/>
        <w:spacing w:line="520" w:lineRule="exact"/>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不同样本类型禁报药物举例：</w:t>
      </w:r>
    </w:p>
    <w:p w14:paraId="77E68F19">
      <w:pPr>
        <w:widowControl/>
        <w:snapToGrid w:val="0"/>
        <w:spacing w:line="520" w:lineRule="exact"/>
        <w:ind w:firstLine="640" w:firstLineChars="200"/>
        <w:rPr>
          <w:rFonts w:hint="default" w:ascii="Times New Roman" w:hAnsi="Times New Roman" w:eastAsia="仿宋_GB2312"/>
          <w:sz w:val="32"/>
          <w:szCs w:val="32"/>
          <w:lang w:val="en-US" w:eastAsia="zh-CN"/>
        </w:rPr>
      </w:pPr>
      <w:r>
        <w:rPr>
          <w:rFonts w:hint="default" w:ascii="Times New Roman" w:hAnsi="Times New Roman" w:eastAsia="仿宋_GB2312"/>
          <w:sz w:val="32"/>
          <w:szCs w:val="32"/>
          <w:lang w:val="en-US" w:eastAsia="zh-CN"/>
        </w:rPr>
        <w:t>脑脊液标本：所有口服剂型抗菌药物、一代/二代头孢菌素（静脉用头孢呋辛除外）、头霉素类、克林霉素、大环内酯类、四环素类；核心原因是无法穿透血脑屏障，无颅内抗感染疗效。</w:t>
      </w:r>
    </w:p>
    <w:p w14:paraId="2454B9B1">
      <w:pPr>
        <w:widowControl/>
        <w:snapToGrid w:val="0"/>
        <w:spacing w:line="520" w:lineRule="exact"/>
        <w:ind w:firstLine="640" w:firstLineChars="200"/>
        <w:rPr>
          <w:rFonts w:hint="default" w:ascii="Times New Roman" w:hAnsi="Times New Roman" w:eastAsia="仿宋_GB2312"/>
          <w:sz w:val="32"/>
          <w:szCs w:val="32"/>
          <w:lang w:val="en-US" w:eastAsia="zh-CN"/>
        </w:rPr>
      </w:pPr>
      <w:r>
        <w:rPr>
          <w:rFonts w:hint="default" w:ascii="Times New Roman" w:hAnsi="Times New Roman" w:eastAsia="仿宋_GB2312"/>
          <w:sz w:val="32"/>
          <w:szCs w:val="32"/>
          <w:lang w:val="en-US" w:eastAsia="zh-CN"/>
        </w:rPr>
        <w:t>呼吸道/痰液标本：达托霉素；核心原因为药物会被肺泡表面活性物质灭活，肺部感染无治疗价值，属于绝对禁报药物。</w:t>
      </w:r>
    </w:p>
    <w:p w14:paraId="0E021178">
      <w:pPr>
        <w:widowControl/>
        <w:snapToGrid w:val="0"/>
        <w:spacing w:line="520" w:lineRule="exact"/>
        <w:ind w:firstLine="640" w:firstLineChars="200"/>
        <w:rPr>
          <w:rFonts w:hint="default" w:ascii="Times New Roman" w:hAnsi="Times New Roman" w:eastAsia="仿宋_GB2312"/>
          <w:sz w:val="32"/>
          <w:szCs w:val="32"/>
          <w:lang w:val="en-US" w:eastAsia="zh-CN"/>
        </w:rPr>
      </w:pPr>
      <w:r>
        <w:rPr>
          <w:rFonts w:hint="default" w:ascii="Times New Roman" w:hAnsi="Times New Roman" w:eastAsia="仿宋_GB2312"/>
          <w:sz w:val="32"/>
          <w:szCs w:val="32"/>
          <w:lang w:val="en-US" w:eastAsia="zh-CN"/>
        </w:rPr>
        <w:t>血液/无菌体液标本：呋喃妥因、磷霉素氨丁三醇等仅适用于</w:t>
      </w:r>
      <w:r>
        <w:rPr>
          <w:rFonts w:hint="eastAsia" w:ascii="Times New Roman" w:hAnsi="Times New Roman" w:eastAsia="仿宋_GB2312"/>
          <w:sz w:val="32"/>
          <w:szCs w:val="32"/>
          <w:lang w:val="en-US" w:eastAsia="zh-CN"/>
        </w:rPr>
        <w:t>尿路</w:t>
      </w:r>
      <w:r>
        <w:rPr>
          <w:rFonts w:hint="default" w:ascii="Times New Roman" w:hAnsi="Times New Roman" w:eastAsia="仿宋_GB2312"/>
          <w:sz w:val="32"/>
          <w:szCs w:val="32"/>
          <w:lang w:val="en-US" w:eastAsia="zh-CN"/>
        </w:rPr>
        <w:t>感染的药物，全身感染场景无用药价值，禁止检测报告。</w:t>
      </w:r>
    </w:p>
    <w:p w14:paraId="07069149">
      <w:pPr>
        <w:widowControl/>
        <w:snapToGrid w:val="0"/>
        <w:spacing w:line="520" w:lineRule="exact"/>
        <w:ind w:firstLine="640" w:firstLineChars="200"/>
        <w:rPr>
          <w:rFonts w:hint="default" w:ascii="Times New Roman" w:hAnsi="Times New Roman" w:eastAsia="仿宋_GB2312"/>
          <w:sz w:val="32"/>
          <w:szCs w:val="32"/>
          <w:lang w:val="en-US" w:eastAsia="zh-CN"/>
        </w:rPr>
      </w:pPr>
      <w:r>
        <w:rPr>
          <w:rFonts w:hint="eastAsia" w:ascii="Times New Roman" w:hAnsi="Times New Roman" w:eastAsia="仿宋_GB2312"/>
          <w:kern w:val="2"/>
          <w:sz w:val="32"/>
          <w:szCs w:val="32"/>
          <w:highlight w:val="none"/>
          <w:lang w:val="en-US" w:eastAsia="zh-CN"/>
        </w:rPr>
        <w:t>鉴于本产品特点，产品判读数据库中的相关信息（如：折点等）直接影响判读结果，应及时更新</w:t>
      </w:r>
      <w:r>
        <w:rPr>
          <w:rFonts w:hint="eastAsia" w:ascii="Times New Roman" w:hAnsi="Times New Roman" w:eastAsia="仿宋_GB2312"/>
          <w:kern w:val="2"/>
          <w:sz w:val="32"/>
          <w:szCs w:val="32"/>
          <w:highlight w:val="none"/>
        </w:rPr>
        <w:t>。</w:t>
      </w:r>
      <w:r>
        <w:rPr>
          <w:rFonts w:hint="eastAsia" w:ascii="Times New Roman" w:hAnsi="Times New Roman" w:eastAsia="仿宋_GB2312"/>
          <w:kern w:val="2"/>
          <w:sz w:val="32"/>
          <w:szCs w:val="32"/>
          <w:highlight w:val="none"/>
          <w:lang w:val="en-US" w:eastAsia="zh-CN"/>
        </w:rPr>
        <w:t>且产品判读数据库的信息来源应在说明书中予以明示，如：该产品判读数据库的信息来源于CLSI M100第32版。</w:t>
      </w:r>
    </w:p>
    <w:p w14:paraId="27CD02B5">
      <w:pPr>
        <w:widowControl/>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应参照《医疗器械网络安全注册审查指导原则（2022年修订版）》提供研究资料，基本信息包括软件信息、数据架构、网络安全能力、网络安全补丁、安全软件，实现过程包括风险管理、需求规范、验证与确认、可追溯性分析、更新维护计划，漏洞评估明确已知漏洞相关信息。</w:t>
      </w:r>
    </w:p>
    <w:p w14:paraId="4EC6755D">
      <w:pPr>
        <w:pStyle w:val="8"/>
        <w:spacing w:line="520" w:lineRule="exact"/>
        <w:ind w:firstLine="636" w:firstLineChars="200"/>
        <w:jc w:val="both"/>
        <w:rPr>
          <w:rFonts w:hint="eastAsia" w:ascii="Times New Roman" w:hAnsi="Times New Roman" w:eastAsia="仿宋_GB2312"/>
          <w:sz w:val="32"/>
          <w:szCs w:val="32"/>
        </w:rPr>
      </w:pPr>
      <w:r>
        <w:rPr>
          <w:rFonts w:hint="eastAsia" w:ascii="Times New Roman" w:hAnsi="Times New Roman" w:eastAsia="仿宋_GB2312" w:cs="Times New Roman"/>
          <w:color w:val="000000"/>
          <w:spacing w:val="-1"/>
          <w:sz w:val="32"/>
          <w:szCs w:val="32"/>
          <w:lang w:val="en-US" w:eastAsia="zh-CN"/>
        </w:rPr>
        <w:t>3.</w:t>
      </w:r>
      <w:r>
        <w:rPr>
          <w:rFonts w:hint="default" w:ascii="Times New Roman" w:hAnsi="Times New Roman" w:eastAsia="仿宋_GB2312" w:cs="Times New Roman"/>
          <w:color w:val="000000"/>
          <w:spacing w:val="-1"/>
          <w:sz w:val="32"/>
          <w:szCs w:val="32"/>
          <w:lang w:val="en-US" w:eastAsia="zh-CN"/>
        </w:rPr>
        <w:t>4</w:t>
      </w:r>
      <w:r>
        <w:rPr>
          <w:rFonts w:hint="eastAsia" w:ascii="Times New Roman" w:hAnsi="Times New Roman" w:eastAsia="仿宋_GB2312"/>
          <w:sz w:val="32"/>
          <w:szCs w:val="32"/>
        </w:rPr>
        <w:t>稳定性研究</w:t>
      </w:r>
    </w:p>
    <w:p w14:paraId="3A9130F2">
      <w:pPr>
        <w:pStyle w:val="8"/>
        <w:spacing w:line="520" w:lineRule="exact"/>
        <w:ind w:firstLine="640" w:firstLineChars="200"/>
        <w:jc w:val="both"/>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3.4</w:t>
      </w:r>
      <w:r>
        <w:rPr>
          <w:rFonts w:hint="eastAsia" w:ascii="Times New Roman" w:hAnsi="Times New Roman" w:eastAsia="仿宋_GB2312"/>
          <w:sz w:val="32"/>
          <w:szCs w:val="32"/>
        </w:rPr>
        <w:t>.1使用稳定性</w:t>
      </w:r>
    </w:p>
    <w:p w14:paraId="6DB27008">
      <w:pPr>
        <w:pStyle w:val="8"/>
        <w:spacing w:line="52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应参照《有源医疗器械使用期限注册技术审查指导原则》的相关要求。</w:t>
      </w:r>
    </w:p>
    <w:p w14:paraId="1CE6C94C">
      <w:pPr>
        <w:pStyle w:val="8"/>
        <w:spacing w:line="520" w:lineRule="exact"/>
        <w:ind w:firstLine="640"/>
        <w:jc w:val="both"/>
        <w:rPr>
          <w:rFonts w:hint="eastAsia" w:ascii="Times New Roman" w:hAnsi="Times New Roman" w:eastAsia="仿宋_GB2312"/>
          <w:sz w:val="32"/>
          <w:szCs w:val="32"/>
        </w:rPr>
      </w:pPr>
      <w:r>
        <w:rPr>
          <w:rFonts w:hint="eastAsia" w:ascii="Times New Roman" w:hAnsi="Times New Roman" w:eastAsia="仿宋_GB2312"/>
          <w:sz w:val="32"/>
          <w:szCs w:val="32"/>
        </w:rPr>
        <w:t>应对申报产品中包含的易耗、易损、需定期更换或者具有固定使用寿命的主要元器件的情况进行详细描述。详述确定产品使用期限的具体理由和相关验证数据，给出产品使用期限</w:t>
      </w:r>
      <w:r>
        <w:rPr>
          <w:rFonts w:ascii="Times New Roman" w:hAnsi="Times New Roman" w:eastAsia="仿宋_GB2312"/>
          <w:sz w:val="32"/>
          <w:szCs w:val="32"/>
        </w:rPr>
        <w:t>。</w:t>
      </w:r>
      <w:r>
        <w:rPr>
          <w:rFonts w:hint="eastAsia" w:ascii="Times New Roman" w:hAnsi="Times New Roman" w:eastAsia="仿宋_GB2312"/>
          <w:sz w:val="32"/>
          <w:szCs w:val="32"/>
        </w:rPr>
        <w:t>主要元器件一般包括信号采集装置、熔断器或熔断器座、电源变压器、用作瞬态过压限制装置的电路、电机、光源</w:t>
      </w:r>
      <w:r>
        <w:rPr>
          <w:rFonts w:hint="eastAsia" w:ascii="Times New Roman" w:hAnsi="Times New Roman" w:eastAsia="仿宋_GB2312"/>
          <w:sz w:val="32"/>
          <w:szCs w:val="32"/>
          <w:lang w:eastAsia="zh-CN"/>
        </w:rPr>
        <w:t>、开关电源、滤波器、过温保护装置、</w:t>
      </w:r>
      <w:r>
        <w:rPr>
          <w:rFonts w:hint="eastAsia" w:ascii="Times New Roman" w:hAnsi="Times New Roman" w:eastAsia="仿宋_GB2312"/>
          <w:sz w:val="32"/>
          <w:szCs w:val="32"/>
        </w:rPr>
        <w:t>设备外壳材料、高完善性元器件等部件</w:t>
      </w:r>
      <w:r>
        <w:rPr>
          <w:rFonts w:hint="eastAsia" w:ascii="Times New Roman" w:hAnsi="Times New Roman" w:eastAsia="仿宋_GB2312"/>
          <w:sz w:val="32"/>
          <w:szCs w:val="32"/>
          <w:lang w:eastAsia="zh-CN"/>
        </w:rPr>
        <w:t>。</w:t>
      </w:r>
    </w:p>
    <w:p w14:paraId="6DA11B3F">
      <w:pPr>
        <w:pStyle w:val="8"/>
        <w:spacing w:line="520" w:lineRule="exact"/>
        <w:ind w:firstLine="640" w:firstLineChars="200"/>
        <w:jc w:val="both"/>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3.4</w:t>
      </w:r>
      <w:r>
        <w:rPr>
          <w:rFonts w:hint="eastAsia" w:ascii="Times New Roman" w:hAnsi="Times New Roman" w:eastAsia="仿宋_GB2312"/>
          <w:sz w:val="32"/>
          <w:szCs w:val="32"/>
        </w:rPr>
        <w:t>.2运输稳定性</w:t>
      </w:r>
    </w:p>
    <w:p w14:paraId="7A13C636">
      <w:pPr>
        <w:pStyle w:val="9"/>
        <w:overflowPunct w:val="0"/>
        <w:autoSpaceDE w:val="0"/>
        <w:autoSpaceDN w:val="0"/>
        <w:spacing w:line="520" w:lineRule="exact"/>
        <w:ind w:right="210" w:firstLine="640"/>
        <w:rPr>
          <w:rFonts w:hint="default" w:ascii="Times New Roman" w:hAnsi="Times New Roman" w:eastAsia="仿宋_GB2312" w:cs="Times New Roman"/>
          <w:color w:val="000000"/>
          <w:spacing w:val="-1"/>
          <w:sz w:val="32"/>
          <w:szCs w:val="32"/>
          <w:lang w:val="en-US" w:eastAsia="zh-CN"/>
        </w:rPr>
      </w:pPr>
      <w:r>
        <w:rPr>
          <w:rFonts w:ascii="Times New Roman" w:hAnsi="Times New Roman" w:eastAsia="仿宋_GB2312"/>
          <w:sz w:val="32"/>
          <w:szCs w:val="32"/>
        </w:rPr>
        <w:t>需提交运输稳定性验证资料，证明在规定的运输条件下，运输过程中环境条件（例如：震动、振动、温度和湿度的波动）不会对医疗器械的特性和性能，包括完整性和清洁度，造成不利影响。可参考GB/T 14710的要求进行研究。注册申请人应结合声称的储运条件开展包装和环境试验研究，并论述研究设置的合理性。应在申请人所声称的储运条件下进行性能测试，证明运输和环境测试后产品能够保持其完整性和功能性。</w:t>
      </w:r>
    </w:p>
    <w:p w14:paraId="60F6A65D">
      <w:pPr>
        <w:pStyle w:val="9"/>
        <w:overflowPunct w:val="0"/>
        <w:autoSpaceDE w:val="0"/>
        <w:autoSpaceDN w:val="0"/>
        <w:spacing w:line="520" w:lineRule="exact"/>
        <w:ind w:right="210" w:firstLine="636" w:firstLineChars="200"/>
        <w:rPr>
          <w:rFonts w:hint="default" w:ascii="Times New Roman" w:hAnsi="Times New Roman" w:eastAsia="仿宋_GB2312" w:cs="Times New Roman"/>
          <w:color w:val="000000"/>
          <w:spacing w:val="-1"/>
          <w:sz w:val="32"/>
          <w:szCs w:val="32"/>
          <w:lang w:val="en-US" w:eastAsia="zh-CN"/>
        </w:rPr>
      </w:pPr>
      <w:r>
        <w:rPr>
          <w:rFonts w:hint="eastAsia" w:ascii="Times New Roman" w:hAnsi="Times New Roman" w:eastAsia="仿宋_GB2312" w:cs="Times New Roman"/>
          <w:color w:val="000000"/>
          <w:spacing w:val="-1"/>
          <w:sz w:val="32"/>
          <w:szCs w:val="32"/>
          <w:lang w:val="en-US" w:eastAsia="zh-CN"/>
        </w:rPr>
        <w:t>3.5</w:t>
      </w:r>
      <w:r>
        <w:rPr>
          <w:rFonts w:ascii="Times New Roman" w:hAnsi="Times New Roman" w:eastAsia="仿宋_GB2312" w:cs="Times New Roman"/>
          <w:color w:val="000000"/>
          <w:spacing w:val="-1"/>
          <w:sz w:val="32"/>
          <w:szCs w:val="32"/>
        </w:rPr>
        <w:t>清洁、消毒、灭菌研究</w:t>
      </w:r>
    </w:p>
    <w:p w14:paraId="38CCD7CC">
      <w:pPr>
        <w:pStyle w:val="9"/>
        <w:overflowPunct w:val="0"/>
        <w:autoSpaceDE w:val="0"/>
        <w:autoSpaceDN w:val="0"/>
        <w:spacing w:line="520" w:lineRule="exact"/>
        <w:ind w:right="210" w:firstLine="636" w:firstLineChars="200"/>
        <w:rPr>
          <w:rFonts w:hint="eastAsia" w:ascii="Times New Roman" w:hAnsi="Times New Roman" w:eastAsia="仿宋_GB2312" w:cs="Times New Roman"/>
          <w:color w:val="000000"/>
          <w:spacing w:val="-1"/>
          <w:sz w:val="32"/>
          <w:szCs w:val="32"/>
        </w:rPr>
      </w:pPr>
      <w:r>
        <w:rPr>
          <w:rFonts w:hint="eastAsia" w:ascii="Times New Roman" w:hAnsi="Times New Roman" w:eastAsia="仿宋_GB2312" w:cs="Times New Roman"/>
          <w:color w:val="000000"/>
          <w:spacing w:val="-1"/>
          <w:sz w:val="32"/>
          <w:szCs w:val="32"/>
          <w:lang w:val="en-US" w:eastAsia="zh-CN"/>
        </w:rPr>
        <w:t>如在测试过程中样本在机仓内部有喷溅、洒漏风险，应</w:t>
      </w:r>
      <w:r>
        <w:rPr>
          <w:rFonts w:hint="default" w:ascii="Times New Roman" w:hAnsi="Times New Roman" w:eastAsia="仿宋_GB2312" w:cs="Times New Roman"/>
          <w:color w:val="000000"/>
          <w:spacing w:val="-1"/>
          <w:sz w:val="32"/>
          <w:szCs w:val="32"/>
        </w:rPr>
        <w:t>提交清洁、消毒方法验证资料，明确消毒剂、作用时间</w:t>
      </w:r>
      <w:r>
        <w:rPr>
          <w:rFonts w:hint="eastAsia" w:ascii="Times New Roman" w:hAnsi="Times New Roman" w:eastAsia="仿宋_GB2312" w:cs="Times New Roman"/>
          <w:color w:val="000000"/>
          <w:spacing w:val="-1"/>
          <w:sz w:val="32"/>
          <w:szCs w:val="32"/>
          <w:lang w:eastAsia="zh-CN"/>
        </w:rPr>
        <w:t>。</w:t>
      </w:r>
      <w:r>
        <w:rPr>
          <w:rFonts w:hint="eastAsia" w:ascii="Times New Roman" w:hAnsi="Times New Roman" w:eastAsia="仿宋_GB2312" w:cs="Times New Roman"/>
          <w:color w:val="000000"/>
          <w:spacing w:val="-1"/>
          <w:sz w:val="32"/>
          <w:szCs w:val="32"/>
          <w:lang w:val="en-US" w:eastAsia="zh-CN"/>
        </w:rPr>
        <w:t>提交污染处理方法的验证资料。</w:t>
      </w:r>
    </w:p>
    <w:p w14:paraId="1E5160B0">
      <w:pPr>
        <w:spacing w:line="520" w:lineRule="exact"/>
        <w:ind w:firstLine="636" w:firstLineChars="200"/>
        <w:rPr>
          <w:rFonts w:hint="eastAsia" w:ascii="Times New Roman" w:hAnsi="Times New Roman" w:eastAsia="仿宋_GB2312" w:cs="Times New Roman"/>
          <w:color w:val="000000"/>
          <w:spacing w:val="-1"/>
          <w:sz w:val="32"/>
          <w:szCs w:val="32"/>
          <w:lang w:val="en-US" w:eastAsia="zh-CN"/>
        </w:rPr>
      </w:pPr>
      <w:r>
        <w:rPr>
          <w:rFonts w:hint="eastAsia" w:ascii="Times New Roman" w:hAnsi="Times New Roman" w:eastAsia="仿宋_GB2312" w:cs="Times New Roman"/>
          <w:color w:val="000000"/>
          <w:spacing w:val="-1"/>
          <w:sz w:val="32"/>
          <w:szCs w:val="32"/>
          <w:lang w:val="en-US" w:eastAsia="zh-CN"/>
        </w:rPr>
        <w:t>3.6</w:t>
      </w:r>
      <w:r>
        <w:rPr>
          <w:rFonts w:hint="eastAsia" w:ascii="Times New Roman" w:hAnsi="Times New Roman" w:eastAsia="仿宋_GB2312" w:cs="Times New Roman"/>
          <w:color w:val="000000"/>
          <w:spacing w:val="-1"/>
          <w:sz w:val="32"/>
          <w:szCs w:val="32"/>
        </w:rPr>
        <w:t>可用性工程</w:t>
      </w:r>
      <w:r>
        <w:rPr>
          <w:rFonts w:hint="eastAsia" w:ascii="Times New Roman" w:hAnsi="Times New Roman" w:eastAsia="仿宋_GB2312" w:cs="Times New Roman"/>
          <w:color w:val="000000"/>
          <w:spacing w:val="-1"/>
          <w:sz w:val="32"/>
          <w:szCs w:val="32"/>
          <w:lang w:val="en-US" w:eastAsia="zh-CN"/>
        </w:rPr>
        <w:t>研究</w:t>
      </w:r>
    </w:p>
    <w:p w14:paraId="6C3BB635">
      <w:pPr>
        <w:spacing w:line="520" w:lineRule="exact"/>
        <w:ind w:firstLine="636" w:firstLineChars="200"/>
        <w:rPr>
          <w:rFonts w:hint="eastAsia" w:ascii="Times New Roman" w:hAnsi="Times New Roman" w:eastAsia="仿宋_GB2312"/>
          <w:sz w:val="32"/>
          <w:szCs w:val="32"/>
        </w:rPr>
      </w:pPr>
      <w:r>
        <w:rPr>
          <w:rFonts w:hint="eastAsia" w:ascii="Times New Roman" w:hAnsi="Times New Roman" w:eastAsia="仿宋_GB2312" w:cs="Times New Roman"/>
          <w:color w:val="000000"/>
          <w:spacing w:val="-1"/>
          <w:sz w:val="32"/>
          <w:szCs w:val="32"/>
        </w:rPr>
        <w:t>微生物</w:t>
      </w:r>
      <w:r>
        <w:rPr>
          <w:rFonts w:hint="eastAsia" w:ascii="Times New Roman" w:hAnsi="Times New Roman" w:eastAsia="仿宋_GB2312" w:cs="Times New Roman"/>
          <w:color w:val="000000"/>
          <w:spacing w:val="-1"/>
          <w:sz w:val="32"/>
          <w:szCs w:val="32"/>
          <w:lang w:eastAsia="zh-CN"/>
        </w:rPr>
        <w:t>（</w:t>
      </w:r>
      <w:r>
        <w:rPr>
          <w:rFonts w:hint="eastAsia" w:ascii="Times New Roman" w:hAnsi="Times New Roman" w:eastAsia="仿宋_GB2312" w:cs="Times New Roman"/>
          <w:color w:val="000000"/>
          <w:spacing w:val="-1"/>
          <w:sz w:val="32"/>
          <w:szCs w:val="32"/>
          <w:lang w:val="en-US" w:eastAsia="zh-CN"/>
        </w:rPr>
        <w:t>鉴定</w:t>
      </w:r>
      <w:r>
        <w:rPr>
          <w:rFonts w:hint="eastAsia" w:ascii="Times New Roman" w:hAnsi="Times New Roman" w:eastAsia="仿宋_GB2312" w:cs="Times New Roman"/>
          <w:color w:val="000000"/>
          <w:spacing w:val="-1"/>
          <w:sz w:val="32"/>
          <w:szCs w:val="32"/>
          <w:lang w:eastAsia="zh-CN"/>
        </w:rPr>
        <w:t>）</w:t>
      </w:r>
      <w:r>
        <w:rPr>
          <w:rFonts w:hint="eastAsia" w:ascii="Times New Roman" w:hAnsi="Times New Roman" w:eastAsia="仿宋_GB2312" w:cs="Times New Roman"/>
          <w:color w:val="000000"/>
          <w:spacing w:val="-1"/>
          <w:sz w:val="32"/>
          <w:szCs w:val="32"/>
        </w:rPr>
        <w:t>药敏分析仪</w:t>
      </w:r>
      <w:r>
        <w:rPr>
          <w:rFonts w:hint="eastAsia" w:ascii="Times New Roman" w:hAnsi="Times New Roman" w:eastAsia="仿宋_GB2312"/>
          <w:sz w:val="32"/>
          <w:szCs w:val="32"/>
        </w:rPr>
        <w:t>属于中、低使用风险医疗器械，建议参考《医疗器械可用性工程注册审查指导原则》提交使用错误评估报告，包括基本信息、使用风险级别、核心要素、同类医疗器械上市后使用问题分析、使用风险管理、结论等内容。若前期已开展可用性工程工作，亦可提交可用性工程研究报告，用于替代使用错误评估报告。</w:t>
      </w:r>
    </w:p>
    <w:p w14:paraId="53BEC4C1">
      <w:pPr>
        <w:widowControl/>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val="en-US" w:eastAsia="zh-CN"/>
        </w:rPr>
        <w:t>3.7</w:t>
      </w:r>
      <w:r>
        <w:rPr>
          <w:rFonts w:hint="eastAsia" w:ascii="Times New Roman" w:hAnsi="Times New Roman" w:eastAsia="仿宋_GB2312"/>
          <w:sz w:val="32"/>
          <w:szCs w:val="32"/>
        </w:rPr>
        <w:t>其他资料</w:t>
      </w:r>
    </w:p>
    <w:p w14:paraId="5C2206BC">
      <w:pPr>
        <w:widowControl/>
        <w:snapToGrid w:val="0"/>
        <w:spacing w:line="520" w:lineRule="exact"/>
        <w:ind w:firstLine="636" w:firstLineChars="200"/>
        <w:rPr>
          <w:rFonts w:ascii="Times New Roman" w:hAnsi="Times New Roman" w:eastAsia="仿宋_GB2312"/>
          <w:sz w:val="32"/>
          <w:szCs w:val="32"/>
        </w:rPr>
      </w:pPr>
      <w:r>
        <w:rPr>
          <w:rFonts w:hint="eastAsia" w:ascii="Times New Roman" w:hAnsi="Times New Roman" w:eastAsia="仿宋_GB2312" w:cs="Times New Roman"/>
          <w:color w:val="000000"/>
          <w:spacing w:val="-1"/>
          <w:sz w:val="32"/>
          <w:szCs w:val="32"/>
        </w:rPr>
        <w:t>微生物</w:t>
      </w:r>
      <w:r>
        <w:rPr>
          <w:rFonts w:hint="eastAsia" w:ascii="Times New Roman" w:hAnsi="Times New Roman" w:eastAsia="仿宋_GB2312" w:cs="Times New Roman"/>
          <w:color w:val="000000"/>
          <w:spacing w:val="-1"/>
          <w:sz w:val="32"/>
          <w:szCs w:val="32"/>
          <w:lang w:eastAsia="zh-CN"/>
        </w:rPr>
        <w:t>（</w:t>
      </w:r>
      <w:r>
        <w:rPr>
          <w:rFonts w:hint="eastAsia" w:ascii="Times New Roman" w:hAnsi="Times New Roman" w:eastAsia="仿宋_GB2312" w:cs="Times New Roman"/>
          <w:color w:val="000000"/>
          <w:spacing w:val="-1"/>
          <w:sz w:val="32"/>
          <w:szCs w:val="32"/>
          <w:lang w:val="en-US" w:eastAsia="zh-CN"/>
        </w:rPr>
        <w:t>鉴定</w:t>
      </w:r>
      <w:r>
        <w:rPr>
          <w:rFonts w:hint="eastAsia" w:ascii="Times New Roman" w:hAnsi="Times New Roman" w:eastAsia="仿宋_GB2312" w:cs="Times New Roman"/>
          <w:color w:val="000000"/>
          <w:spacing w:val="-1"/>
          <w:sz w:val="32"/>
          <w:szCs w:val="32"/>
          <w:lang w:eastAsia="zh-CN"/>
        </w:rPr>
        <w:t>）</w:t>
      </w:r>
      <w:r>
        <w:rPr>
          <w:rFonts w:hint="eastAsia" w:ascii="Times New Roman" w:hAnsi="Times New Roman" w:eastAsia="仿宋_GB2312" w:cs="Times New Roman"/>
          <w:color w:val="000000"/>
          <w:spacing w:val="-1"/>
          <w:sz w:val="32"/>
          <w:szCs w:val="32"/>
        </w:rPr>
        <w:t>药敏分析仪</w:t>
      </w:r>
      <w:r>
        <w:rPr>
          <w:rFonts w:hint="eastAsia" w:ascii="Times New Roman" w:hAnsi="Times New Roman" w:eastAsia="仿宋_GB2312"/>
          <w:sz w:val="32"/>
          <w:szCs w:val="32"/>
        </w:rPr>
        <w:t>（22-0</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-06）属于列入《免于进行临床评价的医疗器械目录》（以下简称“目录”）中的产品，应当按照《列入免于进行临床评价医疗器械目录产品对比说明技术指导原则》，从基本原理、结构组成、性能、安全性、适用范围等方面，证明产品的安全有效性。</w:t>
      </w:r>
    </w:p>
    <w:p w14:paraId="69542E37">
      <w:pPr>
        <w:spacing w:line="520" w:lineRule="exact"/>
        <w:ind w:right="-67" w:rightChars="-32" w:firstLine="640" w:firstLineChars="200"/>
        <w:outlineLvl w:val="1"/>
        <w:rPr>
          <w:rFonts w:hint="eastAsia" w:ascii="Times New Roman" w:hAnsi="Times New Roman" w:eastAsia="楷体_GB2312" w:cs="Times New Roman"/>
          <w:color w:val="000000"/>
          <w:sz w:val="32"/>
          <w:szCs w:val="32"/>
        </w:rPr>
      </w:pPr>
      <w:r>
        <w:rPr>
          <w:rFonts w:hint="eastAsia" w:ascii="Times New Roman" w:hAnsi="Times New Roman" w:eastAsia="楷体_GB2312" w:cs="Times New Roman"/>
          <w:color w:val="000000"/>
          <w:sz w:val="32"/>
          <w:szCs w:val="32"/>
        </w:rPr>
        <w:t>（四）临床评价资料</w:t>
      </w:r>
    </w:p>
    <w:p w14:paraId="7CE1BB5F">
      <w:pPr>
        <w:spacing w:line="520" w:lineRule="exact"/>
        <w:ind w:firstLine="636" w:firstLineChars="200"/>
        <w:rPr>
          <w:rFonts w:hint="eastAsia" w:ascii="Times New Roman" w:hAnsi="Times New Roman" w:eastAsia="仿宋_GB2312" w:cs="Times New Roman"/>
          <w:color w:val="000000"/>
          <w:spacing w:val="-1"/>
          <w:sz w:val="32"/>
          <w:szCs w:val="32"/>
        </w:rPr>
      </w:pPr>
      <w:r>
        <w:rPr>
          <w:rFonts w:hint="eastAsia" w:ascii="Times New Roman" w:hAnsi="Times New Roman" w:eastAsia="仿宋_GB2312" w:cs="Times New Roman"/>
          <w:color w:val="000000"/>
          <w:spacing w:val="-1"/>
          <w:sz w:val="32"/>
          <w:szCs w:val="32"/>
          <w:lang w:val="en-US" w:eastAsia="zh-CN"/>
        </w:rPr>
        <w:t>该</w:t>
      </w:r>
      <w:r>
        <w:rPr>
          <w:rFonts w:hint="eastAsia" w:ascii="Times New Roman" w:hAnsi="Times New Roman" w:eastAsia="仿宋_GB2312" w:cs="Times New Roman"/>
          <w:color w:val="000000"/>
          <w:spacing w:val="-1"/>
          <w:sz w:val="32"/>
          <w:szCs w:val="32"/>
        </w:rPr>
        <w:t>产品列入《免于临床评价医疗器械目录》，申请人无需提交临床</w:t>
      </w:r>
      <w:r>
        <w:rPr>
          <w:rFonts w:hint="eastAsia" w:ascii="Times New Roman" w:hAnsi="Times New Roman" w:eastAsia="仿宋_GB2312" w:cs="Times New Roman"/>
          <w:color w:val="000000"/>
          <w:spacing w:val="-1"/>
          <w:sz w:val="32"/>
          <w:szCs w:val="32"/>
          <w:lang w:val="en-US" w:eastAsia="zh-CN"/>
        </w:rPr>
        <w:t>评价</w:t>
      </w:r>
      <w:r>
        <w:rPr>
          <w:rFonts w:hint="eastAsia" w:ascii="Times New Roman" w:hAnsi="Times New Roman" w:eastAsia="仿宋_GB2312" w:cs="Times New Roman"/>
          <w:color w:val="000000"/>
          <w:spacing w:val="-1"/>
          <w:sz w:val="32"/>
          <w:szCs w:val="32"/>
        </w:rPr>
        <w:t>资料。</w:t>
      </w:r>
      <w:r>
        <w:rPr>
          <w:rFonts w:ascii="Times New Roman" w:hAnsi="Times New Roman" w:eastAsia="仿宋_GB2312"/>
          <w:sz w:val="32"/>
          <w:szCs w:val="32"/>
        </w:rPr>
        <w:t>若无法证明申报产品与《免于临床评价医疗器械目录》所述的产品具有等同性，则应按照《医疗器械临床评价技术指导原则》提交临床评价资料。</w:t>
      </w:r>
    </w:p>
    <w:p w14:paraId="12CA79AE">
      <w:pPr>
        <w:spacing w:line="520" w:lineRule="exact"/>
        <w:ind w:right="-67" w:rightChars="-32" w:firstLine="640" w:firstLineChars="200"/>
        <w:outlineLvl w:val="1"/>
        <w:rPr>
          <w:rFonts w:hint="eastAsia" w:ascii="Times New Roman" w:hAnsi="Times New Roman" w:eastAsia="楷体_GB2312" w:cs="Times New Roman"/>
          <w:color w:val="000000"/>
          <w:sz w:val="32"/>
          <w:szCs w:val="32"/>
        </w:rPr>
      </w:pPr>
      <w:r>
        <w:rPr>
          <w:rFonts w:hint="eastAsia" w:ascii="Times New Roman" w:hAnsi="Times New Roman" w:eastAsia="楷体_GB2312" w:cs="Times New Roman"/>
          <w:color w:val="000000"/>
          <w:sz w:val="32"/>
          <w:szCs w:val="32"/>
        </w:rPr>
        <w:t>（五）产品说明书和标签样稿</w:t>
      </w:r>
    </w:p>
    <w:p w14:paraId="284513AB">
      <w:pPr>
        <w:pStyle w:val="8"/>
        <w:spacing w:line="520" w:lineRule="exact"/>
        <w:ind w:firstLine="636" w:firstLineChars="200"/>
        <w:jc w:val="both"/>
        <w:rPr>
          <w:rFonts w:hint="eastAsia" w:ascii="Times New Roman" w:hAnsi="Times New Roman" w:eastAsia="仿宋_GB2312"/>
          <w:sz w:val="32"/>
          <w:szCs w:val="32"/>
        </w:rPr>
      </w:pPr>
      <w:r>
        <w:rPr>
          <w:rFonts w:hint="eastAsia" w:ascii="Times New Roman" w:hAnsi="Times New Roman" w:eastAsia="仿宋_GB2312" w:cs="Times New Roman"/>
          <w:color w:val="000000"/>
          <w:spacing w:val="-1"/>
          <w:sz w:val="32"/>
          <w:szCs w:val="32"/>
        </w:rPr>
        <w:t>微生物</w:t>
      </w:r>
      <w:r>
        <w:rPr>
          <w:rFonts w:hint="eastAsia" w:ascii="Times New Roman" w:hAnsi="Times New Roman" w:eastAsia="仿宋_GB2312" w:cs="Times New Roman"/>
          <w:color w:val="000000"/>
          <w:spacing w:val="-1"/>
          <w:sz w:val="32"/>
          <w:szCs w:val="32"/>
          <w:lang w:eastAsia="zh-CN"/>
        </w:rPr>
        <w:t>（</w:t>
      </w:r>
      <w:r>
        <w:rPr>
          <w:rFonts w:hint="eastAsia" w:ascii="Times New Roman" w:hAnsi="Times New Roman" w:eastAsia="仿宋_GB2312" w:cs="Times New Roman"/>
          <w:color w:val="000000"/>
          <w:spacing w:val="-1"/>
          <w:sz w:val="32"/>
          <w:szCs w:val="32"/>
          <w:lang w:val="en-US" w:eastAsia="zh-CN"/>
        </w:rPr>
        <w:t>鉴定</w:t>
      </w:r>
      <w:r>
        <w:rPr>
          <w:rFonts w:hint="eastAsia" w:ascii="Times New Roman" w:hAnsi="Times New Roman" w:eastAsia="仿宋_GB2312" w:cs="Times New Roman"/>
          <w:color w:val="000000"/>
          <w:spacing w:val="-1"/>
          <w:sz w:val="32"/>
          <w:szCs w:val="32"/>
          <w:lang w:eastAsia="zh-CN"/>
        </w:rPr>
        <w:t>）</w:t>
      </w:r>
      <w:r>
        <w:rPr>
          <w:rFonts w:hint="eastAsia" w:ascii="Times New Roman" w:hAnsi="Times New Roman" w:eastAsia="仿宋_GB2312" w:cs="Times New Roman"/>
          <w:color w:val="000000"/>
          <w:spacing w:val="-1"/>
          <w:sz w:val="32"/>
          <w:szCs w:val="32"/>
        </w:rPr>
        <w:t>药敏分析仪</w:t>
      </w:r>
      <w:r>
        <w:rPr>
          <w:rFonts w:hint="eastAsia" w:ascii="Times New Roman" w:hAnsi="Times New Roman" w:eastAsia="仿宋_GB2312"/>
          <w:sz w:val="32"/>
          <w:szCs w:val="32"/>
        </w:rPr>
        <w:t>产品的说明书应符合《医疗器械说明书和标签管理规定》</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《医疗器械软件注册审查指导原则（2022年修订版）》</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《医疗器械网络安全注册审查指导原则（2022年修订版）》</w:t>
      </w:r>
      <w:r>
        <w:rPr>
          <w:rFonts w:ascii="Times New Roman" w:hAnsi="Times New Roman" w:eastAsia="仿宋_GB2312"/>
          <w:sz w:val="32"/>
          <w:szCs w:val="32"/>
        </w:rPr>
        <w:t>和YY/T 0466.1中的相关要求</w:t>
      </w:r>
      <w:r>
        <w:rPr>
          <w:rFonts w:hint="eastAsia" w:ascii="Times New Roman" w:hAnsi="Times New Roman" w:eastAsia="仿宋_GB2312"/>
          <w:sz w:val="32"/>
          <w:szCs w:val="32"/>
        </w:rPr>
        <w:t>。说明书、标签的内容应当真实、完整、科学，并与产品特性相一致，文字内容必须使用中文，可以附加其他语种。说明书、标签、包装标识中的文字、符号、图形、表格、数据等应相互一致，并符合相关标准和规范要求。</w:t>
      </w:r>
    </w:p>
    <w:p w14:paraId="6A52F9E2">
      <w:pPr>
        <w:spacing w:line="520" w:lineRule="exact"/>
        <w:ind w:right="-67" w:rightChars="-32" w:firstLine="640" w:firstLineChars="200"/>
        <w:outlineLvl w:val="1"/>
        <w:rPr>
          <w:rFonts w:hint="eastAsia" w:ascii="Times New Roman" w:hAnsi="Times New Roman" w:eastAsia="楷体_GB2312" w:cs="Times New Roman"/>
          <w:color w:val="000000"/>
          <w:sz w:val="32"/>
          <w:szCs w:val="32"/>
        </w:rPr>
      </w:pPr>
      <w:r>
        <w:rPr>
          <w:rFonts w:hint="eastAsia" w:ascii="Times New Roman" w:hAnsi="Times New Roman" w:eastAsia="楷体_GB2312" w:cs="Times New Roman"/>
          <w:color w:val="000000"/>
          <w:sz w:val="32"/>
          <w:szCs w:val="32"/>
        </w:rPr>
        <w:t>（六）质量管理体系文件</w:t>
      </w:r>
    </w:p>
    <w:p w14:paraId="03AED363">
      <w:pPr>
        <w:pStyle w:val="8"/>
        <w:spacing w:line="520" w:lineRule="exact"/>
        <w:ind w:firstLine="640" w:firstLineChars="200"/>
        <w:jc w:val="both"/>
        <w:rPr>
          <w:rFonts w:hint="eastAsia" w:ascii="Times New Roman" w:hAnsi="Times New Roman" w:eastAsia="仿宋_GB2312"/>
          <w:sz w:val="32"/>
          <w:szCs w:val="32"/>
        </w:rPr>
      </w:pPr>
      <w:r>
        <w:rPr>
          <w:rFonts w:hint="eastAsia" w:ascii="Times New Roman" w:hAnsi="Times New Roman" w:eastAsia="仿宋_GB2312"/>
          <w:sz w:val="32"/>
          <w:szCs w:val="32"/>
        </w:rPr>
        <w:t>应依据《关于公布医疗器械注册申报资料要求和批准证明文件格式的公告》要求提供质量管理体系核查文件。若产品有多个研制、生产场地，应概述每个研制、生产场地的实际情况。</w:t>
      </w:r>
    </w:p>
    <w:p w14:paraId="5F24A090">
      <w:pPr>
        <w:spacing w:line="520" w:lineRule="exact"/>
        <w:ind w:firstLine="640" w:firstLineChars="200"/>
        <w:outlineLvl w:val="1"/>
        <w:rPr>
          <w:rFonts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rPr>
        <w:t>应当明确产品生产工艺过程</w:t>
      </w:r>
    </w:p>
    <w:p w14:paraId="1CFF06D3">
      <w:pPr>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工艺过程可采用流程图的形式，并说明其每道工序的操作说明及接收和放行标准，同时对过程控制要点进行详细说明。</w:t>
      </w:r>
    </w:p>
    <w:p w14:paraId="3A3C112F">
      <w:pPr>
        <w:spacing w:line="520" w:lineRule="exact"/>
        <w:ind w:firstLine="640" w:firstLineChars="200"/>
        <w:outlineLvl w:val="1"/>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rPr>
        <w:t>生产场地</w:t>
      </w:r>
    </w:p>
    <w:p w14:paraId="6F9B0E7C">
      <w:pPr>
        <w:spacing w:line="52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应详细说明产品生产场地地址、生产工艺布局、生产环境要求及周边情况。有多个研制、生产场地，应当概述每个研制、生产场地的实际情况。</w:t>
      </w:r>
    </w:p>
    <w:p w14:paraId="53818D16">
      <w:pPr>
        <w:keepNext/>
        <w:keepLines/>
        <w:spacing w:line="520" w:lineRule="exact"/>
        <w:ind w:firstLine="640"/>
        <w:outlineLvl w:val="0"/>
        <w:rPr>
          <w:rFonts w:ascii="Times New Roman" w:hAnsi="Times New Roman" w:eastAsia="黑体"/>
          <w:bCs/>
          <w:kern w:val="44"/>
          <w:sz w:val="32"/>
          <w:szCs w:val="44"/>
        </w:rPr>
      </w:pPr>
      <w:r>
        <w:rPr>
          <w:rFonts w:ascii="Times New Roman" w:hAnsi="Times New Roman" w:eastAsia="黑体"/>
          <w:bCs/>
          <w:kern w:val="44"/>
          <w:sz w:val="32"/>
          <w:szCs w:val="44"/>
        </w:rPr>
        <w:t>三、参考文献</w:t>
      </w:r>
    </w:p>
    <w:p w14:paraId="11E9D6B7">
      <w:pPr>
        <w:kinsoku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w:t>
      </w:r>
      <w:r>
        <w:rPr>
          <w:rFonts w:ascii="Times New Roman" w:hAnsi="Times New Roman" w:eastAsia="仿宋_GB2312"/>
          <w:sz w:val="32"/>
          <w:szCs w:val="32"/>
        </w:rPr>
        <w:t>中华人民共和国国务院.医疗器械监督管理条例:中华人民共和国国务院令第739号[Z].</w:t>
      </w:r>
    </w:p>
    <w:p w14:paraId="1292C42E">
      <w:pPr>
        <w:kinsoku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国家市场</w:t>
      </w:r>
      <w:r>
        <w:rPr>
          <w:rFonts w:hint="eastAsia" w:ascii="Times New Roman" w:hAnsi="Times New Roman" w:eastAsia="仿宋_GB2312"/>
          <w:sz w:val="32"/>
          <w:szCs w:val="32"/>
        </w:rPr>
        <w:t>监督管理</w:t>
      </w:r>
      <w:r>
        <w:rPr>
          <w:rFonts w:ascii="Times New Roman" w:hAnsi="Times New Roman" w:eastAsia="仿宋_GB2312"/>
          <w:sz w:val="32"/>
          <w:szCs w:val="32"/>
        </w:rPr>
        <w:t>总局.医疗器械注册与备案管理办法：</w:t>
      </w:r>
      <w:r>
        <w:rPr>
          <w:rFonts w:hint="eastAsia" w:ascii="Times New Roman" w:hAnsi="Times New Roman" w:eastAsia="仿宋_GB2312"/>
          <w:sz w:val="32"/>
          <w:szCs w:val="32"/>
        </w:rPr>
        <w:t>国家市场监督管理总局</w:t>
      </w:r>
      <w:r>
        <w:rPr>
          <w:rFonts w:ascii="Times New Roman" w:hAnsi="Times New Roman" w:eastAsia="仿宋_GB2312"/>
          <w:sz w:val="32"/>
          <w:szCs w:val="32"/>
        </w:rPr>
        <w:t>令第47号[Z].</w:t>
      </w:r>
    </w:p>
    <w:p w14:paraId="3FA3C3D5">
      <w:pPr>
        <w:kinsoku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[3]国家药品监督管理局</w:t>
      </w:r>
      <w:r>
        <w:rPr>
          <w:rFonts w:ascii="Times New Roman" w:hAnsi="Times New Roman" w:eastAsia="仿宋_GB2312"/>
          <w:sz w:val="32"/>
          <w:szCs w:val="32"/>
        </w:rPr>
        <w:t>.医疗器械说明书和标签管理规定:国家食品药品监督管理总局令第6号[Z].</w:t>
      </w:r>
    </w:p>
    <w:p w14:paraId="406C79FA">
      <w:pPr>
        <w:kinsoku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[4]国家药品监督管理局.医疗器械通用名称命名规则：国家食品药品监督管理总局令第19号[Z].</w:t>
      </w:r>
    </w:p>
    <w:p w14:paraId="77540476">
      <w:pPr>
        <w:kinsoku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[5]国家药品监督管理局.国家药监局关于发布医疗器械产品技术要求编写指导原则的通告:国家药品监督管理局通告2022年第8号[Z].</w:t>
      </w:r>
    </w:p>
    <w:p w14:paraId="228DA280">
      <w:pPr>
        <w:kinsoku w:val="0"/>
        <w:spacing w:line="520" w:lineRule="exact"/>
        <w:ind w:firstLine="640" w:firstLineChars="200"/>
        <w:rPr>
          <w:rFonts w:ascii="Times New Roman" w:hAnsi="Times New Roman" w:eastAsia="仿宋_GB2312"/>
          <w:sz w:val="32"/>
          <w:szCs w:val="20"/>
        </w:rPr>
      </w:pPr>
      <w:r>
        <w:rPr>
          <w:rFonts w:hint="eastAsia" w:ascii="Times New Roman" w:hAnsi="Times New Roman" w:eastAsia="仿宋_GB2312"/>
          <w:sz w:val="32"/>
          <w:szCs w:val="32"/>
        </w:rPr>
        <w:t>[6]</w:t>
      </w:r>
      <w:r>
        <w:rPr>
          <w:rFonts w:ascii="Times New Roman" w:hAnsi="Times New Roman" w:eastAsia="仿宋_GB2312"/>
          <w:sz w:val="32"/>
          <w:szCs w:val="32"/>
        </w:rPr>
        <w:t>国家药品监督管理局.关于公布医疗器械注册申报资料要求和批准证明文件格式的公告：国家药品监督管理局公告2021年第121号[Z]</w:t>
      </w:r>
      <w:r>
        <w:rPr>
          <w:rFonts w:ascii="Times New Roman" w:hAnsi="Times New Roman" w:eastAsia="仿宋_GB2312"/>
          <w:kern w:val="0"/>
          <w:sz w:val="32"/>
          <w:szCs w:val="32"/>
        </w:rPr>
        <w:t>.</w:t>
      </w:r>
    </w:p>
    <w:p w14:paraId="00A5E388">
      <w:pPr>
        <w:kinsoku w:val="0"/>
        <w:spacing w:line="520" w:lineRule="exact"/>
        <w:ind w:firstLine="640" w:firstLineChars="200"/>
        <w:rPr>
          <w:rFonts w:hint="eastAsia" w:ascii="Times New Roman" w:hAnsi="Times New Roman" w:eastAsia="微软雅黑"/>
          <w:sz w:val="32"/>
          <w:szCs w:val="20"/>
        </w:rPr>
      </w:pPr>
      <w:r>
        <w:rPr>
          <w:rFonts w:hint="eastAsia" w:ascii="Times New Roman" w:hAnsi="Times New Roman" w:eastAsia="仿宋_GB2312"/>
          <w:kern w:val="0"/>
          <w:sz w:val="32"/>
          <w:szCs w:val="32"/>
        </w:rPr>
        <w:t>[7]国家食品药品监督管理局.医疗器械注册单元划分指导原则:总局通告2017年第187号[Z].</w:t>
      </w:r>
    </w:p>
    <w:p w14:paraId="420F1B41">
      <w:pPr>
        <w:kinsoku w:val="0"/>
        <w:spacing w:line="520" w:lineRule="exact"/>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[8]国家药品监督管理局.关于发布有源医疗器械使用期限注册技术审查指导原则的通告:国家药品监督管理局通告2019年第23号[Z].</w:t>
      </w:r>
    </w:p>
    <w:p w14:paraId="34DCDE78">
      <w:pPr>
        <w:kinsoku w:val="0"/>
        <w:spacing w:line="520" w:lineRule="exact"/>
        <w:ind w:firstLine="640" w:firstLineChars="200"/>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w:t>
      </w:r>
      <w:r>
        <w:rPr>
          <w:rFonts w:hint="eastAsia" w:ascii="Times New Roman" w:hAnsi="Times New Roman" w:eastAsia="仿宋_GB2312"/>
          <w:kern w:val="0"/>
          <w:sz w:val="32"/>
          <w:szCs w:val="32"/>
          <w:lang w:val="en-US" w:eastAsia="zh-CN"/>
        </w:rPr>
        <w:t>9</w:t>
      </w:r>
      <w:r>
        <w:rPr>
          <w:rFonts w:hint="eastAsia" w:ascii="Times New Roman" w:hAnsi="Times New Roman" w:eastAsia="仿宋_GB2312"/>
          <w:kern w:val="0"/>
          <w:sz w:val="32"/>
          <w:szCs w:val="32"/>
        </w:rPr>
        <w:t>]国家药品监督管理局.列入免于临床评价医疗器械目录产品对比说明技术指导原则:国家药监局通告2021年第73号[Z].</w:t>
      </w:r>
    </w:p>
    <w:p w14:paraId="5C0EEDC4">
      <w:pPr>
        <w:kinsoku w:val="0"/>
        <w:spacing w:line="520" w:lineRule="exact"/>
        <w:ind w:firstLine="640" w:firstLineChars="200"/>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[1</w:t>
      </w:r>
      <w:r>
        <w:rPr>
          <w:rFonts w:hint="eastAsia" w:ascii="Times New Roman" w:hAnsi="Times New Roman" w:eastAsia="仿宋_GB2312"/>
          <w:kern w:val="0"/>
          <w:sz w:val="32"/>
          <w:szCs w:val="32"/>
          <w:lang w:val="en-US" w:eastAsia="zh-CN"/>
        </w:rPr>
        <w:t>0</w:t>
      </w:r>
      <w:r>
        <w:rPr>
          <w:rFonts w:hint="eastAsia" w:ascii="Times New Roman" w:hAnsi="Times New Roman" w:eastAsia="仿宋_GB2312"/>
          <w:kern w:val="0"/>
          <w:sz w:val="32"/>
          <w:szCs w:val="32"/>
        </w:rPr>
        <w:t>]国家药品监督管理局.国家药监局关于发布免于临床评价医疗器械目录的通告：</w:t>
      </w:r>
      <w:r>
        <w:rPr>
          <w:rFonts w:eastAsia="仿宋_GB2312"/>
          <w:sz w:val="32"/>
          <w:szCs w:val="32"/>
        </w:rPr>
        <w:t>国家药品监督管理局</w:t>
      </w:r>
      <w:r>
        <w:rPr>
          <w:rFonts w:hint="eastAsia" w:ascii="Times New Roman" w:hAnsi="Times New Roman" w:eastAsia="仿宋_GB2312"/>
          <w:kern w:val="0"/>
          <w:sz w:val="32"/>
          <w:szCs w:val="32"/>
        </w:rPr>
        <w:t>通告2023年第33号[Z].</w:t>
      </w:r>
    </w:p>
    <w:p w14:paraId="79B64532">
      <w:pPr>
        <w:kinsoku w:val="0"/>
        <w:adjustRightInd/>
        <w:snapToGrid/>
        <w:spacing w:line="520" w:lineRule="exact"/>
        <w:ind w:firstLine="640" w:firstLineChars="200"/>
        <w:rPr>
          <w:rFonts w:ascii="Times New Roman" w:hAnsi="Times New Roman" w:eastAsia="黑体"/>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w:t>
      </w:r>
      <w:r>
        <w:rPr>
          <w:rFonts w:hint="eastAsia" w:ascii="Times New Roman" w:hAnsi="Times New Roman" w:eastAsia="仿宋_GB2312"/>
          <w:sz w:val="32"/>
          <w:szCs w:val="28"/>
        </w:rPr>
        <w:t>国家药品监督管理局.医疗器械临床评价技术指导原则:国家药监局通告2021年第73号[Z].</w:t>
      </w:r>
    </w:p>
    <w:p w14:paraId="22E7259D">
      <w:pPr>
        <w:kinsoku w:val="0"/>
        <w:adjustRightInd w:val="0"/>
        <w:snapToGrid w:val="0"/>
        <w:spacing w:line="52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w:t>
      </w:r>
      <w:r>
        <w:rPr>
          <w:rFonts w:eastAsia="仿宋_GB2312"/>
          <w:sz w:val="32"/>
          <w:szCs w:val="32"/>
        </w:rPr>
        <w:t>国家药品监督管理局</w:t>
      </w:r>
      <w:r>
        <w:rPr>
          <w:rFonts w:hint="eastAsia" w:ascii="Times New Roman" w:hAnsi="Times New Roman" w:eastAsia="仿宋_GB2312"/>
          <w:sz w:val="32"/>
          <w:szCs w:val="32"/>
        </w:rPr>
        <w:t>.</w:t>
      </w:r>
      <w:r>
        <w:rPr>
          <w:rFonts w:eastAsia="仿宋_GB2312"/>
          <w:sz w:val="32"/>
          <w:szCs w:val="32"/>
        </w:rPr>
        <w:t>国家药监局器审中心关于发布医疗器械软件注册审查指导原则（2022年修订版）的通告</w:t>
      </w:r>
      <w:r>
        <w:rPr>
          <w:rFonts w:hint="eastAsia" w:ascii="Times New Roman" w:hAnsi="Times New Roman" w:eastAsia="仿宋_GB2312"/>
          <w:sz w:val="32"/>
          <w:szCs w:val="32"/>
        </w:rPr>
        <w:t>:</w:t>
      </w:r>
      <w:r>
        <w:rPr>
          <w:rFonts w:eastAsia="仿宋_GB2312"/>
          <w:sz w:val="32"/>
          <w:szCs w:val="32"/>
        </w:rPr>
        <w:t>国家药品监督管理局医疗器械技术审评中心通告2022年第9号</w:t>
      </w:r>
      <w:r>
        <w:rPr>
          <w:rFonts w:hint="eastAsia" w:ascii="Times New Roman" w:hAnsi="Times New Roman" w:eastAsia="仿宋_GB2312"/>
          <w:sz w:val="32"/>
          <w:szCs w:val="32"/>
        </w:rPr>
        <w:t>[Z].</w:t>
      </w:r>
    </w:p>
    <w:p w14:paraId="025E5B6C">
      <w:pPr>
        <w:pStyle w:val="8"/>
        <w:spacing w:line="52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w:t>
      </w:r>
      <w:r>
        <w:rPr>
          <w:rFonts w:eastAsia="仿宋_GB2312"/>
          <w:sz w:val="32"/>
          <w:szCs w:val="32"/>
        </w:rPr>
        <w:t>国家药品监督管理局医疗器械技术审评中心</w:t>
      </w:r>
      <w:r>
        <w:rPr>
          <w:rFonts w:hint="eastAsia" w:ascii="Times New Roman" w:hAnsi="Times New Roman" w:eastAsia="仿宋_GB2312"/>
          <w:sz w:val="32"/>
          <w:szCs w:val="32"/>
        </w:rPr>
        <w:t>.</w:t>
      </w:r>
      <w:r>
        <w:rPr>
          <w:rFonts w:eastAsia="仿宋_GB2312"/>
          <w:sz w:val="32"/>
          <w:szCs w:val="32"/>
        </w:rPr>
        <w:t>国家药监局器审中心关于发布医疗器械网络安全注册审查指导原则（2022年修订版）的通告</w:t>
      </w:r>
      <w:r>
        <w:rPr>
          <w:rFonts w:hint="eastAsia" w:ascii="Times New Roman" w:hAnsi="Times New Roman" w:eastAsia="仿宋_GB2312"/>
          <w:sz w:val="32"/>
          <w:szCs w:val="32"/>
        </w:rPr>
        <w:t>:</w:t>
      </w:r>
      <w:r>
        <w:rPr>
          <w:rFonts w:eastAsia="仿宋_GB2312"/>
          <w:sz w:val="32"/>
          <w:szCs w:val="32"/>
        </w:rPr>
        <w:t>国家药品监督管理局医疗器械技术审评中心通告2022年第7号</w:t>
      </w:r>
      <w:r>
        <w:rPr>
          <w:rFonts w:hint="eastAsia" w:ascii="Times New Roman" w:hAnsi="Times New Roman" w:eastAsia="仿宋_GB2312"/>
          <w:sz w:val="32"/>
          <w:szCs w:val="32"/>
        </w:rPr>
        <w:t>[Z]</w:t>
      </w:r>
    </w:p>
    <w:p w14:paraId="4C370138">
      <w:pPr>
        <w:pStyle w:val="8"/>
        <w:ind w:firstLine="640" w:firstLineChars="200"/>
        <w:rPr>
          <w:rFonts w:hint="eastAsia" w:ascii="Times New Roman" w:hAnsi="Times New Roman" w:eastAsia="仿宋_GB2312" w:cs="Times New Roman"/>
          <w:color w:val="000000"/>
          <w:spacing w:val="-1"/>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]WS/T</w:t>
      </w: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639-2018</w:t>
      </w:r>
      <w:r>
        <w:rPr>
          <w:rFonts w:hint="eastAsia" w:ascii="Times New Roman" w:hAnsi="Times New Roman" w:eastAsia="仿宋_GB2312"/>
          <w:sz w:val="32"/>
          <w:szCs w:val="32"/>
          <w:lang w:val="en-US" w:eastAsia="zh-CN"/>
        </w:rPr>
        <w:t>,抗菌药物敏感性试验的技术要求</w:t>
      </w:r>
      <w:r>
        <w:rPr>
          <w:rFonts w:hint="eastAsia" w:ascii="Times New Roman" w:hAnsi="Times New Roman" w:eastAsia="仿宋_GB2312" w:cs="Times New Roman"/>
          <w:color w:val="auto"/>
          <w:kern w:val="0"/>
          <w:sz w:val="32"/>
          <w:highlight w:val="none"/>
        </w:rPr>
        <w:t>[S].</w:t>
      </w:r>
    </w:p>
    <w:sectPr>
      <w:pgSz w:w="11906" w:h="16838"/>
      <w:pgMar w:top="1440" w:right="1800" w:bottom="1440" w:left="1800" w:header="851" w:footer="992" w:gutter="0"/>
      <w:lnNumType w:countBy="1" w:restart="continuou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embedRegular r:id="rId1" w:fontKey="{DE28415C-1247-BACD-B8E1-666AA370A8D9}"/>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Tahoma">
    <w:panose1 w:val="020B0604030504040204"/>
    <w:charset w:val="00"/>
    <w:family w:val="swiss"/>
    <w:pitch w:val="default"/>
    <w:sig w:usb0="E1002AFF" w:usb1="C000605B" w:usb2="00000029" w:usb3="00000000" w:csb0="200101FF" w:csb1="20280000"/>
  </w:font>
  <w:font w:name="微软雅黑">
    <w:altName w:val="汉仪旗黑"/>
    <w:panose1 w:val="020B0503020204020204"/>
    <w:charset w:val="86"/>
    <w:family w:val="auto"/>
    <w:pitch w:val="default"/>
    <w:sig w:usb0="00000000" w:usb1="00000000" w:usb2="00000016" w:usb3="00000000" w:csb0="0004001F" w:csb1="00000000"/>
  </w:font>
  <w:font w:name="方正小标宋简体">
    <w:panose1 w:val="03000509000000000000"/>
    <w:charset w:val="86"/>
    <w:family w:val="script"/>
    <w:pitch w:val="default"/>
    <w:sig w:usb0="00000001" w:usb1="080E0000" w:usb2="00000000" w:usb3="00000000" w:csb0="00040000" w:csb1="00000000"/>
    <w:embedRegular r:id="rId2" w:fontKey="{C49BAE0C-82C2-E140-B8E1-666A61B11AAB}"/>
  </w:font>
  <w:font w:name="仿宋_GB2312">
    <w:panose1 w:val="02010609030101010101"/>
    <w:charset w:val="86"/>
    <w:family w:val="modern"/>
    <w:pitch w:val="default"/>
    <w:sig w:usb0="00000001" w:usb1="080E0000" w:usb2="00000000" w:usb3="00000000" w:csb0="00040000" w:csb1="00000000"/>
    <w:embedRegular r:id="rId3" w:fontKey="{78176C53-A377-D0D1-B8E1-666AC68D92F5}"/>
  </w:font>
  <w:font w:name="楷体_GB2312">
    <w:altName w:val="汉仪楷体简"/>
    <w:panose1 w:val="02010609030101010101"/>
    <w:charset w:val="86"/>
    <w:family w:val="modern"/>
    <w:pitch w:val="default"/>
    <w:sig w:usb0="00000000" w:usb1="00000000" w:usb2="00000000" w:usb3="00000000" w:csb0="00040000" w:csb1="00000000"/>
  </w:font>
  <w:font w:name="楷体">
    <w:altName w:val="汉仪楷体KW"/>
    <w:panose1 w:val="02010609060101010101"/>
    <w:charset w:val="86"/>
    <w:family w:val="auto"/>
    <w:pitch w:val="default"/>
    <w:sig w:usb0="00000000" w:usb1="00000000" w:usb2="00000016" w:usb3="00000000" w:csb0="00040001" w:csb1="00000000"/>
  </w:font>
  <w:font w:name="方正仿宋_GB2312">
    <w:altName w:val="仿宋-简"/>
    <w:panose1 w:val="02000000000000000000"/>
    <w:charset w:val="86"/>
    <w:family w:val="auto"/>
    <w:pitch w:val="default"/>
    <w:sig w:usb0="00000000" w:usb1="00000000" w:usb2="00000012" w:usb3="00000000" w:csb0="00040001" w:csb1="00000000"/>
    <w:embedRegular r:id="rId4" w:fontKey="{A2C9F3E7-CDCF-5518-B8E1-666AD95ACDFD}"/>
  </w:font>
  <w:font w:name="汉仪中黑KW">
    <w:panose1 w:val="00020600040101010101"/>
    <w:charset w:val="86"/>
    <w:family w:val="auto"/>
    <w:pitch w:val="default"/>
    <w:sig w:usb0="A00002BF" w:usb1="18EF7CFA" w:usb2="00000016" w:usb3="00000000" w:csb0="00040000" w:csb1="00000000"/>
  </w:font>
  <w:font w:name="汉仪楷体简">
    <w:panose1 w:val="02010600000101010101"/>
    <w:charset w:val="86"/>
    <w:family w:val="auto"/>
    <w:pitch w:val="default"/>
    <w:sig w:usb0="00000001" w:usb1="080E0800" w:usb2="00000002" w:usb3="00000000" w:csb0="00040000" w:csb1="00000000"/>
  </w:font>
  <w:font w:name="仿宋-简">
    <w:panose1 w:val="02010609060101010101"/>
    <w:charset w:val="86"/>
    <w:family w:val="auto"/>
    <w:pitch w:val="default"/>
    <w:sig w:usb0="A00002BF" w:usb1="3ACF7CFA" w:usb2="00000016" w:usb3="00000000" w:csb0="00040001" w:csb1="00000000"/>
  </w:font>
  <w:font w:name="Kingsoft Sign">
    <w:panose1 w:val="05050102010706020507"/>
    <w:charset w:val="00"/>
    <w:family w:val="auto"/>
    <w:pitch w:val="default"/>
    <w:sig w:usb0="00000000" w:usb1="10000000" w:usb2="00000000" w:usb3="00000000" w:csb0="00000001" w:csb1="00000000"/>
  </w:font>
  <w:font w:name="汉仪旗黑">
    <w:panose1 w:val="00020600040101010101"/>
    <w:charset w:val="86"/>
    <w:family w:val="auto"/>
    <w:pitch w:val="default"/>
    <w:sig w:usb0="A00002BF" w:usb1="1ACF7CFA" w:usb2="00000016" w:usb3="00000000" w:csb0="0004009F" w:csb1="DFD70000"/>
  </w:font>
  <w:font w:name="汉仪楷体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DF3A78"/>
    <w:rsid w:val="021B6CA0"/>
    <w:rsid w:val="06590484"/>
    <w:rsid w:val="0AAC0660"/>
    <w:rsid w:val="12F847D6"/>
    <w:rsid w:val="1CE72A80"/>
    <w:rsid w:val="1FC353AC"/>
    <w:rsid w:val="236B74B2"/>
    <w:rsid w:val="25D315D2"/>
    <w:rsid w:val="276D6723"/>
    <w:rsid w:val="2A090204"/>
    <w:rsid w:val="2BD14C9A"/>
    <w:rsid w:val="2C4554B5"/>
    <w:rsid w:val="30DF3A78"/>
    <w:rsid w:val="336B2DEA"/>
    <w:rsid w:val="35372457"/>
    <w:rsid w:val="35A4676A"/>
    <w:rsid w:val="3BBE0A2E"/>
    <w:rsid w:val="433E023C"/>
    <w:rsid w:val="455A0795"/>
    <w:rsid w:val="46850F30"/>
    <w:rsid w:val="48536088"/>
    <w:rsid w:val="4B9C5B46"/>
    <w:rsid w:val="51A45CFD"/>
    <w:rsid w:val="52A560FA"/>
    <w:rsid w:val="543534D1"/>
    <w:rsid w:val="5BEF0F92"/>
    <w:rsid w:val="5FF94923"/>
    <w:rsid w:val="6F1569D0"/>
    <w:rsid w:val="6F5A1944"/>
    <w:rsid w:val="6F765F90"/>
    <w:rsid w:val="7185354B"/>
    <w:rsid w:val="71F5068D"/>
    <w:rsid w:val="731476A6"/>
    <w:rsid w:val="74F728E5"/>
    <w:rsid w:val="77CD60E6"/>
    <w:rsid w:val="787605B5"/>
    <w:rsid w:val="78D83818"/>
    <w:rsid w:val="7A71484A"/>
    <w:rsid w:val="7C333E62"/>
    <w:rsid w:val="B29C8CA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note text"/>
    <w:basedOn w:val="1"/>
    <w:unhideWhenUsed/>
    <w:qFormat/>
    <w:uiPriority w:val="0"/>
    <w:pPr>
      <w:snapToGrid w:val="0"/>
      <w:jc w:val="left"/>
    </w:pPr>
    <w:rPr>
      <w:rFonts w:eastAsia="宋体"/>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footnote reference"/>
    <w:basedOn w:val="6"/>
    <w:unhideWhenUsed/>
    <w:qFormat/>
    <w:uiPriority w:val="0"/>
    <w:rPr>
      <w:vertAlign w:val="superscript"/>
    </w:rPr>
  </w:style>
  <w:style w:type="paragraph" w:styleId="8">
    <w:name w:val="No Spacing"/>
    <w:qFormat/>
    <w:uiPriority w:val="0"/>
    <w:pPr>
      <w:adjustRightInd w:val="0"/>
      <w:snapToGrid w:val="0"/>
    </w:pPr>
    <w:rPr>
      <w:rFonts w:ascii="Tahoma" w:hAnsi="Tahoma" w:eastAsia="微软雅黑" w:cs="Times New Roman"/>
      <w:sz w:val="22"/>
      <w:szCs w:val="22"/>
      <w:lang w:val="en-US" w:eastAsia="zh-CN" w:bidi="ar-SA"/>
    </w:rPr>
  </w:style>
  <w:style w:type="paragraph" w:styleId="9">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631</Words>
  <Characters>645</Characters>
  <Lines>0</Lines>
  <Paragraphs>0</Paragraphs>
  <TotalTime>16</TotalTime>
  <ScaleCrop>false</ScaleCrop>
  <LinksUpToDate>false</LinksUpToDate>
  <CharactersWithSpaces>645</CharactersWithSpaces>
  <Application>WPS Office_12.1.26016.26016_F1E327BC-269C-435d-A152-05C5408002CA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2026-03-25T12:44:00Z</dcterms:created>
  <dc:creator>故事与me无关℃</dc:creator>
  <cp:lastModifiedBy>王朝壹</cp:lastModifiedBy>
  <cp:lastPrinted>2026-03-26T13:34:00Z</cp:lastPrinted>
  <dcterms:modified xsi:type="dcterms:W3CDTF">2026-07-27T12:42:32Z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C46B110472B04717B532CAD3A1128A94_13</vt:lpwstr>
  </property>
  <property fmtid="{D5CDD505-2E9C-101B-9397-08002B2CF9AE}" pid="4" name="KSOTemplateDocerSaveRecord">
    <vt:lpwstr>eyJoZGlkIjoiYTc1NjQ5YjEwYWUwNjkwMTk2OTIyYTZmZjJhOTZlNDMiLCJ1c2VySWQiOiIxNzY2NTgxMzY3In0=</vt:lpwstr>
  </property>
</Properties>
</file>