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eastAsia" w:ascii="仿宋_GB2312" w:hAnsi="仿宋_GB2312" w:eastAsia="仿宋_GB2312" w:cs="仿宋_GB2312"/>
          <w:color w:val="000000"/>
          <w:sz w:val="32"/>
          <w:szCs w:val="32"/>
        </w:rPr>
      </w:pPr>
    </w:p>
    <w:p>
      <w:pPr>
        <w:spacing w:line="520" w:lineRule="exact"/>
        <w:ind w:right="-67" w:rightChars="-32"/>
        <w:jc w:val="center"/>
        <w:rPr>
          <w:rFonts w:hint="eastAsia" w:ascii="Times New Roman" w:hAnsi="Times New Roman" w:eastAsia="方正小标宋简体" w:cs="Times New Roman"/>
          <w:bCs/>
          <w:color w:val="000000"/>
          <w:sz w:val="44"/>
          <w:szCs w:val="44"/>
        </w:rPr>
      </w:pPr>
      <w:r>
        <w:rPr>
          <w:rFonts w:hint="eastAsia" w:ascii="Times New Roman" w:hAnsi="Times New Roman" w:eastAsia="方正小标宋简体" w:cs="Times New Roman"/>
          <w:bCs/>
          <w:color w:val="000000"/>
          <w:sz w:val="44"/>
          <w:szCs w:val="44"/>
        </w:rPr>
        <w:t>甲状腺功能测定仪注册审查指导原则</w:t>
      </w:r>
    </w:p>
    <w:p>
      <w:pPr>
        <w:spacing w:line="520" w:lineRule="exact"/>
        <w:ind w:right="-67" w:rightChars="-32"/>
        <w:jc w:val="center"/>
        <w:rPr>
          <w:rFonts w:hint="eastAsia" w:ascii="Times New Roman" w:hAnsi="Times New Roman" w:eastAsia="方正小标宋简体" w:cs="Times New Roman"/>
          <w:bCs/>
          <w:color w:val="000000"/>
          <w:sz w:val="44"/>
          <w:szCs w:val="44"/>
        </w:rPr>
      </w:pPr>
      <w:bookmarkStart w:id="2" w:name="_GoBack"/>
      <w:r>
        <w:rPr>
          <w:rFonts w:hint="eastAsia" w:ascii="Times New Roman" w:hAnsi="Times New Roman" w:eastAsia="方正小标宋简体" w:cs="Times New Roman"/>
          <w:bCs/>
          <w:color w:val="000000"/>
          <w:sz w:val="44"/>
          <w:szCs w:val="44"/>
        </w:rPr>
        <w:t>（征求意见稿）</w:t>
      </w:r>
    </w:p>
    <w:bookmarkEnd w:id="2"/>
    <w:p>
      <w:pPr>
        <w:spacing w:line="520" w:lineRule="exact"/>
        <w:ind w:firstLine="640" w:firstLineChars="200"/>
        <w:rPr>
          <w:rFonts w:hint="eastAsia" w:ascii="仿宋_GB2312" w:hAnsi="仿宋_GB2312" w:eastAsia="仿宋_GB2312" w:cs="仿宋_GB2312"/>
          <w:sz w:val="32"/>
          <w:szCs w:val="32"/>
        </w:rPr>
      </w:pPr>
    </w:p>
    <w:p>
      <w:pPr>
        <w:spacing w:line="52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本指导原则旨在指导注册申请人对</w:t>
      </w:r>
      <w:r>
        <w:rPr>
          <w:rFonts w:hint="eastAsia" w:ascii="仿宋_GB2312" w:hAnsi="仿宋_GB2312" w:eastAsia="仿宋_GB2312" w:cs="仿宋_GB2312"/>
          <w:kern w:val="0"/>
          <w:sz w:val="32"/>
          <w:szCs w:val="32"/>
          <w:lang w:val="en-US"/>
        </w:rPr>
        <w:t>甲状腺功能测定仪</w:t>
      </w:r>
      <w:r>
        <w:rPr>
          <w:rFonts w:hint="eastAsia" w:ascii="仿宋_GB2312" w:hAnsi="仿宋_GB2312" w:eastAsia="仿宋_GB2312" w:cs="仿宋_GB2312"/>
          <w:kern w:val="0"/>
          <w:sz w:val="32"/>
          <w:szCs w:val="32"/>
        </w:rPr>
        <w:t>注册申报资料的准备及撰写，同时也为技术审评部门审查注册申报资料提供参考。</w:t>
      </w:r>
    </w:p>
    <w:p>
      <w:pPr>
        <w:spacing w:line="52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本指导原则是对</w:t>
      </w:r>
      <w:r>
        <w:rPr>
          <w:rFonts w:hint="eastAsia" w:ascii="仿宋_GB2312" w:hAnsi="仿宋_GB2312" w:eastAsia="仿宋_GB2312" w:cs="仿宋_GB2312"/>
          <w:kern w:val="0"/>
          <w:sz w:val="32"/>
          <w:szCs w:val="32"/>
          <w:lang w:val="en-US"/>
        </w:rPr>
        <w:t>甲状腺功能测定仪</w:t>
      </w:r>
      <w:r>
        <w:rPr>
          <w:rFonts w:hint="eastAsia" w:ascii="仿宋_GB2312" w:hAnsi="仿宋_GB2312" w:eastAsia="仿宋_GB2312" w:cs="仿宋_GB2312"/>
          <w:kern w:val="0"/>
          <w:sz w:val="32"/>
          <w:szCs w:val="32"/>
        </w:rPr>
        <w:t>的一般要求，申请人应依据产品的具体特性确定其中内容是否适用。若不适用，需具体阐述理由及相应的科学依据，并依据产品的具体特性对注册申报资料的内容进行充实和细化。</w:t>
      </w:r>
    </w:p>
    <w:p>
      <w:pPr>
        <w:spacing w:line="52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pPr>
        <w:spacing w:line="52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本指导原则是在现行法规和标准体系以及当前认知水平下制定，随着法规和标准的不断完善，以及科学技术的不断发展，相关内容也将适时进行调整。</w:t>
      </w:r>
    </w:p>
    <w:p>
      <w:pPr>
        <w:spacing w:line="520" w:lineRule="exact"/>
        <w:ind w:firstLine="640" w:firstLineChars="200"/>
        <w:outlineLvl w:val="0"/>
        <w:rPr>
          <w:rFonts w:hint="eastAsia" w:ascii="仿宋_GB2312" w:hAnsi="仿宋_GB2312" w:eastAsia="仿宋_GB2312" w:cs="仿宋_GB2312"/>
          <w:bCs/>
          <w:sz w:val="32"/>
          <w:szCs w:val="32"/>
          <w:lang w:eastAsia="zh-CN"/>
        </w:rPr>
      </w:pPr>
      <w:r>
        <w:rPr>
          <w:rFonts w:hint="eastAsia" w:ascii="黑体" w:hAnsi="黑体" w:eastAsia="黑体" w:cs="黑体"/>
          <w:bCs/>
          <w:sz w:val="32"/>
          <w:szCs w:val="32"/>
          <w:lang w:eastAsia="zh-CN"/>
        </w:rPr>
        <w:t>一、适用范围</w:t>
      </w:r>
    </w:p>
    <w:p>
      <w:pPr>
        <w:spacing w:line="520" w:lineRule="exact"/>
        <w:ind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kern w:val="0"/>
          <w:sz w:val="32"/>
          <w:szCs w:val="32"/>
        </w:rPr>
        <w:t>本指导原则适用于</w:t>
      </w:r>
      <w:r>
        <w:rPr>
          <w:rFonts w:hint="eastAsia" w:ascii="仿宋_GB2312" w:hAnsi="仿宋_GB2312" w:eastAsia="仿宋_GB2312" w:cs="仿宋_GB2312"/>
          <w:color w:val="auto"/>
          <w:kern w:val="0"/>
          <w:sz w:val="32"/>
          <w:szCs w:val="32"/>
          <w:lang w:eastAsia="zh-CN"/>
        </w:rPr>
        <w:t>探测人体甲状腺器官中放射性随时间变化的动态变化情况，以判断甲状腺吸碘功能</w:t>
      </w:r>
      <w:r>
        <w:rPr>
          <w:rFonts w:hint="eastAsia" w:ascii="仿宋_GB2312" w:hAnsi="仿宋_GB2312" w:eastAsia="仿宋_GB2312" w:cs="仿宋_GB2312"/>
          <w:color w:val="auto"/>
          <w:kern w:val="0"/>
          <w:sz w:val="32"/>
          <w:szCs w:val="32"/>
          <w:lang w:val="en-US" w:eastAsia="zh-CN"/>
        </w:rPr>
        <w:t>的设备</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分类编码为07-06-02，产品的管理类别为Ⅱ类。</w:t>
      </w:r>
    </w:p>
    <w:p>
      <w:pPr>
        <w:numPr>
          <w:ilvl w:val="0"/>
          <w:numId w:val="0"/>
        </w:numPr>
        <w:spacing w:line="520" w:lineRule="exact"/>
        <w:ind w:firstLine="640" w:firstLineChars="200"/>
        <w:outlineLvl w:val="0"/>
        <w:rPr>
          <w:rFonts w:hint="eastAsia" w:ascii="仿宋_GB2312" w:hAnsi="仿宋_GB2312" w:eastAsia="仿宋_GB2312" w:cs="仿宋_GB2312"/>
          <w:bCs/>
          <w:sz w:val="32"/>
          <w:szCs w:val="32"/>
          <w:lang w:eastAsia="zh-CN"/>
        </w:rPr>
      </w:pPr>
      <w:r>
        <w:rPr>
          <w:rFonts w:hint="eastAsia" w:ascii="黑体" w:hAnsi="黑体" w:eastAsia="黑体" w:cs="黑体"/>
          <w:bCs/>
          <w:sz w:val="32"/>
          <w:szCs w:val="32"/>
          <w:lang w:eastAsia="zh-CN"/>
        </w:rPr>
        <w:t>二、注册审查要点</w:t>
      </w:r>
    </w:p>
    <w:p>
      <w:pPr>
        <w:numPr>
          <w:ilvl w:val="255"/>
          <w:numId w:val="0"/>
        </w:numPr>
        <w:spacing w:line="520" w:lineRule="exact"/>
        <w:ind w:firstLine="640" w:firstLineChars="200"/>
        <w:outlineLvl w:val="0"/>
        <w:rPr>
          <w:rFonts w:hint="eastAsia" w:ascii="仿宋_GB2312" w:hAnsi="仿宋_GB2312" w:eastAsia="仿宋_GB2312" w:cs="仿宋_GB2312"/>
          <w:bCs/>
          <w:sz w:val="32"/>
          <w:szCs w:val="32"/>
        </w:rPr>
      </w:pPr>
      <w:r>
        <w:rPr>
          <w:rFonts w:hint="eastAsia" w:ascii="Times New Roman" w:hAnsi="Times New Roman" w:eastAsia="楷体_GB2312" w:cs="Times New Roman"/>
          <w:color w:val="000000"/>
          <w:sz w:val="32"/>
          <w:szCs w:val="32"/>
        </w:rPr>
        <w:t>（一）监管信息</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1.产品名称</w:t>
      </w:r>
    </w:p>
    <w:p>
      <w:pPr>
        <w:spacing w:line="520" w:lineRule="exact"/>
        <w:ind w:firstLine="640" w:firstLineChars="200"/>
        <w:outlineLvl w:val="1"/>
        <w:rPr>
          <w:rStyle w:val="15"/>
          <w:rFonts w:hint="eastAsia" w:ascii="仿宋_GB2312" w:hAnsi="仿宋_GB2312" w:eastAsia="仿宋_GB2312" w:cs="仿宋_GB2312"/>
        </w:rPr>
      </w:pPr>
      <w:r>
        <w:rPr>
          <w:rFonts w:hint="eastAsia" w:ascii="仿宋_GB2312" w:hAnsi="仿宋_GB2312" w:eastAsia="仿宋_GB2312" w:cs="仿宋_GB2312"/>
          <w:sz w:val="32"/>
          <w:szCs w:val="28"/>
        </w:rPr>
        <w:t>产品名称应符合《医疗器械分类目录》《医疗器械通用名称命名规则》的要求。</w:t>
      </w:r>
    </w:p>
    <w:p>
      <w:pPr>
        <w:pStyle w:val="16"/>
        <w:spacing w:line="520" w:lineRule="exact"/>
        <w:ind w:firstLine="640" w:firstLineChars="200"/>
        <w:rPr>
          <w:rFonts w:hint="eastAsia" w:ascii="仿宋_GB2312" w:hAnsi="仿宋_GB2312" w:eastAsia="仿宋_GB2312" w:cs="仿宋_GB2312"/>
          <w:strike w:val="0"/>
          <w:sz w:val="32"/>
          <w:szCs w:val="28"/>
        </w:rPr>
      </w:pPr>
      <w:r>
        <w:rPr>
          <w:rFonts w:hint="eastAsia" w:ascii="仿宋_GB2312" w:hAnsi="仿宋_GB2312" w:eastAsia="仿宋_GB2312" w:cs="仿宋_GB2312"/>
          <w:sz w:val="32"/>
          <w:szCs w:val="32"/>
        </w:rPr>
        <w:t>一般可以按“特</w:t>
      </w:r>
      <w:r>
        <w:rPr>
          <w:rFonts w:hint="eastAsia" w:ascii="仿宋_GB2312" w:hAnsi="仿宋_GB2312" w:eastAsia="仿宋_GB2312" w:cs="仿宋_GB2312"/>
          <w:kern w:val="2"/>
          <w:sz w:val="32"/>
          <w:szCs w:val="28"/>
          <w:lang w:val="en-US" w:eastAsia="zh-CN" w:bidi="ar-SA"/>
        </w:rPr>
        <w:t>征词+核心词”的方式命名，例如</w:t>
      </w:r>
      <w:r>
        <w:rPr>
          <w:rFonts w:hint="eastAsia" w:ascii="仿宋_GB2312" w:hAnsi="仿宋_GB2312" w:eastAsia="仿宋_GB2312" w:cs="仿宋_GB2312"/>
          <w:strike w:val="0"/>
          <w:kern w:val="2"/>
          <w:sz w:val="32"/>
          <w:szCs w:val="28"/>
          <w:lang w:val="en-US" w:eastAsia="zh-CN" w:bidi="ar-SA"/>
        </w:rPr>
        <w:t>：甲状腺功能测定仪等。</w:t>
      </w:r>
    </w:p>
    <w:p>
      <w:pPr>
        <w:pStyle w:val="3"/>
        <w:ind w:firstLine="640" w:firstLineChars="200"/>
        <w:rPr>
          <w:rFonts w:hint="eastAsia" w:ascii="仿宋_GB2312" w:hAnsi="仿宋_GB2312" w:eastAsia="仿宋_GB2312" w:cs="仿宋_GB2312"/>
          <w:bCs w:val="0"/>
          <w:sz w:val="32"/>
          <w:szCs w:val="28"/>
        </w:rPr>
      </w:pPr>
      <w:r>
        <w:rPr>
          <w:rFonts w:hint="eastAsia" w:ascii="仿宋_GB2312" w:hAnsi="仿宋_GB2312" w:eastAsia="仿宋_GB2312" w:cs="仿宋_GB2312"/>
          <w:bCs w:val="0"/>
          <w:sz w:val="32"/>
          <w:szCs w:val="28"/>
        </w:rPr>
        <w:t>2.管理类别和分类编码</w:t>
      </w:r>
    </w:p>
    <w:p>
      <w:pPr>
        <w:spacing w:line="520" w:lineRule="exact"/>
        <w:ind w:firstLine="640" w:firstLineChars="200"/>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管理类别为Ⅱ类。根据《医疗器械分类目录》，分类编码为07-06-02。</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3.注册单元划分</w:t>
      </w:r>
    </w:p>
    <w:p>
      <w:pPr>
        <w:spacing w:line="520" w:lineRule="exact"/>
        <w:ind w:firstLine="640" w:firstLineChars="200"/>
        <w:outlineLvl w:val="1"/>
        <w:rPr>
          <w:rFonts w:hint="default" w:ascii="仿宋_GB2312" w:hAnsi="仿宋_GB2312" w:eastAsia="仿宋_GB2312" w:cs="仿宋_GB2312"/>
          <w:sz w:val="32"/>
          <w:szCs w:val="28"/>
          <w:lang w:val="en-US"/>
        </w:rPr>
      </w:pPr>
      <w:r>
        <w:rPr>
          <w:rFonts w:hint="eastAsia" w:ascii="仿宋_GB2312" w:hAnsi="仿宋_GB2312" w:eastAsia="仿宋_GB2312" w:cs="仿宋_GB2312"/>
          <w:sz w:val="32"/>
          <w:szCs w:val="28"/>
        </w:rPr>
        <w:t>产品的注册单元划分应符合《医疗器械注册单元划分指导原则》的要求，原则上以产品的技术原理、结构组成、性能指标和适用范围为划分依据。</w:t>
      </w:r>
    </w:p>
    <w:p>
      <w:pPr>
        <w:numPr>
          <w:ilvl w:val="255"/>
          <w:numId w:val="0"/>
        </w:numPr>
        <w:spacing w:line="520" w:lineRule="exact"/>
        <w:ind w:firstLine="640" w:firstLineChars="200"/>
        <w:rPr>
          <w:rFonts w:hint="eastAsia" w:ascii="仿宋_GB2312" w:hAnsi="仿宋_GB2312" w:eastAsia="仿宋_GB2312" w:cs="仿宋_GB2312"/>
          <w:bCs/>
          <w:iCs/>
          <w:sz w:val="32"/>
          <w:szCs w:val="28"/>
        </w:rPr>
      </w:pPr>
      <w:r>
        <w:rPr>
          <w:rFonts w:hint="eastAsia" w:ascii="Times New Roman" w:hAnsi="Times New Roman" w:eastAsia="楷体_GB2312" w:cs="Times New Roman"/>
          <w:color w:val="000000"/>
          <w:sz w:val="32"/>
          <w:szCs w:val="32"/>
        </w:rPr>
        <w:t>（二）综述资料</w:t>
      </w:r>
    </w:p>
    <w:p>
      <w:pPr>
        <w:numPr>
          <w:ilvl w:val="255"/>
          <w:numId w:val="0"/>
        </w:num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28"/>
        </w:rPr>
        <w:t>1.概述</w:t>
      </w:r>
    </w:p>
    <w:p>
      <w:pPr>
        <w:numPr>
          <w:ilvl w:val="255"/>
          <w:numId w:val="0"/>
        </w:num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申请人应描述申报产品的通用名称及其确定依据，描述产品的管理类别、分类编码。</w:t>
      </w:r>
    </w:p>
    <w:p>
      <w:pPr>
        <w:numPr>
          <w:ilvl w:val="255"/>
          <w:numId w:val="0"/>
        </w:num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如适用，应描述有关申报产品的背景信息概述或特别细节，如：申报产品的历史概述、历次提交的信息，与其他经批准上市产品的关系等。</w:t>
      </w:r>
    </w:p>
    <w:p>
      <w:pPr>
        <w:spacing w:line="520" w:lineRule="exact"/>
        <w:ind w:firstLine="640" w:firstLineChars="200"/>
        <w:outlineLvl w:val="1"/>
        <w:rPr>
          <w:rFonts w:hint="eastAsia" w:ascii="仿宋_GB2312" w:hAnsi="仿宋_GB2312" w:eastAsia="仿宋_GB2312" w:cs="仿宋_GB2312"/>
          <w:sz w:val="32"/>
          <w:szCs w:val="28"/>
          <w:lang w:val="en"/>
        </w:rPr>
      </w:pPr>
      <w:r>
        <w:rPr>
          <w:rFonts w:hint="eastAsia" w:ascii="仿宋_GB2312" w:hAnsi="仿宋_GB2312" w:eastAsia="仿宋_GB2312" w:cs="仿宋_GB2312"/>
          <w:sz w:val="32"/>
          <w:szCs w:val="28"/>
        </w:rPr>
        <w:t>2.</w:t>
      </w:r>
      <w:r>
        <w:rPr>
          <w:rFonts w:hint="eastAsia" w:ascii="仿宋_GB2312" w:hAnsi="仿宋_GB2312" w:eastAsia="仿宋_GB2312" w:cs="仿宋_GB2312"/>
          <w:sz w:val="32"/>
          <w:szCs w:val="28"/>
          <w:lang w:val="en"/>
        </w:rPr>
        <w:t>产品描述</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2.1产品的结构和组成</w:t>
      </w:r>
    </w:p>
    <w:p>
      <w:pPr>
        <w:spacing w:line="520" w:lineRule="exact"/>
        <w:ind w:firstLine="640" w:firstLineChars="200"/>
        <w:outlineLvl w:val="1"/>
        <w:rPr>
          <w:rFonts w:hint="eastAsia"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rPr>
        <w:t>产品一般由主机和计算机系统</w:t>
      </w:r>
      <w:r>
        <w:rPr>
          <w:rFonts w:hint="eastAsia" w:ascii="仿宋_GB2312" w:hAnsi="仿宋_GB2312" w:eastAsia="仿宋_GB2312" w:cs="仿宋_GB2312"/>
          <w:sz w:val="32"/>
          <w:szCs w:val="28"/>
          <w:lang w:val="en-US" w:eastAsia="zh-CN"/>
        </w:rPr>
        <w:t>两个</w:t>
      </w:r>
      <w:r>
        <w:rPr>
          <w:rFonts w:hint="eastAsia" w:ascii="仿宋_GB2312" w:hAnsi="仿宋_GB2312" w:eastAsia="仿宋_GB2312" w:cs="仿宋_GB2312"/>
          <w:sz w:val="32"/>
          <w:szCs w:val="28"/>
          <w:lang w:val="en-US"/>
        </w:rPr>
        <w:t>部分组成。主机一般包括探测器</w:t>
      </w:r>
      <w:r>
        <w:rPr>
          <w:rFonts w:hint="eastAsia" w:ascii="仿宋_GB2312" w:hAnsi="仿宋_GB2312" w:eastAsia="仿宋_GB2312" w:cs="仿宋_GB2312"/>
          <w:sz w:val="32"/>
          <w:szCs w:val="28"/>
          <w:lang w:val="en-US" w:eastAsia="zh-CN"/>
        </w:rPr>
        <w:t>、</w:t>
      </w:r>
      <w:r>
        <w:rPr>
          <w:rFonts w:hint="eastAsia" w:ascii="仿宋_GB2312" w:hAnsi="仿宋_GB2312" w:eastAsia="仿宋_GB2312" w:cs="仿宋_GB2312"/>
          <w:sz w:val="32"/>
          <w:szCs w:val="28"/>
          <w:lang w:val="en-US"/>
        </w:rPr>
        <w:t>支撑支架、信号处理电路、低压电源、高压电源、接口电路等。</w:t>
      </w:r>
      <w:r>
        <w:rPr>
          <w:rFonts w:hint="eastAsia" w:ascii="仿宋_GB2312" w:hAnsi="仿宋_GB2312" w:eastAsia="仿宋_GB2312" w:cs="仿宋_GB2312"/>
          <w:sz w:val="32"/>
          <w:szCs w:val="28"/>
          <w:lang w:val="en-US" w:eastAsia="zh-CN"/>
        </w:rPr>
        <w:t>其中</w:t>
      </w:r>
      <w:r>
        <w:rPr>
          <w:rFonts w:hint="eastAsia" w:ascii="仿宋_GB2312" w:hAnsi="仿宋_GB2312" w:eastAsia="仿宋_GB2312" w:cs="仿宋_GB2312"/>
          <w:sz w:val="32"/>
          <w:szCs w:val="28"/>
          <w:lang w:val="en-US"/>
        </w:rPr>
        <w:t>探测器一般包括NaI（Tl）晶体、光电倍增管、机械结构等</w:t>
      </w:r>
      <w:r>
        <w:rPr>
          <w:rFonts w:hint="eastAsia" w:ascii="仿宋_GB2312" w:hAnsi="仿宋_GB2312" w:eastAsia="仿宋_GB2312" w:cs="仿宋_GB2312"/>
          <w:sz w:val="32"/>
          <w:szCs w:val="28"/>
          <w:lang w:val="en-US" w:eastAsia="zh-CN"/>
        </w:rPr>
        <w:t>。</w:t>
      </w:r>
    </w:p>
    <w:p>
      <w:pPr>
        <w:spacing w:line="520" w:lineRule="exact"/>
        <w:ind w:firstLine="640" w:firstLineChars="200"/>
        <w:outlineLvl w:val="1"/>
        <w:rPr>
          <w:rFonts w:hint="default" w:eastAsia="仿宋_GB2312"/>
          <w:lang w:val="en-US" w:eastAsia="zh-CN"/>
        </w:rPr>
      </w:pPr>
      <w:r>
        <w:rPr>
          <w:rFonts w:hint="eastAsia" w:ascii="仿宋_GB2312" w:hAnsi="仿宋_GB2312" w:eastAsia="仿宋_GB2312" w:cs="仿宋_GB2312"/>
          <w:sz w:val="32"/>
          <w:szCs w:val="28"/>
        </w:rPr>
        <w:t>申请人应当详细描述各具体组成部分以及各关键元器件/部件的名称、生产企业和质量标准，并详细描述申报产品的主要功能及各组成模块的功能，可以采用图示结合文字描述的形式给予明确说明。</w:t>
      </w:r>
    </w:p>
    <w:p>
      <w:pPr>
        <w:spacing w:line="520" w:lineRule="exact"/>
        <w:ind w:firstLine="640" w:firstLineChars="200"/>
        <w:jc w:val="both"/>
        <w:outlineLvl w:val="1"/>
        <w:rPr>
          <w:rFonts w:hint="eastAsia" w:ascii="仿宋_GB2312" w:hAnsi="仿宋_GB2312" w:eastAsia="仿宋_GB2312" w:cs="仿宋_GB2312"/>
          <w:sz w:val="32"/>
          <w:szCs w:val="28"/>
          <w:lang w:val="en-US"/>
        </w:rPr>
      </w:pPr>
      <w:r>
        <w:rPr>
          <w:rFonts w:hint="eastAsia" w:eastAsia="仿宋_GB2312"/>
          <w:sz w:val="32"/>
          <w:szCs w:val="28"/>
        </w:rPr>
        <w:t>常见</w:t>
      </w:r>
      <w:r>
        <w:rPr>
          <w:rFonts w:hint="eastAsia" w:eastAsia="仿宋_GB2312"/>
          <w:sz w:val="32"/>
          <w:szCs w:val="28"/>
          <w:lang w:eastAsia="zh-CN"/>
        </w:rPr>
        <w:t>甲状腺功能测定仪</w:t>
      </w:r>
      <w:r>
        <w:rPr>
          <w:rFonts w:hint="eastAsia" w:eastAsia="仿宋_GB2312"/>
          <w:sz w:val="32"/>
          <w:szCs w:val="28"/>
        </w:rPr>
        <w:t>如图所示。</w:t>
      </w:r>
    </w:p>
    <w:p>
      <w:pPr>
        <w:numPr>
          <w:ilvl w:val="0"/>
          <w:numId w:val="1"/>
        </w:numPr>
        <w:spacing w:line="520" w:lineRule="exact"/>
        <w:ind w:firstLine="640" w:firstLineChars="200"/>
        <w:jc w:val="center"/>
        <w:outlineLvl w:val="1"/>
        <w:rPr>
          <w:rFonts w:hint="default" w:ascii="仿宋_GB2312" w:hAnsi="仿宋_GB2312" w:eastAsia="仿宋_GB2312" w:cs="仿宋_GB2312"/>
          <w:sz w:val="32"/>
          <w:szCs w:val="28"/>
          <w:lang w:val="en-US" w:eastAsia="zh-CN"/>
        </w:rPr>
      </w:pPr>
      <w:r>
        <w:rPr>
          <w:rFonts w:hint="eastAsia" w:ascii="仿宋" w:hAnsi="仿宋" w:eastAsia="仿宋" w:cs="仿宋_GB2312"/>
          <w:sz w:val="32"/>
          <w:szCs w:val="28"/>
        </w:rPr>
        <w:drawing>
          <wp:anchor distT="0" distB="0" distL="114300" distR="114300" simplePos="0" relativeHeight="251660288" behindDoc="0" locked="0" layoutInCell="1" allowOverlap="1">
            <wp:simplePos x="0" y="0"/>
            <wp:positionH relativeFrom="column">
              <wp:posOffset>3662680</wp:posOffset>
            </wp:positionH>
            <wp:positionV relativeFrom="paragraph">
              <wp:posOffset>82550</wp:posOffset>
            </wp:positionV>
            <wp:extent cx="1408430" cy="2449195"/>
            <wp:effectExtent l="0" t="0" r="1270" b="8255"/>
            <wp:wrapNone/>
            <wp:docPr id="28" name="图片 0" descr="05-01插页JXY JXY-II-12--AUTO新-1（20260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0" descr="05-01插页JXY JXY-II-12--AUTO新-1（20260401）.jpg"/>
                    <pic:cNvPicPr>
                      <a:picLocks noChangeAspect="1"/>
                    </pic:cNvPicPr>
                  </pic:nvPicPr>
                  <pic:blipFill>
                    <a:blip r:embed="rId6" cstate="print"/>
                    <a:stretch>
                      <a:fillRect/>
                    </a:stretch>
                  </pic:blipFill>
                  <pic:spPr>
                    <a:xfrm>
                      <a:off x="0" y="0"/>
                      <a:ext cx="1408430" cy="2449195"/>
                    </a:xfrm>
                    <a:prstGeom prst="rect">
                      <a:avLst/>
                    </a:prstGeom>
                  </pic:spPr>
                </pic:pic>
              </a:graphicData>
            </a:graphic>
          </wp:anchor>
        </w:drawing>
      </w:r>
      <w:r>
        <w:rPr>
          <w:rFonts w:hint="eastAsia" w:ascii="仿宋_GB2312" w:hAnsi="仿宋_GB2312" w:eastAsia="仿宋_GB2312" w:cs="仿宋_GB2312"/>
          <w:sz w:val="32"/>
          <w:szCs w:val="28"/>
          <w:lang w:val="en-US"/>
        </w:rPr>
        <w:drawing>
          <wp:anchor distT="0" distB="0" distL="114300" distR="114300" simplePos="0" relativeHeight="251659264" behindDoc="0" locked="0" layoutInCell="1" allowOverlap="1">
            <wp:simplePos x="0" y="0"/>
            <wp:positionH relativeFrom="column">
              <wp:posOffset>204470</wp:posOffset>
            </wp:positionH>
            <wp:positionV relativeFrom="paragraph">
              <wp:posOffset>85090</wp:posOffset>
            </wp:positionV>
            <wp:extent cx="2346960" cy="2346960"/>
            <wp:effectExtent l="0" t="0" r="15240" b="15240"/>
            <wp:wrapTopAndBottom/>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2346960" cy="2346960"/>
                    </a:xfrm>
                    <a:prstGeom prst="rect">
                      <a:avLst/>
                    </a:prstGeom>
                    <a:noFill/>
                    <a:ln>
                      <a:noFill/>
                    </a:ln>
                  </pic:spPr>
                </pic:pic>
              </a:graphicData>
            </a:graphic>
          </wp:anchor>
        </w:drawing>
      </w:r>
      <w:r>
        <w:rPr>
          <w:rFonts w:hint="eastAsia"/>
          <w:lang w:val="en-US" w:eastAsia="zh-CN"/>
        </w:rPr>
        <w:t xml:space="preserve">                                   </w:t>
      </w:r>
      <w:r>
        <w:rPr>
          <w:rFonts w:hint="eastAsia" w:ascii="仿宋_GB2312" w:hAnsi="仿宋_GB2312" w:eastAsia="仿宋_GB2312" w:cs="仿宋_GB2312"/>
          <w:sz w:val="32"/>
          <w:szCs w:val="28"/>
          <w:lang w:val="en-US" w:eastAsia="zh-CN"/>
        </w:rPr>
        <w:t>(b）</w:t>
      </w:r>
    </w:p>
    <w:p>
      <w:pPr>
        <w:spacing w:line="520" w:lineRule="exact"/>
        <w:ind w:firstLine="640" w:firstLineChars="200"/>
        <w:jc w:val="center"/>
        <w:outlineLvl w:val="1"/>
        <w:rPr>
          <w:rFonts w:hint="eastAsia"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图1</w:t>
      </w:r>
      <w:r>
        <w:rPr>
          <w:rFonts w:hint="eastAsia" w:ascii="仿宋_GB2312" w:hAnsi="仿宋_GB2312" w:eastAsia="仿宋_GB2312" w:cs="仿宋_GB2312"/>
          <w:sz w:val="32"/>
          <w:szCs w:val="28"/>
          <w:lang w:val="en-US"/>
        </w:rPr>
        <w:t>甲状腺功能测定仪</w:t>
      </w:r>
    </w:p>
    <w:p>
      <w:pPr>
        <w:pStyle w:val="16"/>
        <w:rPr>
          <w:rFonts w:hint="eastAsia"/>
          <w:lang w:val="en-US" w:eastAsia="zh-CN"/>
        </w:rPr>
      </w:pPr>
    </w:p>
    <w:p>
      <w:pPr>
        <w:spacing w:line="52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sz w:val="32"/>
          <w:szCs w:val="28"/>
        </w:rPr>
        <w:t>2.2工作原理</w:t>
      </w:r>
    </w:p>
    <w:p>
      <w:pPr>
        <w:spacing w:line="520" w:lineRule="exact"/>
        <w:ind w:firstLine="640" w:firstLineChars="200"/>
        <w:outlineLvl w:val="1"/>
        <w:rPr>
          <w:rFonts w:hint="eastAsia"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甲状腺功能测定仪临床常用</w:t>
      </w:r>
      <w:r>
        <w:rPr>
          <w:rFonts w:hint="eastAsia" w:ascii="仿宋_GB2312" w:hAnsi="仿宋_GB2312" w:eastAsia="仿宋_GB2312" w:cs="仿宋_GB2312"/>
          <w:sz w:val="32"/>
          <w:szCs w:val="28"/>
          <w:vertAlign w:val="superscript"/>
          <w:lang w:val="en-US" w:eastAsia="zh-CN"/>
        </w:rPr>
        <w:t>131</w:t>
      </w:r>
      <w:r>
        <w:rPr>
          <w:rFonts w:hint="eastAsia" w:ascii="仿宋_GB2312" w:hAnsi="仿宋_GB2312" w:eastAsia="仿宋_GB2312" w:cs="仿宋_GB2312"/>
          <w:sz w:val="32"/>
          <w:szCs w:val="28"/>
          <w:lang w:val="en-US" w:eastAsia="zh-CN"/>
        </w:rPr>
        <w:t>I作为示踪核素，该核素自然衰变过程中可释放γ射线。碘元素是合成甲状腺激素的重要成分，人体甲状腺组织具备特异性摄取、浓聚碘元素的生理特性。</w:t>
      </w:r>
    </w:p>
    <w:p>
      <w:pPr>
        <w:spacing w:line="520" w:lineRule="exact"/>
        <w:ind w:firstLine="640" w:firstLineChars="200"/>
        <w:outlineLvl w:val="1"/>
        <w:rPr>
          <w:rFonts w:hint="eastAsia"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受检者口服放射性碘化钠（Na</w:t>
      </w:r>
      <w:r>
        <w:rPr>
          <w:rFonts w:hint="eastAsia" w:ascii="仿宋_GB2312" w:hAnsi="仿宋_GB2312" w:eastAsia="仿宋_GB2312" w:cs="仿宋_GB2312"/>
          <w:sz w:val="32"/>
          <w:szCs w:val="28"/>
          <w:vertAlign w:val="superscript"/>
          <w:lang w:val="en-US" w:eastAsia="zh-CN"/>
        </w:rPr>
        <w:t>131</w:t>
      </w:r>
      <w:r>
        <w:rPr>
          <w:rFonts w:hint="eastAsia" w:ascii="仿宋_GB2312" w:hAnsi="仿宋_GB2312" w:eastAsia="仿宋_GB2312" w:cs="仿宋_GB2312"/>
          <w:sz w:val="32"/>
          <w:szCs w:val="28"/>
          <w:lang w:val="en-US" w:eastAsia="zh-CN"/>
        </w:rPr>
        <w:t>I）或其他制剂后，利用设备探测装置，于不同时间段在甲状腺体表区域采集放射性信号，定量测定甲状腺组织对放射性碘的摄取水平，计算得出各时段甲状腺摄碘率指标，可为甲状腺功能亢进等相关病症的临床鉴别诊断提供客观功能学参考依据。</w:t>
      </w:r>
    </w:p>
    <w:p>
      <w:pPr>
        <w:spacing w:line="520" w:lineRule="exact"/>
        <w:ind w:firstLine="640" w:firstLineChars="200"/>
        <w:outlineLvl w:val="1"/>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32"/>
          <w:szCs w:val="28"/>
          <w:lang w:val="en-US" w:eastAsia="zh-CN"/>
        </w:rPr>
        <w:t>甲状腺功能测定仪</w:t>
      </w:r>
      <w:r>
        <w:rPr>
          <w:rFonts w:hint="eastAsia" w:ascii="仿宋_GB2312" w:hAnsi="仿宋_GB2312" w:eastAsia="仿宋_GB2312" w:cs="仿宋_GB2312"/>
          <w:sz w:val="32"/>
          <w:szCs w:val="28"/>
          <w:lang w:val="en-US"/>
        </w:rPr>
        <w:t>是γ射线计数测量装置。当γ射线进入探测器NaI（Tl）晶体时，</w:t>
      </w:r>
      <w:r>
        <w:rPr>
          <w:rFonts w:hint="eastAsia" w:ascii="仿宋_GB2312" w:hAnsi="仿宋_GB2312" w:eastAsia="仿宋_GB2312" w:cs="仿宋_GB2312"/>
          <w:sz w:val="32"/>
          <w:szCs w:val="28"/>
          <w:lang w:val="en-US" w:eastAsia="zh-CN"/>
        </w:rPr>
        <w:t>会</w:t>
      </w:r>
      <w:r>
        <w:rPr>
          <w:rFonts w:hint="eastAsia" w:ascii="仿宋_GB2312" w:hAnsi="仿宋_GB2312" w:eastAsia="仿宋_GB2312" w:cs="仿宋_GB2312"/>
          <w:sz w:val="32"/>
          <w:szCs w:val="28"/>
          <w:lang w:val="en-US"/>
        </w:rPr>
        <w:t>产生强度与入射粒子能量成正比的</w:t>
      </w:r>
      <w:r>
        <w:rPr>
          <w:rFonts w:hint="eastAsia" w:ascii="仿宋_GB2312" w:hAnsi="仿宋_GB2312" w:eastAsia="仿宋_GB2312" w:cs="仿宋_GB2312"/>
          <w:sz w:val="32"/>
          <w:szCs w:val="28"/>
          <w:lang w:val="en-US" w:eastAsia="zh-CN"/>
        </w:rPr>
        <w:t>闪烁</w:t>
      </w:r>
      <w:r>
        <w:rPr>
          <w:rFonts w:hint="eastAsia" w:ascii="仿宋_GB2312" w:hAnsi="仿宋_GB2312" w:eastAsia="仿宋_GB2312" w:cs="仿宋_GB2312"/>
          <w:sz w:val="32"/>
          <w:szCs w:val="28"/>
          <w:lang w:val="en-US"/>
        </w:rPr>
        <w:t>光</w:t>
      </w:r>
      <w:r>
        <w:rPr>
          <w:rFonts w:hint="eastAsia" w:ascii="仿宋_GB2312" w:hAnsi="仿宋_GB2312" w:eastAsia="仿宋_GB2312" w:cs="仿宋_GB2312"/>
          <w:sz w:val="32"/>
          <w:szCs w:val="28"/>
          <w:lang w:val="en-US" w:eastAsia="zh-CN"/>
        </w:rPr>
        <w:t>，</w:t>
      </w:r>
      <w:r>
        <w:rPr>
          <w:rFonts w:hint="eastAsia" w:ascii="仿宋_GB2312" w:hAnsi="仿宋_GB2312" w:eastAsia="仿宋_GB2312" w:cs="仿宋_GB2312"/>
          <w:sz w:val="32"/>
          <w:szCs w:val="28"/>
          <w:lang w:val="en-US"/>
        </w:rPr>
        <w:t>经光电倍增管放大并转换成电脉冲信号，电脉冲再通过电子线路进一步放大</w:t>
      </w:r>
      <w:r>
        <w:rPr>
          <w:rFonts w:hint="eastAsia" w:ascii="仿宋_GB2312" w:hAnsi="仿宋_GB2312" w:eastAsia="仿宋_GB2312" w:cs="仿宋_GB2312"/>
          <w:sz w:val="32"/>
          <w:szCs w:val="28"/>
          <w:lang w:val="en-US" w:eastAsia="zh-CN"/>
        </w:rPr>
        <w:t>后</w:t>
      </w:r>
      <w:r>
        <w:rPr>
          <w:rFonts w:hint="eastAsia" w:ascii="仿宋_GB2312" w:hAnsi="仿宋_GB2312" w:eastAsia="仿宋_GB2312" w:cs="仿宋_GB2312"/>
          <w:sz w:val="32"/>
          <w:szCs w:val="28"/>
          <w:lang w:val="en-US"/>
        </w:rPr>
        <w:t>送入脉冲幅度分析器，</w:t>
      </w:r>
      <w:r>
        <w:rPr>
          <w:rFonts w:hint="eastAsia" w:ascii="仿宋_GB2312" w:hAnsi="仿宋_GB2312" w:eastAsia="仿宋_GB2312" w:cs="仿宋_GB2312"/>
          <w:sz w:val="32"/>
          <w:szCs w:val="28"/>
          <w:lang w:val="en-US" w:eastAsia="zh-CN"/>
        </w:rPr>
        <w:t>处于</w:t>
      </w:r>
      <w:r>
        <w:rPr>
          <w:rFonts w:hint="eastAsia" w:ascii="仿宋_GB2312" w:hAnsi="仿宋_GB2312" w:eastAsia="仿宋_GB2312" w:cs="仿宋_GB2312"/>
          <w:sz w:val="32"/>
          <w:szCs w:val="28"/>
          <w:lang w:val="en-US"/>
        </w:rPr>
        <w:t>道宽范围</w:t>
      </w:r>
      <w:r>
        <w:rPr>
          <w:rFonts w:hint="eastAsia" w:ascii="仿宋_GB2312" w:hAnsi="仿宋_GB2312" w:eastAsia="仿宋_GB2312" w:cs="仿宋_GB2312"/>
          <w:sz w:val="32"/>
          <w:szCs w:val="28"/>
          <w:lang w:val="en-US" w:eastAsia="zh-CN"/>
        </w:rPr>
        <w:t>内</w:t>
      </w:r>
      <w:r>
        <w:rPr>
          <w:rFonts w:hint="eastAsia" w:ascii="仿宋_GB2312" w:hAnsi="仿宋_GB2312" w:eastAsia="仿宋_GB2312" w:cs="仿宋_GB2312"/>
          <w:sz w:val="32"/>
          <w:szCs w:val="28"/>
          <w:lang w:val="en-US"/>
        </w:rPr>
        <w:t>的有效信号被输送至计算机接口</w:t>
      </w:r>
      <w:r>
        <w:rPr>
          <w:rFonts w:hint="eastAsia" w:ascii="仿宋_GB2312" w:hAnsi="仿宋_GB2312" w:eastAsia="仿宋_GB2312" w:cs="仿宋_GB2312"/>
          <w:sz w:val="32"/>
          <w:szCs w:val="28"/>
          <w:lang w:val="en-US" w:eastAsia="zh-CN"/>
        </w:rPr>
        <w:t>，</w:t>
      </w:r>
      <w:r>
        <w:rPr>
          <w:rFonts w:hint="eastAsia" w:ascii="仿宋_GB2312" w:hAnsi="仿宋_GB2312" w:eastAsia="仿宋_GB2312" w:cs="仿宋_GB2312"/>
          <w:sz w:val="32"/>
          <w:szCs w:val="28"/>
          <w:lang w:val="en-US"/>
        </w:rPr>
        <w:t>由计算机完成数据记录与运算处理。</w:t>
      </w:r>
      <w:r>
        <w:rPr>
          <w:rFonts w:hint="eastAsia" w:ascii="仿宋_GB2312" w:hAnsi="仿宋_GB2312" w:eastAsia="仿宋_GB2312" w:cs="仿宋_GB2312"/>
          <w:sz w:val="32"/>
          <w:szCs w:val="28"/>
          <w:lang w:val="en-US" w:eastAsia="zh-CN"/>
        </w:rPr>
        <w:t>产品工作原理图如：</w:t>
      </w:r>
    </w:p>
    <w:p>
      <w:pPr>
        <w:pStyle w:val="4"/>
        <w:ind w:left="0" w:leftChars="0" w:firstLine="0" w:firstLineChars="0"/>
        <w:jc w:val="center"/>
        <w:rPr>
          <w:rFonts w:hint="eastAsia" w:ascii="仿宋_GB2312" w:hAnsi="仿宋_GB2312" w:eastAsia="仿宋_GB2312" w:cs="仿宋_GB2312"/>
          <w:kern w:val="2"/>
          <w:sz w:val="32"/>
          <w:szCs w:val="28"/>
          <w:lang w:val="en-US" w:eastAsia="zh-CN" w:bidi="ar-SA"/>
        </w:rPr>
      </w:pPr>
      <w:r>
        <w:drawing>
          <wp:anchor distT="0" distB="0" distL="114300" distR="114300" simplePos="0" relativeHeight="251661312" behindDoc="0" locked="0" layoutInCell="1" allowOverlap="1">
            <wp:simplePos x="0" y="0"/>
            <wp:positionH relativeFrom="column">
              <wp:posOffset>34290</wp:posOffset>
            </wp:positionH>
            <wp:positionV relativeFrom="paragraph">
              <wp:posOffset>81915</wp:posOffset>
            </wp:positionV>
            <wp:extent cx="5540375" cy="2905125"/>
            <wp:effectExtent l="0" t="0" r="3175" b="9525"/>
            <wp:wrapTopAndBottom/>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8"/>
                    <a:stretch>
                      <a:fillRect/>
                    </a:stretch>
                  </pic:blipFill>
                  <pic:spPr>
                    <a:xfrm>
                      <a:off x="0" y="0"/>
                      <a:ext cx="5540375" cy="2905125"/>
                    </a:xfrm>
                    <a:prstGeom prst="rect">
                      <a:avLst/>
                    </a:prstGeom>
                    <a:noFill/>
                    <a:ln>
                      <a:noFill/>
                    </a:ln>
                  </pic:spPr>
                </pic:pic>
              </a:graphicData>
            </a:graphic>
          </wp:anchor>
        </w:drawing>
      </w:r>
      <w:r>
        <w:rPr>
          <w:rFonts w:hint="eastAsia" w:ascii="仿宋_GB2312" w:hAnsi="仿宋_GB2312" w:cs="仿宋_GB2312"/>
          <w:kern w:val="2"/>
          <w:sz w:val="32"/>
          <w:szCs w:val="28"/>
          <w:lang w:val="en-US" w:eastAsia="zh-CN" w:bidi="ar-SA"/>
        </w:rPr>
        <w:t xml:space="preserve">图2 </w:t>
      </w:r>
      <w:r>
        <w:rPr>
          <w:rFonts w:hint="eastAsia" w:ascii="仿宋_GB2312" w:hAnsi="仿宋_GB2312" w:eastAsia="仿宋_GB2312" w:cs="仿宋_GB2312"/>
          <w:kern w:val="2"/>
          <w:sz w:val="32"/>
          <w:szCs w:val="28"/>
          <w:lang w:val="en-US" w:eastAsia="zh-CN" w:bidi="ar-SA"/>
        </w:rPr>
        <w:t>产品工作原理图</w:t>
      </w:r>
    </w:p>
    <w:p>
      <w:pPr>
        <w:pStyle w:val="4"/>
        <w:ind w:left="0" w:leftChars="0" w:firstLine="640" w:firstLineChars="200"/>
        <w:jc w:val="left"/>
        <w:rPr>
          <w:rFonts w:hint="eastAsia" w:ascii="仿宋_GB2312" w:hAnsi="仿宋_GB2312" w:cs="仿宋_GB2312"/>
          <w:sz w:val="32"/>
          <w:szCs w:val="28"/>
          <w:lang w:val="en-US" w:eastAsia="zh-CN"/>
        </w:rPr>
      </w:pPr>
      <w:r>
        <w:rPr>
          <w:rFonts w:hint="eastAsia" w:ascii="仿宋_GB2312" w:hAnsi="仿宋_GB2312" w:cs="仿宋_GB2312"/>
          <w:color w:val="auto"/>
          <w:sz w:val="32"/>
          <w:szCs w:val="28"/>
        </w:rPr>
        <w:t>申请人</w:t>
      </w:r>
      <w:r>
        <w:rPr>
          <w:rFonts w:hint="eastAsia" w:ascii="仿宋_GB2312" w:hAnsi="仿宋_GB2312" w:cs="仿宋_GB2312"/>
          <w:color w:val="auto"/>
          <w:sz w:val="32"/>
          <w:szCs w:val="28"/>
          <w:lang w:eastAsia="zh-CN"/>
        </w:rPr>
        <w:t>应</w:t>
      </w:r>
      <w:r>
        <w:rPr>
          <w:rFonts w:hint="eastAsia" w:ascii="仿宋_GB2312" w:hAnsi="仿宋_GB2312" w:cs="仿宋_GB2312"/>
          <w:color w:val="auto"/>
          <w:sz w:val="32"/>
          <w:szCs w:val="28"/>
        </w:rPr>
        <w:t>结合临床应用，描述产品工作原理。</w:t>
      </w:r>
      <w:r>
        <w:rPr>
          <w:rFonts w:hint="eastAsia" w:ascii="仿宋_GB2312" w:hAnsi="仿宋_GB2312" w:cs="仿宋_GB2312"/>
          <w:color w:val="auto"/>
          <w:sz w:val="32"/>
          <w:szCs w:val="28"/>
          <w:lang w:eastAsia="zh-CN"/>
        </w:rPr>
        <w:t>可以从配合使用的核素、制剂类型、产品的探测原理、分析处理过程等方便进行详细描述。</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2.3型号规格</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对于存在多种型号规格的</w:t>
      </w:r>
      <w:r>
        <w:rPr>
          <w:rFonts w:hint="eastAsia" w:ascii="仿宋_GB2312" w:hAnsi="仿宋_GB2312" w:eastAsia="仿宋_GB2312" w:cs="仿宋_GB2312"/>
          <w:sz w:val="32"/>
          <w:szCs w:val="28"/>
          <w:lang w:eastAsia="zh-CN"/>
        </w:rPr>
        <w:t>甲状腺功能测定仪</w:t>
      </w:r>
      <w:r>
        <w:rPr>
          <w:rFonts w:hint="eastAsia" w:ascii="仿宋_GB2312" w:hAnsi="仿宋_GB2312" w:eastAsia="仿宋_GB2312" w:cs="仿宋_GB2312"/>
          <w:sz w:val="32"/>
          <w:szCs w:val="28"/>
        </w:rPr>
        <w:t>，应当明确各型号规格的区别。应当采用对比表或带有说明性文字的图片、图表，描述各种型号规格的结构组成（或配置）、功能、产品特征和运行模式、技术参数等内容。</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2.4包装说明</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应说明所有产品组成的包装信息。若附件为无菌提供，应当说明其无菌屏障系统的信息；若附件具有微生物限度要求，应当说明保持其微生物限度的包装信息。说明如何确保最终使用者可清晰地辨识包装的完整性。</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2.5研发历程</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阐述申请注册产品的研发背景和目的。如有参考的同类产品或前代产品，应当提供同类产品或前代产品的信息，并说明选择其作为研发参考的原因。</w:t>
      </w:r>
    </w:p>
    <w:p>
      <w:pPr>
        <w:snapToGrid w:val="0"/>
        <w:spacing w:line="520" w:lineRule="exact"/>
        <w:ind w:firstLine="640"/>
        <w:rPr>
          <w:rFonts w:hint="eastAsia" w:ascii="仿宋_GB2312" w:hAnsi="仿宋_GB2312" w:eastAsia="仿宋_GB2312" w:cs="仿宋_GB2312"/>
          <w:sz w:val="32"/>
          <w:szCs w:val="20"/>
        </w:rPr>
      </w:pPr>
      <w:r>
        <w:rPr>
          <w:rFonts w:hint="eastAsia" w:ascii="仿宋_GB2312" w:hAnsi="仿宋_GB2312" w:eastAsia="仿宋_GB2312" w:cs="仿宋_GB2312"/>
          <w:sz w:val="32"/>
          <w:szCs w:val="20"/>
        </w:rPr>
        <w:t>2.6与同类和/或前代产品的参考和比较</w:t>
      </w:r>
    </w:p>
    <w:p>
      <w:pPr>
        <w:pStyle w:val="16"/>
        <w:spacing w:line="520" w:lineRule="exact"/>
        <w:ind w:firstLine="640" w:firstLineChars="200"/>
        <w:outlineLvl w:val="1"/>
        <w:rPr>
          <w:rFonts w:hint="eastAsia" w:ascii="仿宋_GB2312" w:hAnsi="仿宋_GB2312" w:eastAsia="仿宋_GB2312" w:cs="仿宋_GB2312"/>
          <w:sz w:val="32"/>
          <w:szCs w:val="20"/>
        </w:rPr>
      </w:pPr>
      <w:r>
        <w:rPr>
          <w:rFonts w:hint="eastAsia" w:ascii="仿宋_GB2312" w:hAnsi="仿宋_GB2312" w:eastAsia="仿宋_GB2312" w:cs="仿宋_GB2312"/>
          <w:sz w:val="32"/>
          <w:szCs w:val="20"/>
        </w:rPr>
        <w:t>列表比较说明申报产品与同类产品和/或前代产品在工作原理、结构组成、制造材料、性能指标、以及适用范围等方面的异同。</w:t>
      </w:r>
    </w:p>
    <w:p>
      <w:pPr>
        <w:spacing w:line="520" w:lineRule="exact"/>
        <w:ind w:firstLine="640"/>
        <w:rPr>
          <w:rFonts w:hint="eastAsia" w:ascii="仿宋_GB2312" w:hAnsi="仿宋_GB2312" w:eastAsia="仿宋_GB2312" w:cs="仿宋_GB2312"/>
          <w:kern w:val="0"/>
          <w:sz w:val="32"/>
          <w:szCs w:val="20"/>
          <w:lang w:val="en-US" w:eastAsia="zh-CN"/>
        </w:rPr>
      </w:pPr>
      <w:r>
        <w:rPr>
          <w:rFonts w:hint="default" w:ascii="仿宋_GB2312" w:hAnsi="仿宋_GB2312" w:eastAsia="仿宋_GB2312" w:cs="仿宋_GB2312"/>
          <w:kern w:val="0"/>
          <w:sz w:val="32"/>
          <w:szCs w:val="20"/>
          <w:lang w:val="en-US"/>
        </w:rPr>
        <w:t xml:space="preserve">2.7 </w:t>
      </w:r>
      <w:r>
        <w:rPr>
          <w:rFonts w:hint="eastAsia" w:ascii="仿宋_GB2312" w:hAnsi="仿宋_GB2312" w:eastAsia="仿宋_GB2312" w:cs="仿宋_GB2312"/>
          <w:kern w:val="0"/>
          <w:sz w:val="32"/>
          <w:szCs w:val="20"/>
          <w:lang w:val="en-US" w:eastAsia="zh-CN"/>
        </w:rPr>
        <w:t>其他需说明的内容</w:t>
      </w:r>
    </w:p>
    <w:p>
      <w:pPr>
        <w:spacing w:line="520" w:lineRule="exact"/>
        <w:ind w:firstLine="640"/>
        <w:rPr>
          <w:rFonts w:hint="eastAsia" w:ascii="仿宋_GB2312" w:hAnsi="仿宋_GB2312" w:eastAsia="仿宋_GB2312" w:cs="仿宋_GB2312"/>
          <w:kern w:val="0"/>
          <w:sz w:val="32"/>
          <w:szCs w:val="20"/>
          <w:lang w:val="en-US" w:eastAsia="zh-CN"/>
        </w:rPr>
      </w:pPr>
      <w:r>
        <w:rPr>
          <w:rFonts w:hint="eastAsia" w:ascii="仿宋_GB2312" w:hAnsi="仿宋_GB2312" w:eastAsia="仿宋_GB2312" w:cs="仿宋_GB2312"/>
          <w:kern w:val="0"/>
          <w:sz w:val="32"/>
          <w:szCs w:val="20"/>
          <w:lang w:eastAsia="zh-CN"/>
        </w:rPr>
        <w:t>应</w:t>
      </w:r>
      <w:r>
        <w:rPr>
          <w:rFonts w:hint="eastAsia" w:ascii="仿宋_GB2312" w:hAnsi="仿宋_GB2312" w:eastAsia="仿宋_GB2312" w:cs="仿宋_GB2312"/>
          <w:kern w:val="0"/>
          <w:sz w:val="32"/>
          <w:szCs w:val="20"/>
        </w:rPr>
        <w:t>明确与申报产品联合使用实现预期用途的其他产品的详细信息</w:t>
      </w:r>
      <w:r>
        <w:rPr>
          <w:rFonts w:hint="eastAsia" w:ascii="仿宋_GB2312" w:hAnsi="仿宋_GB2312" w:eastAsia="仿宋_GB2312" w:cs="仿宋_GB2312"/>
          <w:kern w:val="0"/>
          <w:sz w:val="32"/>
          <w:szCs w:val="20"/>
          <w:lang w:eastAsia="zh-CN"/>
        </w:rPr>
        <w:t>，如制剂</w:t>
      </w:r>
      <w:r>
        <w:rPr>
          <w:rFonts w:hint="eastAsia" w:ascii="仿宋_GB2312" w:hAnsi="仿宋_GB2312" w:eastAsia="仿宋_GB2312" w:cs="仿宋_GB2312"/>
          <w:kern w:val="0"/>
          <w:sz w:val="32"/>
          <w:szCs w:val="20"/>
        </w:rPr>
        <w:t>。对于已获得批准的部件或配合使用的附件，应当提供注册证编号或备案号，以及国家药监局官方网站公布的注册或备案信息。</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3.适用范围和禁忌证</w:t>
      </w:r>
    </w:p>
    <w:p>
      <w:pPr>
        <w:spacing w:line="520" w:lineRule="exact"/>
        <w:ind w:firstLine="640" w:firstLineChars="200"/>
        <w:outlineLvl w:val="1"/>
        <w:rPr>
          <w:rFonts w:hint="default" w:ascii="仿宋_GB2312" w:hAnsi="仿宋_GB2312" w:eastAsia="宋体" w:cs="仿宋_GB2312"/>
          <w:kern w:val="0"/>
          <w:sz w:val="32"/>
          <w:szCs w:val="20"/>
          <w:lang w:val="en-US" w:eastAsia="zh-CN"/>
        </w:rPr>
      </w:pPr>
      <w:r>
        <w:rPr>
          <w:rFonts w:hint="eastAsia" w:ascii="仿宋_GB2312" w:hAnsi="仿宋_GB2312" w:eastAsia="仿宋_GB2312" w:cs="仿宋_GB2312"/>
          <w:sz w:val="32"/>
          <w:szCs w:val="28"/>
        </w:rPr>
        <w:t>3.1适用范围</w:t>
      </w:r>
    </w:p>
    <w:p>
      <w:pPr>
        <w:spacing w:line="520" w:lineRule="exact"/>
        <w:ind w:firstLine="640"/>
        <w:rPr>
          <w:rFonts w:hint="eastAsia" w:ascii="仿宋_GB2312" w:hAnsi="仿宋_GB2312" w:eastAsia="仿宋_GB2312" w:cs="仿宋_GB2312"/>
          <w:kern w:val="0"/>
          <w:sz w:val="32"/>
          <w:szCs w:val="20"/>
        </w:rPr>
      </w:pPr>
      <w:r>
        <w:rPr>
          <w:rFonts w:hint="eastAsia" w:ascii="仿宋_GB2312" w:hAnsi="仿宋_GB2312" w:eastAsia="仿宋_GB2312" w:cs="仿宋_GB2312"/>
          <w:kern w:val="0"/>
          <w:sz w:val="32"/>
          <w:szCs w:val="20"/>
          <w:lang w:eastAsia="zh-CN"/>
        </w:rPr>
        <w:t>甲状腺功能测定仪</w:t>
      </w:r>
      <w:r>
        <w:rPr>
          <w:rFonts w:hint="eastAsia" w:ascii="仿宋_GB2312" w:hAnsi="仿宋_GB2312" w:eastAsia="仿宋_GB2312" w:cs="仿宋_GB2312"/>
          <w:kern w:val="0"/>
          <w:sz w:val="32"/>
          <w:szCs w:val="20"/>
        </w:rPr>
        <w:t>一般在医院使用，设备通过探测器采集患者甲状腺浓聚放射性碘后释放的γ射线，计算出甲状腺的摄碘率，以此评估甲状腺对碘元素的摄取与浓聚能力。</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申请人应根据产品特征和临床使用情况描述产品预期用途，如：用于人体甲状腺吸碘功能的测定。</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3.2预期使用环境</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该产品预期使用于医疗机构。</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明确可能影响其安全性和有效性的环境条件，如温度、湿度、压力、移动、振动、海拔等。</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3.3适用人群</w:t>
      </w:r>
    </w:p>
    <w:p>
      <w:pPr>
        <w:spacing w:line="520" w:lineRule="exact"/>
        <w:ind w:firstLine="640" w:firstLineChars="200"/>
        <w:outlineLvl w:val="1"/>
        <w:rPr>
          <w:rFonts w:hint="default" w:ascii="仿宋_GB2312" w:hAnsi="仿宋_GB2312" w:eastAsia="仿宋_GB2312" w:cs="仿宋_GB2312"/>
          <w:color w:val="FF0000"/>
          <w:sz w:val="32"/>
          <w:szCs w:val="28"/>
          <w:lang w:val="en-US" w:eastAsia="zh-CN"/>
        </w:rPr>
      </w:pPr>
      <w:r>
        <w:rPr>
          <w:rFonts w:eastAsia="仿宋_GB2312"/>
          <w:sz w:val="32"/>
          <w:szCs w:val="32"/>
        </w:rPr>
        <w:t>应</w:t>
      </w:r>
      <w:r>
        <w:rPr>
          <w:rFonts w:hint="eastAsia" w:eastAsia="仿宋_GB2312"/>
          <w:sz w:val="32"/>
          <w:szCs w:val="32"/>
          <w:lang w:eastAsia="zh-CN"/>
        </w:rPr>
        <w:t>详细描</w:t>
      </w:r>
      <w:r>
        <w:rPr>
          <w:rFonts w:eastAsia="仿宋_GB2312"/>
          <w:sz w:val="32"/>
          <w:szCs w:val="32"/>
        </w:rPr>
        <w:t>述产品的适用人群</w:t>
      </w:r>
      <w:r>
        <w:rPr>
          <w:rFonts w:hint="eastAsia" w:eastAsia="仿宋_GB2312"/>
          <w:sz w:val="32"/>
          <w:szCs w:val="32"/>
          <w:lang w:eastAsia="zh-CN"/>
        </w:rPr>
        <w:t>。</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3.4禁忌证</w:t>
      </w:r>
    </w:p>
    <w:p>
      <w:pPr>
        <w:spacing w:line="520" w:lineRule="exact"/>
        <w:ind w:firstLine="640" w:firstLineChars="200"/>
        <w:rPr>
          <w:rFonts w:hint="default" w:ascii="仿宋_GB2312" w:hAnsi="仿宋_GB2312" w:eastAsia="仿宋_GB2312" w:cs="仿宋_GB2312"/>
          <w:sz w:val="32"/>
          <w:szCs w:val="28"/>
          <w:lang w:val="en-US"/>
        </w:rPr>
      </w:pPr>
      <w:r>
        <w:rPr>
          <w:rFonts w:hint="eastAsia" w:ascii="仿宋_GB2312" w:hAnsi="仿宋_GB2312" w:eastAsia="仿宋_GB2312" w:cs="仿宋_GB2312"/>
          <w:sz w:val="32"/>
          <w:szCs w:val="28"/>
        </w:rPr>
        <w:t>应当明确说明该产品禁忌应用的特定人群、疾病种类等。如：</w:t>
      </w:r>
      <w:r>
        <w:rPr>
          <w:rFonts w:hint="eastAsia" w:ascii="仿宋_GB2312" w:hAnsi="仿宋_GB2312" w:eastAsia="仿宋_GB2312" w:cs="仿宋_GB2312"/>
          <w:sz w:val="32"/>
          <w:szCs w:val="28"/>
          <w:lang w:eastAsia="zh-CN"/>
        </w:rPr>
        <w:t>婴幼儿</w:t>
      </w:r>
      <w:r>
        <w:rPr>
          <w:rFonts w:hint="eastAsia" w:ascii="仿宋_GB2312" w:hAnsi="仿宋_GB2312" w:eastAsia="仿宋_GB2312" w:cs="仿宋_GB2312"/>
          <w:sz w:val="32"/>
          <w:szCs w:val="28"/>
        </w:rPr>
        <w:t>、妊娠和哺乳期妇女</w:t>
      </w:r>
      <w:r>
        <w:rPr>
          <w:rFonts w:hint="eastAsia" w:ascii="仿宋_GB2312" w:hAnsi="仿宋_GB2312" w:eastAsia="仿宋_GB2312" w:cs="仿宋_GB2312"/>
          <w:sz w:val="32"/>
          <w:szCs w:val="28"/>
          <w:lang w:eastAsia="zh-CN"/>
        </w:rPr>
        <w:t>应为</w:t>
      </w:r>
      <w:r>
        <w:rPr>
          <w:rFonts w:hint="eastAsia" w:ascii="仿宋_GB2312" w:hAnsi="仿宋_GB2312" w:eastAsia="仿宋_GB2312" w:cs="仿宋_GB2312"/>
          <w:sz w:val="32"/>
          <w:szCs w:val="28"/>
          <w:lang w:val="en-US" w:eastAsia="zh-CN"/>
        </w:rPr>
        <w:t>相对禁忌。</w:t>
      </w:r>
    </w:p>
    <w:p>
      <w:pPr>
        <w:spacing w:line="520" w:lineRule="exact"/>
        <w:ind w:firstLine="640" w:firstLineChars="200"/>
        <w:outlineLvl w:val="1"/>
        <w:rPr>
          <w:rFonts w:hint="eastAsia" w:ascii="仿宋_GB2312" w:hAnsi="仿宋_GB2312" w:eastAsia="仿宋_GB2312" w:cs="仿宋_GB2312"/>
          <w:bCs/>
          <w:iCs/>
          <w:sz w:val="32"/>
          <w:szCs w:val="28"/>
        </w:rPr>
      </w:pPr>
      <w:r>
        <w:rPr>
          <w:rFonts w:hint="eastAsia" w:ascii="Times New Roman" w:hAnsi="Times New Roman" w:eastAsia="楷体_GB2312" w:cs="Times New Roman"/>
          <w:color w:val="000000"/>
          <w:sz w:val="32"/>
          <w:szCs w:val="32"/>
        </w:rPr>
        <w:t>（三）非临床资料</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1.风险管理资料</w:t>
      </w:r>
    </w:p>
    <w:p>
      <w:pPr>
        <w:widowControl/>
        <w:spacing w:line="52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注册申请人需对产品全生命周期实施风险管理，参考GB/T 42062，</w:t>
      </w:r>
      <w:r>
        <w:rPr>
          <w:rFonts w:hint="eastAsia" w:ascii="仿宋_GB2312" w:hAnsi="仿宋_GB2312" w:eastAsia="仿宋_GB2312" w:cs="仿宋_GB2312"/>
          <w:sz w:val="32"/>
          <w:szCs w:val="32"/>
          <w:lang w:val="zh-CN"/>
        </w:rPr>
        <w:t>提供产品风险管理报告。</w:t>
      </w:r>
    </w:p>
    <w:p>
      <w:pPr>
        <w:spacing w:line="520" w:lineRule="exact"/>
        <w:ind w:firstLine="640" w:firstLineChars="200"/>
        <w:rPr>
          <w:rFonts w:hint="eastAsia" w:ascii="仿宋_GB2312" w:hAnsi="仿宋_GB2312" w:eastAsia="仿宋_GB2312" w:cs="仿宋_GB2312"/>
          <w:bCs/>
          <w:iCs/>
          <w:sz w:val="32"/>
          <w:szCs w:val="28"/>
        </w:rPr>
      </w:pPr>
      <w:r>
        <w:rPr>
          <w:rFonts w:hint="eastAsia" w:ascii="仿宋_GB2312" w:hAnsi="仿宋_GB2312" w:eastAsia="仿宋_GB2312" w:cs="仿宋_GB2312"/>
          <w:bCs/>
          <w:iCs/>
          <w:sz w:val="32"/>
          <w:szCs w:val="28"/>
        </w:rPr>
        <w:t>参考GB/T 42062标准、适用的安全标准及规范性文件，结合产品自身设计特点、临床用途及使用场景，充分识别与安全有关的特征，进行风险分析、评价及控制。风险控制的方案与实施、综合剩余风险的评价可参考GB/T 42062标准第7、第8章的相关要求。应确保各风险的可追溯性，提供各风险及综合剩余风险的可接受准则，确认各风险及综合剩余风险可接受。产品的主要危险见附表1。</w:t>
      </w:r>
    </w:p>
    <w:p>
      <w:pPr>
        <w:autoSpaceDE w:val="0"/>
        <w:autoSpaceDN w:val="0"/>
        <w:spacing w:line="520" w:lineRule="exact"/>
        <w:ind w:firstLine="640" w:firstLineChars="200"/>
        <w:jc w:val="left"/>
        <w:outlineLvl w:val="2"/>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2.医疗器械安全和性能基本原则清单</w:t>
      </w:r>
    </w:p>
    <w:p>
      <w:pPr>
        <w:pStyle w:val="10"/>
        <w:spacing w:before="0" w:line="520" w:lineRule="exact"/>
        <w:ind w:firstLine="640" w:firstLineChars="200"/>
        <w:outlineLvl w:val="9"/>
        <w:rPr>
          <w:rFonts w:hint="eastAsia" w:ascii="仿宋_GB2312" w:hAnsi="仿宋_GB2312" w:eastAsia="仿宋_GB2312" w:cs="仿宋_GB2312"/>
          <w:bCs w:val="0"/>
          <w:kern w:val="0"/>
        </w:rPr>
      </w:pPr>
      <w:r>
        <w:rPr>
          <w:rFonts w:hint="eastAsia" w:ascii="仿宋_GB2312" w:hAnsi="仿宋_GB2312" w:eastAsia="仿宋_GB2312" w:cs="仿宋_GB2312"/>
          <w:bCs w:val="0"/>
          <w:kern w:val="0"/>
        </w:rPr>
        <w:t>说明申报产品符合《医疗器械安全和性能基本原则清单》各项适用要求所采用的方法，以及证明其符合性的文件。对于《医疗器械安全和性能基本原则清单》中不适用的各项要求，应当说明理由。</w:t>
      </w:r>
    </w:p>
    <w:p>
      <w:pPr>
        <w:spacing w:line="520" w:lineRule="exact"/>
        <w:ind w:firstLine="640" w:firstLineChars="200"/>
        <w:rPr>
          <w:rFonts w:hint="eastAsia" w:ascii="仿宋_GB2312" w:hAnsi="仿宋_GB2312" w:eastAsia="仿宋_GB2312" w:cs="仿宋_GB2312"/>
        </w:rPr>
      </w:pPr>
      <w:r>
        <w:rPr>
          <w:rFonts w:hint="eastAsia" w:ascii="仿宋_GB2312" w:hAnsi="仿宋_GB2312" w:eastAsia="仿宋_GB2312" w:cs="仿宋_GB2312"/>
          <w:color w:val="000000"/>
          <w:sz w:val="32"/>
          <w:szCs w:val="32"/>
        </w:rPr>
        <w:t>对于包含在产品注册申报资料中的文件，应当说明其在申报资料中的具体位置；对于未包含在产品注册申报资料中的文件，应当注明该证据文件名称及其在质量管理体系文件中的编号备查。</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3.产品技术要求及检验报告</w:t>
      </w:r>
    </w:p>
    <w:p>
      <w:pPr>
        <w:spacing w:line="52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3.1申报产品适用标准情况</w:t>
      </w:r>
    </w:p>
    <w:p>
      <w:pPr>
        <w:spacing w:line="52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申报产品应当符合适用的强制性标准。若申报产品结构特征、预期用途、使用方式等与强制性标准的适用范围不一致，申请人应当提出不适用强制性标准的说明，并提供经验证的证明性资料。</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3.2产品技术要求</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品技术要求的编制应参考《医疗器械产品技术要求编写指导原则》。本指导原则列出此类产品可能涉及的重要性能指标。注册申请人应参考相应的国家标准、行业标准，结合产品的技术特点制定具体的性能指标要求。对于国家标准、行业标准中不适用条款，注册申请人应在研究资料的产品性能研究中说明理由。</w:t>
      </w:r>
    </w:p>
    <w:p>
      <w:pPr>
        <w:spacing w:line="520" w:lineRule="exact"/>
        <w:ind w:firstLine="640" w:firstLineChars="200"/>
        <w:jc w:val="left"/>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3.2.1产品型号/规格及其划分的说明</w:t>
      </w:r>
    </w:p>
    <w:p>
      <w:pPr>
        <w:spacing w:line="520" w:lineRule="exact"/>
        <w:ind w:firstLine="640" w:firstLineChars="200"/>
        <w:jc w:val="left"/>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应列明产品的型号、规格。对同一注册单元中存在多种型号、规格的产品，应明确不同型号、规格的划分说明。</w:t>
      </w:r>
    </w:p>
    <w:p>
      <w:pPr>
        <w:spacing w:line="520" w:lineRule="exact"/>
        <w:ind w:firstLine="640" w:firstLineChars="200"/>
        <w:outlineLvl w:val="1"/>
        <w:rPr>
          <w:rFonts w:hint="eastAsia" w:ascii="仿宋_GB2312" w:hAnsi="仿宋_GB2312" w:eastAsia="仿宋_GB2312" w:cs="仿宋_GB2312"/>
          <w:sz w:val="32"/>
          <w:szCs w:val="32"/>
          <w:lang w:val="en"/>
        </w:rPr>
      </w:pPr>
      <w:r>
        <w:rPr>
          <w:rFonts w:hint="eastAsia" w:ascii="仿宋_GB2312" w:hAnsi="仿宋_GB2312" w:eastAsia="仿宋_GB2312" w:cs="仿宋_GB2312"/>
          <w:sz w:val="32"/>
          <w:szCs w:val="32"/>
        </w:rPr>
        <w:t>如产品含有软件组件，应按照《医疗器械软件注册审查指导原则</w:t>
      </w:r>
      <w:r>
        <w:rPr>
          <w:rFonts w:hint="eastAsia" w:ascii="仿宋_GB2312" w:hAnsi="仿宋_GB2312" w:eastAsia="仿宋_GB2312" w:cs="仿宋_GB2312"/>
          <w:sz w:val="32"/>
          <w:szCs w:val="28"/>
        </w:rPr>
        <w:t>（2022年修订版）</w:t>
      </w:r>
      <w:r>
        <w:rPr>
          <w:rFonts w:hint="eastAsia" w:ascii="仿宋_GB2312" w:hAnsi="仿宋_GB2312" w:eastAsia="仿宋_GB2312" w:cs="仿宋_GB2312"/>
          <w:sz w:val="32"/>
          <w:szCs w:val="32"/>
        </w:rPr>
        <w:t>》的要求，明确软件名称、型号规格、发布版本、版本命名规则。软件模块（含医用中间件）若有单独的版本、版本命名规则均需说明。</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3.2.2性能指标</w:t>
      </w:r>
    </w:p>
    <w:p>
      <w:pPr>
        <w:spacing w:line="520" w:lineRule="exact"/>
        <w:ind w:firstLine="640" w:firstLineChars="200"/>
        <w:outlineLvl w:val="1"/>
        <w:rPr>
          <w:rFonts w:hint="eastAsia" w:ascii="仿宋_GB2312" w:hAnsi="仿宋_GB2312" w:eastAsia="仿宋_GB2312" w:cs="仿宋_GB2312"/>
          <w:sz w:val="32"/>
          <w:szCs w:val="28"/>
          <w:lang w:eastAsia="zh-CN"/>
        </w:rPr>
      </w:pPr>
      <w:r>
        <w:rPr>
          <w:rFonts w:hint="eastAsia" w:ascii="仿宋_GB2312" w:hAnsi="仿宋_GB2312" w:eastAsia="仿宋_GB2312" w:cs="仿宋_GB2312"/>
          <w:sz w:val="32"/>
          <w:szCs w:val="28"/>
        </w:rPr>
        <w:t>3.2.2.1</w:t>
      </w:r>
      <w:r>
        <w:rPr>
          <w:rFonts w:hint="eastAsia" w:ascii="仿宋_GB2312" w:hAnsi="仿宋_GB2312" w:eastAsia="仿宋_GB2312" w:cs="仿宋_GB2312"/>
          <w:sz w:val="32"/>
          <w:szCs w:val="28"/>
          <w:lang w:eastAsia="zh-CN"/>
        </w:rPr>
        <w:t>外观要求</w:t>
      </w:r>
    </w:p>
    <w:p>
      <w:pPr>
        <w:spacing w:line="520" w:lineRule="exact"/>
        <w:ind w:firstLine="640" w:firstLineChars="200"/>
        <w:outlineLvl w:val="1"/>
        <w:rPr>
          <w:rFonts w:hint="eastAsia" w:ascii="仿宋_GB2312" w:hAnsi="仿宋_GB2312" w:eastAsia="仿宋_GB2312" w:cs="仿宋_GB2312"/>
          <w:sz w:val="32"/>
          <w:szCs w:val="28"/>
          <w:lang w:eastAsia="zh-CN"/>
        </w:rPr>
      </w:pPr>
      <w:r>
        <w:rPr>
          <w:rFonts w:hint="eastAsia" w:ascii="仿宋_GB2312" w:hAnsi="仿宋_GB2312" w:eastAsia="仿宋_GB2312" w:cs="仿宋_GB2312"/>
          <w:sz w:val="32"/>
          <w:szCs w:val="28"/>
        </w:rPr>
        <w:t>3.2.2.</w:t>
      </w:r>
      <w:r>
        <w:rPr>
          <w:rFonts w:hint="eastAsia" w:ascii="仿宋_GB2312" w:hAnsi="仿宋_GB2312" w:eastAsia="仿宋_GB2312" w:cs="仿宋_GB2312"/>
          <w:sz w:val="32"/>
          <w:szCs w:val="28"/>
          <w:lang w:val="en-US" w:eastAsia="zh-CN"/>
        </w:rPr>
        <w:t>2</w:t>
      </w:r>
      <w:r>
        <w:rPr>
          <w:rFonts w:hint="eastAsia" w:ascii="仿宋_GB2312" w:hAnsi="仿宋_GB2312" w:eastAsia="仿宋_GB2312" w:cs="仿宋_GB2312"/>
          <w:sz w:val="32"/>
          <w:szCs w:val="28"/>
          <w:lang w:eastAsia="zh-CN"/>
        </w:rPr>
        <w:t>机械特性</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3.2.2.</w:t>
      </w:r>
      <w:r>
        <w:rPr>
          <w:rFonts w:hint="eastAsia" w:ascii="仿宋_GB2312" w:hAnsi="仿宋_GB2312" w:eastAsia="仿宋_GB2312" w:cs="仿宋_GB2312"/>
          <w:sz w:val="32"/>
          <w:szCs w:val="28"/>
          <w:lang w:val="en-US" w:eastAsia="zh-CN"/>
        </w:rPr>
        <w:t>3</w:t>
      </w:r>
      <w:r>
        <w:rPr>
          <w:rFonts w:hint="eastAsia" w:ascii="仿宋_GB2312" w:hAnsi="仿宋_GB2312" w:eastAsia="仿宋_GB2312" w:cs="仿宋_GB2312"/>
          <w:sz w:val="32"/>
          <w:szCs w:val="28"/>
        </w:rPr>
        <w:t>本底计数率</w:t>
      </w:r>
    </w:p>
    <w:p>
      <w:pPr>
        <w:spacing w:line="520" w:lineRule="exact"/>
        <w:ind w:firstLine="640" w:firstLineChars="200"/>
        <w:outlineLvl w:val="1"/>
        <w:rPr>
          <w:rFonts w:hint="eastAsia" w:ascii="仿宋_GB2312" w:hAnsi="仿宋_GB2312" w:eastAsia="仿宋_GB2312" w:cs="仿宋_GB2312"/>
          <w:sz w:val="32"/>
          <w:szCs w:val="28"/>
          <w:lang w:eastAsia="zh-CN"/>
        </w:rPr>
      </w:pPr>
      <w:r>
        <w:rPr>
          <w:rFonts w:hint="eastAsia" w:ascii="仿宋_GB2312" w:hAnsi="仿宋_GB2312" w:eastAsia="仿宋_GB2312" w:cs="仿宋_GB2312"/>
          <w:sz w:val="32"/>
          <w:szCs w:val="28"/>
        </w:rPr>
        <w:t>3.2.2.</w:t>
      </w:r>
      <w:r>
        <w:rPr>
          <w:rFonts w:hint="eastAsia" w:ascii="仿宋_GB2312" w:hAnsi="仿宋_GB2312" w:eastAsia="仿宋_GB2312" w:cs="仿宋_GB2312"/>
          <w:sz w:val="32"/>
          <w:szCs w:val="28"/>
          <w:lang w:val="en-US" w:eastAsia="zh-CN"/>
        </w:rPr>
        <w:t>4</w:t>
      </w:r>
      <w:r>
        <w:rPr>
          <w:rFonts w:hint="eastAsia" w:ascii="仿宋_GB2312" w:hAnsi="仿宋_GB2312" w:eastAsia="仿宋_GB2312" w:cs="仿宋_GB2312"/>
          <w:sz w:val="32"/>
          <w:szCs w:val="28"/>
        </w:rPr>
        <w:t>点源灵敏度</w:t>
      </w:r>
    </w:p>
    <w:p>
      <w:pPr>
        <w:spacing w:line="520" w:lineRule="exact"/>
        <w:ind w:firstLine="640" w:firstLineChars="200"/>
        <w:outlineLvl w:val="1"/>
        <w:rPr>
          <w:rFonts w:hint="eastAsia" w:ascii="仿宋_GB2312" w:hAnsi="仿宋_GB2312" w:eastAsia="仿宋_GB2312" w:cs="仿宋_GB2312"/>
          <w:strike/>
          <w:color w:val="auto"/>
          <w:sz w:val="32"/>
          <w:szCs w:val="28"/>
          <w:lang w:val="en-US" w:eastAsia="zh-CN"/>
        </w:rPr>
      </w:pPr>
      <w:r>
        <w:rPr>
          <w:rFonts w:hint="eastAsia" w:ascii="仿宋_GB2312" w:hAnsi="仿宋_GB2312" w:eastAsia="仿宋_GB2312" w:cs="仿宋_GB2312"/>
          <w:color w:val="auto"/>
          <w:sz w:val="32"/>
          <w:szCs w:val="28"/>
        </w:rPr>
        <w:t>3.2.2.</w:t>
      </w:r>
      <w:r>
        <w:rPr>
          <w:rFonts w:hint="eastAsia" w:ascii="仿宋_GB2312" w:hAnsi="仿宋_GB2312" w:eastAsia="仿宋_GB2312" w:cs="仿宋_GB2312"/>
          <w:color w:val="auto"/>
          <w:sz w:val="32"/>
          <w:szCs w:val="28"/>
          <w:lang w:val="en-US" w:eastAsia="zh-CN"/>
        </w:rPr>
        <w:t>5</w:t>
      </w:r>
      <w:r>
        <w:rPr>
          <w:rFonts w:hint="eastAsia" w:ascii="仿宋_GB2312" w:hAnsi="仿宋_GB2312" w:eastAsia="仿宋_GB2312" w:cs="仿宋_GB2312"/>
          <w:color w:val="auto"/>
          <w:sz w:val="32"/>
          <w:szCs w:val="28"/>
          <w:lang w:eastAsia="zh-CN"/>
        </w:rPr>
        <w:t>时间稳定性</w:t>
      </w:r>
    </w:p>
    <w:p>
      <w:pPr>
        <w:pStyle w:val="16"/>
        <w:ind w:firstLine="640" w:firstLineChars="200"/>
        <w:rPr>
          <w:rFonts w:hint="eastAsia" w:ascii="仿宋_GB2312" w:hAnsi="仿宋_GB2312" w:eastAsia="仿宋_GB2312" w:cs="仿宋_GB2312"/>
          <w:sz w:val="32"/>
          <w:szCs w:val="28"/>
          <w:lang w:val="en-US" w:eastAsia="zh-CN"/>
        </w:rPr>
      </w:pPr>
      <w:r>
        <w:rPr>
          <w:rFonts w:hint="eastAsia" w:ascii="仿宋_GB2312" w:hAnsi="仿宋_GB2312" w:eastAsia="仿宋_GB2312" w:cs="仿宋_GB2312"/>
          <w:sz w:val="32"/>
          <w:szCs w:val="28"/>
        </w:rPr>
        <w:t>3.2.2.</w:t>
      </w:r>
      <w:r>
        <w:rPr>
          <w:rFonts w:hint="eastAsia" w:ascii="仿宋_GB2312" w:hAnsi="仿宋_GB2312" w:eastAsia="仿宋_GB2312" w:cs="仿宋_GB2312"/>
          <w:sz w:val="32"/>
          <w:szCs w:val="28"/>
          <w:lang w:val="en-US" w:eastAsia="zh-CN"/>
        </w:rPr>
        <w:t>6</w:t>
      </w:r>
      <w:r>
        <w:rPr>
          <w:rFonts w:hint="eastAsia" w:ascii="仿宋_GB2312" w:hAnsi="仿宋_GB2312" w:eastAsia="仿宋_GB2312" w:cs="仿宋_GB2312"/>
          <w:sz w:val="32"/>
          <w:szCs w:val="28"/>
        </w:rPr>
        <w:t>软件功能</w:t>
      </w:r>
    </w:p>
    <w:p>
      <w:pPr>
        <w:spacing w:line="52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28"/>
        </w:rPr>
        <w:t>应符合《医疗器械软件注册审查指导原则（2022年修订版）》的要求，明确软件的功能（核心功能（含安全功能）纲要）、使用限制、接口（如适用）、访问控制（如适用）、运行环境（如适用）</w:t>
      </w:r>
      <w:r>
        <w:rPr>
          <w:rFonts w:hint="eastAsia" w:ascii="仿宋_GB2312" w:hAnsi="仿宋_GB2312" w:eastAsia="仿宋_GB2312" w:cs="仿宋_GB2312"/>
          <w:sz w:val="32"/>
          <w:szCs w:val="32"/>
        </w:rPr>
        <w:t>、性能效率（如适用）。</w:t>
      </w:r>
    </w:p>
    <w:p>
      <w:pPr>
        <w:spacing w:line="52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3.2.2.7如有附件或其他宣称的性能和功能，应制定相应的要求。</w:t>
      </w:r>
    </w:p>
    <w:p>
      <w:pPr>
        <w:spacing w:line="520" w:lineRule="exact"/>
        <w:ind w:firstLine="640" w:firstLineChars="200"/>
        <w:outlineLvl w:val="1"/>
        <w:rPr>
          <w:rFonts w:hint="eastAsia" w:ascii="仿宋_GB2312" w:hAnsi="仿宋_GB2312" w:eastAsia="仿宋_GB2312" w:cs="仿宋_GB2312"/>
          <w:sz w:val="32"/>
          <w:szCs w:val="28"/>
          <w:lang w:val="en"/>
        </w:rPr>
      </w:pPr>
      <w:r>
        <w:rPr>
          <w:rFonts w:hint="eastAsia" w:ascii="仿宋_GB2312" w:hAnsi="仿宋_GB2312" w:eastAsia="仿宋_GB2312" w:cs="仿宋_GB2312"/>
          <w:sz w:val="32"/>
          <w:szCs w:val="28"/>
        </w:rPr>
        <w:t>3.2.</w:t>
      </w:r>
      <w:r>
        <w:rPr>
          <w:rFonts w:hint="eastAsia" w:ascii="仿宋_GB2312" w:hAnsi="仿宋_GB2312" w:eastAsia="仿宋_GB2312" w:cs="仿宋_GB2312"/>
          <w:sz w:val="32"/>
          <w:szCs w:val="28"/>
          <w:lang w:val="en-US" w:eastAsia="zh-CN"/>
        </w:rPr>
        <w:t>9</w:t>
      </w:r>
      <w:r>
        <w:rPr>
          <w:rFonts w:hint="eastAsia" w:ascii="仿宋_GB2312" w:hAnsi="仿宋_GB2312" w:eastAsia="仿宋_GB2312" w:cs="仿宋_GB2312"/>
          <w:sz w:val="32"/>
          <w:szCs w:val="28"/>
        </w:rPr>
        <w:t>安全性能</w:t>
      </w:r>
    </w:p>
    <w:p>
      <w:pPr>
        <w:pStyle w:val="28"/>
        <w:spacing w:line="520" w:lineRule="exact"/>
        <w:ind w:firstLine="646" w:firstLineChars="202"/>
        <w:rPr>
          <w:rFonts w:hint="eastAsia" w:ascii="仿宋_GB2312" w:hAnsi="仿宋_GB2312" w:eastAsia="仿宋_GB2312" w:cs="仿宋_GB2312"/>
          <w:sz w:val="32"/>
          <w:szCs w:val="28"/>
        </w:rPr>
      </w:pPr>
      <w:r>
        <w:rPr>
          <w:rFonts w:hint="eastAsia" w:ascii="仿宋_GB2312" w:hAnsi="仿宋_GB2312" w:eastAsia="仿宋_GB2312" w:cs="仿宋_GB2312"/>
          <w:sz w:val="32"/>
          <w:szCs w:val="28"/>
          <w:lang w:eastAsia="zh-CN"/>
        </w:rPr>
        <w:t>电气安全：</w:t>
      </w:r>
      <w:r>
        <w:rPr>
          <w:rFonts w:hint="eastAsia" w:ascii="仿宋_GB2312" w:hAnsi="仿宋_GB2312" w:eastAsia="仿宋_GB2312" w:cs="仿宋_GB2312"/>
          <w:sz w:val="32"/>
          <w:szCs w:val="28"/>
        </w:rPr>
        <w:t>应符合GB 9706.1的要求。</w:t>
      </w:r>
    </w:p>
    <w:p>
      <w:pPr>
        <w:pStyle w:val="28"/>
        <w:spacing w:line="520" w:lineRule="exact"/>
        <w:ind w:firstLine="646" w:firstLineChars="202"/>
        <w:rPr>
          <w:rFonts w:hint="eastAsia" w:ascii="仿宋_GB2312" w:hAnsi="仿宋_GB2312" w:eastAsia="仿宋_GB2312" w:cs="仿宋_GB2312"/>
          <w:sz w:val="32"/>
          <w:szCs w:val="32"/>
        </w:rPr>
      </w:pPr>
      <w:r>
        <w:rPr>
          <w:rFonts w:hint="eastAsia" w:ascii="仿宋_GB2312" w:hAnsi="仿宋_GB2312" w:eastAsia="仿宋_GB2312" w:cs="仿宋_GB2312"/>
          <w:sz w:val="32"/>
          <w:szCs w:val="28"/>
        </w:rPr>
        <w:t>电磁兼容：应符合YY 9706.102的要求。</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28"/>
        </w:rPr>
        <w:t>3.3产品检验报告</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注册申请人应提供产品检验报告，可以是注册申请人出具的自检报告，也可以是委托有资质的医疗器械检验机构出具的检验报告。</w:t>
      </w:r>
    </w:p>
    <w:p>
      <w:pPr>
        <w:spacing w:line="52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z w:val="32"/>
          <w:szCs w:val="32"/>
        </w:rPr>
        <w:t>如选择同一注册单元中的典型产品型号规格进行检验，应说明检验用型号规格的典型性。典型产品型号规格应是同一注册单元内能够代表本单元内其他产品安全性和有效性的产品型号规格。应选择功能最齐全、结构最复杂、功能附件最全的产品型号。</w:t>
      </w:r>
      <w:r>
        <w:rPr>
          <w:rFonts w:hint="eastAsia" w:ascii="仿宋_GB2312" w:hAnsi="仿宋_GB2312" w:eastAsia="仿宋_GB2312" w:cs="仿宋_GB2312"/>
          <w:bCs/>
          <w:sz w:val="32"/>
          <w:szCs w:val="32"/>
        </w:rPr>
        <w:t>如果检测一个产品型号不能覆盖其他产品型号规格的全部性能指标，可以选择多个典型型号规格，也可对其他型号规格不能被覆盖的部分进行差异检测。</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4.研究资料</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4.1性能研究</w:t>
      </w:r>
    </w:p>
    <w:p>
      <w:pPr>
        <w:widowControl/>
        <w:spacing w:line="520" w:lineRule="exact"/>
        <w:ind w:firstLine="640" w:firstLineChars="200"/>
        <w:jc w:val="left"/>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应当提供产品化学/材料表征、物理和/或机械性能指标</w:t>
      </w:r>
      <w:r>
        <w:rPr>
          <w:rFonts w:hint="eastAsia" w:ascii="仿宋_GB2312" w:hAnsi="仿宋_GB2312" w:eastAsia="仿宋_GB2312" w:cs="仿宋_GB2312"/>
          <w:sz w:val="32"/>
          <w:szCs w:val="32"/>
        </w:rPr>
        <w:t>及检验方法</w:t>
      </w:r>
      <w:r>
        <w:rPr>
          <w:rFonts w:hint="eastAsia" w:ascii="仿宋_GB2312" w:hAnsi="仿宋_GB2312" w:eastAsia="仿宋_GB2312" w:cs="仿宋_GB2312"/>
          <w:color w:val="000000"/>
          <w:sz w:val="32"/>
          <w:szCs w:val="32"/>
        </w:rPr>
        <w:t>的确定依据、设计输入来源以及临床意义，所采用的标准或方法、采用的原因及理论基础。对于适用的国家标准、行业标准中不适用的条款，说明不适用的理由。</w:t>
      </w:r>
    </w:p>
    <w:p>
      <w:pPr>
        <w:spacing w:line="520" w:lineRule="exact"/>
        <w:ind w:firstLine="640" w:firstLineChars="200"/>
        <w:rPr>
          <w:rFonts w:hint="eastAsia" w:ascii="仿宋_GB2312" w:hAnsi="仿宋_GB2312" w:eastAsia="仿宋_GB2312" w:cs="仿宋_GB2312"/>
          <w:color w:val="auto"/>
          <w:sz w:val="32"/>
          <w:szCs w:val="28"/>
        </w:rPr>
      </w:pPr>
      <w:r>
        <w:rPr>
          <w:rFonts w:hint="eastAsia" w:ascii="仿宋_GB2312" w:hAnsi="仿宋_GB2312" w:eastAsia="仿宋_GB2312" w:cs="仿宋_GB2312"/>
          <w:color w:val="auto"/>
          <w:sz w:val="32"/>
          <w:szCs w:val="28"/>
        </w:rPr>
        <w:t>申请人</w:t>
      </w:r>
      <w:r>
        <w:rPr>
          <w:rFonts w:hint="eastAsia" w:ascii="仿宋_GB2312" w:hAnsi="仿宋_GB2312" w:eastAsia="仿宋_GB2312" w:cs="仿宋_GB2312"/>
          <w:color w:val="auto"/>
          <w:sz w:val="32"/>
          <w:szCs w:val="28"/>
          <w:lang w:eastAsia="zh-CN"/>
        </w:rPr>
        <w:t>应</w:t>
      </w:r>
      <w:r>
        <w:rPr>
          <w:rFonts w:hint="eastAsia" w:ascii="仿宋_GB2312" w:hAnsi="仿宋_GB2312" w:eastAsia="仿宋_GB2312" w:cs="仿宋_GB2312"/>
          <w:color w:val="auto"/>
          <w:sz w:val="32"/>
          <w:szCs w:val="28"/>
        </w:rPr>
        <w:t>提供产品性能研究资料，</w:t>
      </w:r>
      <w:r>
        <w:rPr>
          <w:rFonts w:hint="eastAsia" w:ascii="仿宋_GB2312" w:hAnsi="仿宋_GB2312" w:eastAsia="仿宋_GB2312" w:cs="仿宋_GB2312"/>
          <w:color w:val="auto"/>
          <w:sz w:val="32"/>
          <w:szCs w:val="28"/>
          <w:lang w:eastAsia="zh-CN"/>
        </w:rPr>
        <w:t>明确各性能指标的确定依据，</w:t>
      </w:r>
      <w:r>
        <w:rPr>
          <w:rFonts w:hint="eastAsia" w:ascii="仿宋_GB2312" w:hAnsi="仿宋_GB2312" w:eastAsia="仿宋_GB2312" w:cs="仿宋_GB2312"/>
          <w:color w:val="auto"/>
          <w:sz w:val="32"/>
          <w:szCs w:val="28"/>
        </w:rPr>
        <w:t>可以结合综述资料中产品功能，提供相应的测试验证资料。</w:t>
      </w:r>
    </w:p>
    <w:p>
      <w:pPr>
        <w:spacing w:line="520" w:lineRule="exact"/>
        <w:ind w:firstLine="640" w:firstLineChars="200"/>
        <w:jc w:val="left"/>
        <w:outlineLvl w:val="4"/>
        <w:rPr>
          <w:rFonts w:hint="eastAsia" w:ascii="仿宋_GB2312" w:hAnsi="仿宋_GB2312" w:eastAsia="仿宋_GB2312" w:cs="仿宋_GB2312"/>
          <w:color w:val="auto"/>
          <w:sz w:val="32"/>
          <w:szCs w:val="28"/>
          <w:lang w:eastAsia="zh-CN"/>
        </w:rPr>
      </w:pPr>
      <w:r>
        <w:rPr>
          <w:rFonts w:hint="eastAsia" w:ascii="仿宋_GB2312" w:hAnsi="仿宋_GB2312" w:eastAsia="仿宋_GB2312" w:cs="仿宋_GB2312"/>
          <w:color w:val="auto"/>
          <w:sz w:val="32"/>
          <w:szCs w:val="28"/>
          <w:lang w:eastAsia="zh-CN"/>
        </w:rPr>
        <w:t>申请人应提供</w:t>
      </w:r>
      <w:r>
        <w:rPr>
          <w:rFonts w:eastAsia="仿宋_GB2312"/>
          <w:color w:val="auto"/>
          <w:kern w:val="0"/>
          <w:sz w:val="32"/>
          <w:szCs w:val="32"/>
        </w:rPr>
        <w:t>产品临床项目</w:t>
      </w:r>
      <w:r>
        <w:rPr>
          <w:rFonts w:hint="eastAsia" w:eastAsia="仿宋_GB2312"/>
          <w:color w:val="auto"/>
          <w:kern w:val="0"/>
          <w:sz w:val="32"/>
          <w:szCs w:val="32"/>
          <w:lang w:eastAsia="zh-CN"/>
        </w:rPr>
        <w:t>准确性</w:t>
      </w:r>
      <w:r>
        <w:rPr>
          <w:rFonts w:eastAsia="仿宋_GB2312"/>
          <w:color w:val="auto"/>
          <w:kern w:val="0"/>
          <w:sz w:val="32"/>
          <w:szCs w:val="32"/>
        </w:rPr>
        <w:t>的研究资料</w:t>
      </w:r>
      <w:r>
        <w:rPr>
          <w:rFonts w:hint="eastAsia" w:eastAsia="仿宋_GB2312"/>
          <w:color w:val="auto"/>
          <w:kern w:val="0"/>
          <w:sz w:val="32"/>
          <w:szCs w:val="32"/>
          <w:lang w:eastAsia="zh-CN"/>
        </w:rPr>
        <w:t>：</w:t>
      </w:r>
      <w:r>
        <w:rPr>
          <w:rFonts w:eastAsia="仿宋_GB2312"/>
          <w:color w:val="auto"/>
          <w:sz w:val="32"/>
          <w:szCs w:val="32"/>
        </w:rPr>
        <w:t>建议注册申请人根据配套</w:t>
      </w:r>
      <w:r>
        <w:rPr>
          <w:rFonts w:hint="eastAsia" w:eastAsia="仿宋_GB2312"/>
          <w:color w:val="auto"/>
          <w:sz w:val="32"/>
          <w:szCs w:val="32"/>
          <w:lang w:eastAsia="zh-CN"/>
        </w:rPr>
        <w:t>制剂对产品</w:t>
      </w:r>
      <w:r>
        <w:rPr>
          <w:rFonts w:eastAsia="仿宋_GB2312"/>
          <w:color w:val="auto"/>
          <w:sz w:val="32"/>
          <w:szCs w:val="32"/>
        </w:rPr>
        <w:t>主要性能进行系统性评估，提交临床项目</w:t>
      </w:r>
      <w:r>
        <w:rPr>
          <w:rFonts w:hint="eastAsia" w:eastAsia="仿宋_GB2312"/>
          <w:color w:val="auto"/>
          <w:sz w:val="32"/>
          <w:szCs w:val="32"/>
          <w:lang w:eastAsia="zh-CN"/>
        </w:rPr>
        <w:t>检验准确度</w:t>
      </w:r>
      <w:r>
        <w:rPr>
          <w:rFonts w:eastAsia="仿宋_GB2312"/>
          <w:color w:val="auto"/>
          <w:sz w:val="32"/>
          <w:szCs w:val="32"/>
        </w:rPr>
        <w:t>的</w:t>
      </w:r>
      <w:r>
        <w:rPr>
          <w:rFonts w:hint="eastAsia" w:eastAsia="仿宋_GB2312"/>
          <w:color w:val="auto"/>
          <w:sz w:val="32"/>
          <w:szCs w:val="32"/>
          <w:lang w:eastAsia="zh-CN"/>
        </w:rPr>
        <w:t>验证</w:t>
      </w:r>
      <w:r>
        <w:rPr>
          <w:rFonts w:eastAsia="仿宋_GB2312"/>
          <w:color w:val="auto"/>
          <w:sz w:val="32"/>
          <w:szCs w:val="32"/>
        </w:rPr>
        <w:t>资料</w:t>
      </w:r>
      <w:r>
        <w:rPr>
          <w:rFonts w:hint="eastAsia" w:ascii="仿宋_GB2312" w:hAnsi="仿宋_GB2312" w:eastAsia="仿宋_GB2312" w:cs="仿宋_GB2312"/>
          <w:color w:val="auto"/>
          <w:sz w:val="32"/>
          <w:szCs w:val="28"/>
          <w:lang w:eastAsia="zh-CN"/>
        </w:rPr>
        <w:t>。</w:t>
      </w:r>
    </w:p>
    <w:p>
      <w:pPr>
        <w:spacing w:line="520" w:lineRule="exact"/>
        <w:ind w:firstLine="640" w:firstLineChars="200"/>
        <w:rPr>
          <w:rFonts w:hint="default" w:ascii="仿宋_GB2312" w:hAnsi="仿宋_GB2312" w:eastAsia="仿宋_GB2312" w:cs="仿宋_GB2312"/>
          <w:color w:val="FF0000"/>
          <w:sz w:val="32"/>
          <w:szCs w:val="28"/>
          <w:lang w:val="en-US"/>
        </w:rPr>
      </w:pPr>
      <w:r>
        <w:rPr>
          <w:rFonts w:hint="eastAsia" w:ascii="仿宋_GB2312" w:hAnsi="仿宋_GB2312" w:eastAsia="仿宋_GB2312" w:cs="仿宋_GB2312"/>
          <w:color w:val="auto"/>
          <w:sz w:val="32"/>
          <w:szCs w:val="28"/>
        </w:rPr>
        <w:t>甲状腺功能测定仪预期与</w:t>
      </w:r>
      <w:r>
        <w:rPr>
          <w:rFonts w:hint="eastAsia" w:ascii="仿宋_GB2312" w:hAnsi="仿宋_GB2312" w:eastAsia="仿宋_GB2312" w:cs="仿宋_GB2312"/>
          <w:color w:val="auto"/>
          <w:sz w:val="32"/>
          <w:szCs w:val="28"/>
          <w:lang w:eastAsia="zh-CN"/>
        </w:rPr>
        <w:t>配套制剂</w:t>
      </w:r>
      <w:r>
        <w:rPr>
          <w:rFonts w:hint="eastAsia" w:ascii="仿宋_GB2312" w:hAnsi="仿宋_GB2312" w:eastAsia="仿宋_GB2312" w:cs="仿宋_GB2312"/>
          <w:color w:val="auto"/>
          <w:sz w:val="32"/>
          <w:szCs w:val="28"/>
        </w:rPr>
        <w:t>联合使用，应当提供证明联合使用安全有效的研究资料</w:t>
      </w:r>
      <w:r>
        <w:rPr>
          <w:rFonts w:hint="default" w:ascii="仿宋_GB2312" w:hAnsi="仿宋_GB2312" w:eastAsia="仿宋_GB2312" w:cs="仿宋_GB2312"/>
          <w:color w:val="auto"/>
          <w:sz w:val="32"/>
          <w:szCs w:val="28"/>
          <w:lang w:val="en-US"/>
        </w:rPr>
        <w:t>,</w:t>
      </w:r>
      <w:r>
        <w:rPr>
          <w:rFonts w:eastAsia="仿宋_GB2312"/>
          <w:color w:val="auto"/>
          <w:sz w:val="32"/>
          <w:szCs w:val="32"/>
        </w:rPr>
        <w:t>包括互联基本信息（连接类型、接口、协议、最低性能）、联合使用风险及控制措施、联合使用上的限制，兼容性研究等。</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4.2电气系统安全性研究</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提供电气安全、机械和环境保护以及电磁兼容性的研究资料，说明适用的标准以及开展的研究。</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4.3软件研究</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如</w:t>
      </w:r>
      <w:r>
        <w:rPr>
          <w:rFonts w:hint="eastAsia" w:ascii="仿宋_GB2312" w:hAnsi="仿宋_GB2312" w:eastAsia="仿宋_GB2312" w:cs="仿宋_GB2312"/>
          <w:sz w:val="32"/>
          <w:szCs w:val="28"/>
          <w:lang w:val="en-US"/>
        </w:rPr>
        <w:t>甲状腺功能测定仪</w:t>
      </w:r>
      <w:r>
        <w:rPr>
          <w:rFonts w:hint="eastAsia" w:ascii="仿宋_GB2312" w:hAnsi="仿宋_GB2312" w:eastAsia="仿宋_GB2312" w:cs="仿宋_GB2312"/>
          <w:sz w:val="32"/>
          <w:szCs w:val="28"/>
        </w:rPr>
        <w:t>包含软件组件，应按《医疗器械软件注册审查指导原则（2022年修订版）》的要求提供相关软件研究资料。申请人应提交自研软件研究报告、现成软件研究报告、外部软件环境评估报告、GB/T 25000.51 自测报告（亦可提交自检报告或检验报告代替自测报告）。</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4.4网络安全</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仿宋_GB2312" w:hAnsi="仿宋_GB2312" w:eastAsia="仿宋_GB2312" w:cs="仿宋_GB2312"/>
          <w:sz w:val="32"/>
          <w:szCs w:val="32"/>
        </w:rPr>
        <w:t>若申报产品具备电子数据交换、远程控制或用户访问功能</w:t>
      </w:r>
      <w:r>
        <w:rPr>
          <w:rFonts w:hint="eastAsia" w:ascii="仿宋_GB2312" w:hAnsi="仿宋_GB2312" w:eastAsia="仿宋_GB2312" w:cs="仿宋_GB2312"/>
          <w:sz w:val="32"/>
          <w:szCs w:val="28"/>
        </w:rPr>
        <w:t>，应按照《医疗器械网络安全注册审查指导原则（2022年修订版）》相关要求，提供网络安全研究资料。</w:t>
      </w:r>
    </w:p>
    <w:p>
      <w:pPr>
        <w:spacing w:line="52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28"/>
        </w:rPr>
        <w:t>4.5生物学特性研</w:t>
      </w:r>
      <w:r>
        <w:rPr>
          <w:rFonts w:hint="eastAsia" w:ascii="仿宋_GB2312" w:hAnsi="仿宋_GB2312" w:eastAsia="仿宋_GB2312" w:cs="仿宋_GB2312"/>
          <w:bCs/>
          <w:sz w:val="32"/>
          <w:szCs w:val="28"/>
        </w:rPr>
        <w:t>究</w:t>
      </w:r>
    </w:p>
    <w:p>
      <w:pPr>
        <w:spacing w:line="52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rPr>
        <w:t>GB/T 16886.1标准对产品中与患者直接接触或间接接触的材料进行生物学特性评价。生物相容性评价资料应明确接触部件、患者接触材料、患者接触性质，实施或豁免生物学试验的理由和论证，对于现有数据或试验结果的评价。</w:t>
      </w:r>
    </w:p>
    <w:p>
      <w:pPr>
        <w:spacing w:line="520" w:lineRule="exact"/>
        <w:ind w:firstLine="640"/>
        <w:rPr>
          <w:rFonts w:hint="eastAsia" w:ascii="仿宋_GB2312" w:hAnsi="仿宋_GB2312" w:eastAsia="仿宋_GB2312" w:cs="仿宋_GB2312"/>
          <w:sz w:val="32"/>
          <w:szCs w:val="32"/>
        </w:rPr>
      </w:pPr>
      <w:r>
        <w:rPr>
          <w:rFonts w:eastAsia="仿宋_GB2312"/>
          <w:color w:val="000000"/>
          <w:sz w:val="32"/>
          <w:szCs w:val="32"/>
        </w:rPr>
        <w:t>通常，</w:t>
      </w:r>
      <w:r>
        <w:rPr>
          <w:rFonts w:hint="eastAsia" w:eastAsia="仿宋_GB2312"/>
          <w:color w:val="000000"/>
          <w:sz w:val="32"/>
          <w:szCs w:val="32"/>
          <w:lang w:eastAsia="zh-CN"/>
        </w:rPr>
        <w:t>甲状腺功能测定仪</w:t>
      </w:r>
      <w:r>
        <w:rPr>
          <w:rFonts w:eastAsia="仿宋_GB2312"/>
          <w:color w:val="000000"/>
          <w:sz w:val="32"/>
          <w:szCs w:val="32"/>
        </w:rPr>
        <w:t>产品与人体接触的部件为</w:t>
      </w:r>
      <w:r>
        <w:rPr>
          <w:rFonts w:hint="eastAsia" w:eastAsia="仿宋_GB2312"/>
          <w:color w:val="000000"/>
          <w:sz w:val="32"/>
          <w:szCs w:val="32"/>
          <w:lang w:eastAsia="zh-CN"/>
        </w:rPr>
        <w:t>标尺。</w:t>
      </w:r>
      <w:r>
        <w:rPr>
          <w:rFonts w:hint="eastAsia" w:ascii="仿宋_GB2312" w:hAnsi="仿宋_GB2312" w:eastAsia="仿宋_GB2312" w:cs="仿宋_GB2312"/>
          <w:sz w:val="32"/>
          <w:szCs w:val="32"/>
        </w:rPr>
        <w:t>参考GB/T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16886.1，</w:t>
      </w:r>
      <w:r>
        <w:rPr>
          <w:rFonts w:hint="eastAsia" w:ascii="仿宋_GB2312" w:hAnsi="仿宋_GB2312" w:eastAsia="仿宋_GB2312" w:cs="仿宋_GB2312"/>
          <w:sz w:val="32"/>
          <w:szCs w:val="32"/>
          <w:lang w:eastAsia="zh-CN"/>
        </w:rPr>
        <w:t>标尺</w:t>
      </w:r>
      <w:r>
        <w:rPr>
          <w:rFonts w:hint="eastAsia" w:ascii="仿宋_GB2312" w:hAnsi="仿宋_GB2312" w:eastAsia="仿宋_GB2312" w:cs="仿宋_GB2312"/>
          <w:sz w:val="32"/>
          <w:szCs w:val="32"/>
        </w:rPr>
        <w:t>与完好皮肤</w:t>
      </w:r>
      <w:r>
        <w:rPr>
          <w:rFonts w:hint="eastAsia" w:ascii="仿宋_GB2312" w:hAnsi="仿宋_GB2312" w:eastAsia="仿宋_GB2312" w:cs="仿宋_GB2312"/>
          <w:sz w:val="32"/>
          <w:szCs w:val="32"/>
          <w:lang w:eastAsia="zh-CN"/>
        </w:rPr>
        <w:t>短期</w:t>
      </w:r>
      <w:r>
        <w:rPr>
          <w:rFonts w:hint="eastAsia" w:ascii="仿宋_GB2312" w:hAnsi="仿宋_GB2312" w:eastAsia="仿宋_GB2312" w:cs="仿宋_GB2312"/>
          <w:sz w:val="32"/>
          <w:szCs w:val="32"/>
        </w:rPr>
        <w:t>接触</w:t>
      </w:r>
      <w:r>
        <w:rPr>
          <w:rFonts w:hint="eastAsia" w:ascii="仿宋_GB2312" w:hAnsi="仿宋_GB2312" w:eastAsia="仿宋_GB2312" w:cs="仿宋_GB2312"/>
          <w:sz w:val="32"/>
          <w:szCs w:val="32"/>
          <w:lang w:eastAsia="zh-CN"/>
        </w:rPr>
        <w:t>，生物学评价应至少</w:t>
      </w:r>
      <w:r>
        <w:rPr>
          <w:rFonts w:hint="eastAsia" w:ascii="仿宋_GB2312" w:hAnsi="仿宋_GB2312" w:eastAsia="仿宋_GB2312" w:cs="仿宋_GB2312"/>
          <w:sz w:val="32"/>
          <w:szCs w:val="32"/>
        </w:rPr>
        <w:t>包括细胞毒性、致敏反应、刺激或皮内反应。</w:t>
      </w:r>
    </w:p>
    <w:p>
      <w:pPr>
        <w:spacing w:line="520" w:lineRule="exact"/>
        <w:ind w:firstLine="640" w:firstLineChars="200"/>
        <w:outlineLvl w:val="1"/>
        <w:rPr>
          <w:rFonts w:hint="eastAsia" w:ascii="仿宋_GB2312" w:hAnsi="仿宋_GB2312" w:eastAsia="仿宋_GB2312" w:cs="仿宋_GB2312"/>
          <w:bCs/>
          <w:sz w:val="32"/>
          <w:szCs w:val="28"/>
        </w:rPr>
      </w:pPr>
      <w:r>
        <w:rPr>
          <w:rFonts w:hint="eastAsia" w:ascii="仿宋_GB2312" w:hAnsi="仿宋_GB2312" w:eastAsia="仿宋_GB2312" w:cs="仿宋_GB2312"/>
          <w:bCs/>
          <w:sz w:val="32"/>
          <w:szCs w:val="28"/>
        </w:rPr>
        <w:t>4.6清洁、消毒、灭菌研究</w:t>
      </w:r>
    </w:p>
    <w:p>
      <w:pPr>
        <w:adjustRightInd w:val="0"/>
        <w:snapToGrid w:val="0"/>
        <w:spacing w:line="520" w:lineRule="exact"/>
        <w:ind w:firstLine="640" w:firstLineChars="200"/>
        <w:rPr>
          <w:rFonts w:hint="eastAsia" w:ascii="仿宋_GB2312" w:hAnsi="仿宋_GB2312" w:eastAsia="仿宋_GB2312" w:cs="仿宋_GB2312"/>
          <w:strike/>
          <w:szCs w:val="32"/>
        </w:rPr>
      </w:pPr>
      <w:r>
        <w:rPr>
          <w:rFonts w:hint="eastAsia" w:ascii="仿宋_GB2312" w:hAnsi="仿宋_GB2312" w:eastAsia="仿宋_GB2312" w:cs="仿宋_GB2312"/>
          <w:sz w:val="32"/>
          <w:szCs w:val="32"/>
        </w:rPr>
        <w:t>应明确</w:t>
      </w:r>
      <w:r>
        <w:rPr>
          <w:rFonts w:hint="eastAsia" w:ascii="仿宋_GB2312" w:hAnsi="仿宋_GB2312" w:eastAsia="仿宋_GB2312" w:cs="仿宋_GB2312"/>
          <w:sz w:val="32"/>
          <w:szCs w:val="32"/>
          <w:lang w:eastAsia="zh-CN"/>
        </w:rPr>
        <w:t>产品</w:t>
      </w:r>
      <w:r>
        <w:rPr>
          <w:rFonts w:hint="eastAsia" w:ascii="仿宋_GB2312" w:hAnsi="仿宋_GB2312" w:eastAsia="仿宋_GB2312" w:cs="仿宋_GB2312"/>
          <w:sz w:val="32"/>
          <w:szCs w:val="32"/>
        </w:rPr>
        <w:t>推荐的清洗和消毒工艺（方法和参数）、工艺的确定依据以及验证的相关研究资料。</w:t>
      </w:r>
    </w:p>
    <w:p>
      <w:pPr>
        <w:spacing w:line="52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4.7稳定性研究</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4.7.1货架有效期</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应提供货架有效期和包装研究资料，证明在货架有效期内，在规定的运输贮存条件下，产品可保持性能功能满足使用要求。</w:t>
      </w:r>
    </w:p>
    <w:p>
      <w:pPr>
        <w:numPr>
          <w:ilvl w:val="255"/>
          <w:numId w:val="0"/>
        </w:num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4.7.2使用稳定性</w:t>
      </w:r>
    </w:p>
    <w:p>
      <w:pPr>
        <w:pStyle w:val="28"/>
        <w:numPr>
          <w:ilvl w:val="255"/>
          <w:numId w:val="0"/>
        </w:numPr>
        <w:spacing w:line="520" w:lineRule="exact"/>
        <w:ind w:firstLine="640"/>
        <w:outlineLvl w:val="1"/>
        <w:rPr>
          <w:rFonts w:hint="eastAsia" w:ascii="仿宋_GB2312" w:hAnsi="仿宋_GB2312" w:eastAsia="仿宋_GB2312" w:cs="仿宋_GB2312"/>
        </w:rPr>
      </w:pPr>
      <w:r>
        <w:rPr>
          <w:rFonts w:hint="eastAsia" w:ascii="仿宋_GB2312" w:hAnsi="仿宋_GB2312" w:eastAsia="仿宋_GB2312" w:cs="仿宋_GB2312"/>
          <w:sz w:val="32"/>
          <w:szCs w:val="32"/>
        </w:rPr>
        <w:t>申请人应提供产品使用稳定性/可靠性研究资料，证明在注册申请人规定的使用期限/使用次数内，在正常使用、维护情况下，产品的性能、功能满足使用要求。可以对该产品进行使用状态列举，完整分析出临床使用的情况，直接进行产品的老化试验研究；也可以将产品分解为不同子系统/部件进行评价。应详细分析分解关系，在此基础上采用适当的分解方式（如将产品分为关键部件及非关键部件等）确定产品的使用期限</w:t>
      </w:r>
      <w:r>
        <w:rPr>
          <w:rFonts w:hint="eastAsia" w:ascii="仿宋_GB2312" w:hAnsi="仿宋_GB2312" w:eastAsia="仿宋_GB2312" w:cs="仿宋_GB2312"/>
          <w:color w:val="000000"/>
          <w:sz w:val="32"/>
          <w:szCs w:val="32"/>
        </w:rPr>
        <w:t>。</w:t>
      </w:r>
    </w:p>
    <w:p>
      <w:pPr>
        <w:spacing w:line="52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4.7.3</w:t>
      </w:r>
      <w:r>
        <w:rPr>
          <w:rFonts w:hint="eastAsia" w:ascii="仿宋_GB2312" w:hAnsi="仿宋_GB2312" w:eastAsia="仿宋_GB2312" w:cs="仿宋_GB2312"/>
          <w:bCs/>
          <w:sz w:val="32"/>
          <w:szCs w:val="32"/>
        </w:rPr>
        <w:t>运输稳定性</w:t>
      </w:r>
    </w:p>
    <w:p>
      <w:pPr>
        <w:spacing w:line="520" w:lineRule="exact"/>
        <w:ind w:firstLine="640" w:firstLineChars="200"/>
        <w:outlineLvl w:val="1"/>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申请人应提供运输稳定性和包装研究资料，证明在生产企业规定的运输条件下，运输过程中的环境条件（例如：震动、振动、温度和湿度的波动）不会对医疗器械的特性和性能，可参考 </w:t>
      </w:r>
      <w:bookmarkStart w:id="0" w:name="OLE_LINK3"/>
      <w:r>
        <w:rPr>
          <w:rFonts w:hint="eastAsia" w:ascii="仿宋_GB2312" w:hAnsi="仿宋_GB2312" w:eastAsia="仿宋_GB2312" w:cs="仿宋_GB2312"/>
          <w:bCs/>
          <w:sz w:val="32"/>
          <w:szCs w:val="32"/>
        </w:rPr>
        <w:t>GB/T 8993</w:t>
      </w:r>
      <w:bookmarkEnd w:id="0"/>
      <w:r>
        <w:rPr>
          <w:rFonts w:hint="eastAsia" w:ascii="仿宋_GB2312" w:hAnsi="仿宋_GB2312" w:eastAsia="仿宋_GB2312" w:cs="仿宋_GB2312"/>
          <w:bCs/>
          <w:color w:val="auto"/>
          <w:sz w:val="32"/>
          <w:szCs w:val="32"/>
          <w:lang w:eastAsia="zh-CN"/>
        </w:rPr>
        <w:t>和</w:t>
      </w:r>
      <w:r>
        <w:rPr>
          <w:rFonts w:hint="eastAsia" w:ascii="仿宋_GB2312" w:hAnsi="仿宋_GB2312" w:eastAsia="仿宋_GB2312" w:cs="仿宋_GB2312"/>
          <w:bCs/>
          <w:color w:val="auto"/>
          <w:sz w:val="32"/>
          <w:szCs w:val="32"/>
        </w:rPr>
        <w:t>GB/T 14710标准</w:t>
      </w:r>
      <w:r>
        <w:rPr>
          <w:rFonts w:hint="eastAsia" w:ascii="仿宋_GB2312" w:hAnsi="仿宋_GB2312" w:eastAsia="仿宋_GB2312" w:cs="仿宋_GB2312"/>
          <w:bCs/>
          <w:sz w:val="32"/>
          <w:szCs w:val="32"/>
        </w:rPr>
        <w:t>的要求进行研究。注册申请人应结合声称的储运条件开展包装和环境试验研究，并论述研究设置的合理性。应在申请人所声称的储运条件下进行性能测试，证明运输和环境测试后产品能够保持其完整性和功能性。</w:t>
      </w:r>
    </w:p>
    <w:p>
      <w:pPr>
        <w:spacing w:line="52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4.8可用性研究</w:t>
      </w:r>
    </w:p>
    <w:p>
      <w:pPr>
        <w:spacing w:line="52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甲状腺功能测定仪</w:t>
      </w:r>
      <w:r>
        <w:rPr>
          <w:rFonts w:hint="eastAsia" w:ascii="仿宋_GB2312" w:hAnsi="仿宋_GB2312" w:eastAsia="仿宋_GB2312" w:cs="仿宋_GB2312"/>
          <w:sz w:val="32"/>
          <w:szCs w:val="32"/>
        </w:rPr>
        <w:t>属于中、低使用风险医疗器械，建议参考《医疗器械可用性工程注册审查指导原则》提交使用错误评估报告，包括基本信息、使用风险级别、核心要素、同类医疗器械上市后使用问题分析、使用风险管理、结论等内容。若前期已开展可用性工程工作，亦可提交可用性工程研究报告，用于替代使用错误评估报告。</w:t>
      </w:r>
    </w:p>
    <w:p>
      <w:pPr>
        <w:spacing w:line="520" w:lineRule="exact"/>
        <w:ind w:firstLine="640" w:firstLineChars="200"/>
        <w:outlineLvl w:val="1"/>
        <w:rPr>
          <w:rFonts w:hint="eastAsia" w:ascii="仿宋_GB2312" w:hAnsi="仿宋_GB2312" w:eastAsia="仿宋_GB2312" w:cs="仿宋_GB2312"/>
          <w:sz w:val="32"/>
          <w:szCs w:val="28"/>
        </w:rPr>
      </w:pPr>
      <w:r>
        <w:rPr>
          <w:rFonts w:hint="eastAsia" w:ascii="Times New Roman" w:hAnsi="Times New Roman" w:eastAsia="楷体_GB2312" w:cs="Times New Roman"/>
          <w:color w:val="000000"/>
          <w:sz w:val="32"/>
          <w:szCs w:val="32"/>
        </w:rPr>
        <w:t>（四）临床评价资料</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册申请人应按照《医疗器械临床试验质量管理规范》《医疗器械临床评价技术指导原则》《决策是否开展医疗器械临床试验技术指导原则》《医疗器械临床评价等同性论证技术指导原则》《医疗器械注册申报临床评价报告技术指导原则》等相关要求开展申报产品的临床评价并提供临床评价资料。</w:t>
      </w:r>
    </w:p>
    <w:p>
      <w:pPr>
        <w:numPr>
          <w:ilvl w:val="-1"/>
          <w:numId w:val="0"/>
        </w:numPr>
        <w:adjustRightInd w:val="0"/>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1、同品种临床评价</w:t>
      </w:r>
    </w:p>
    <w:p>
      <w:pPr>
        <w:keepNext w:val="0"/>
        <w:keepLines w:val="0"/>
        <w:widowControl/>
        <w:suppressLineNumbers w:val="0"/>
        <w:adjustRightInd w:val="0"/>
        <w:snapToGrid w:val="0"/>
        <w:spacing w:line="520" w:lineRule="exact"/>
        <w:ind w:firstLine="640" w:firstLineChars="20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对甲状腺功能测定仪进行同品种临床评价，应优先选择和申报产品具有相同适用范围、工作原理、制剂、性能指标一致的产品作为同品种医疗器械开展对比，并提供申报产品与同品种产品的具体对比信息以及相关的支持性资料。</w:t>
      </w:r>
    </w:p>
    <w:p>
      <w:pPr>
        <w:widowControl/>
        <w:adjustRightInd w:val="0"/>
        <w:snapToGrid w:val="0"/>
        <w:spacing w:line="52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
        </w:rPr>
        <w:t>若申报产品和同品种产品差异性较大，可开展模体试验，必要时提供人体检测样本数据进行确认。（1）申报产品和同品种医疗器械采用不同的γ射线探测或摄碘率检测技术；（2）申报产品和同品种医疗器械虽然采用相同检测技术，但是关键性能指标如本底计数、点源灵敏度、窗口计数率等</w:t>
      </w:r>
      <w:r>
        <w:rPr>
          <w:rFonts w:hint="eastAsia" w:ascii="仿宋_GB2312" w:hAnsi="仿宋_GB2312" w:eastAsia="仿宋_GB2312" w:cs="仿宋_GB2312"/>
          <w:color w:val="auto"/>
          <w:kern w:val="2"/>
          <w:sz w:val="32"/>
          <w:szCs w:val="32"/>
          <w:lang w:val="en-US" w:eastAsia="zh-CN" w:bidi="ar"/>
        </w:rPr>
        <w:t>存在较大差异。</w:t>
      </w:r>
      <w:r>
        <w:rPr>
          <w:rFonts w:hint="eastAsia" w:ascii="仿宋_GB2312" w:hAnsi="仿宋_GB2312" w:eastAsia="仿宋_GB2312" w:cs="仿宋_GB2312"/>
          <w:kern w:val="2"/>
          <w:sz w:val="32"/>
          <w:szCs w:val="32"/>
          <w:lang w:val="en-US" w:eastAsia="zh-CN" w:bidi="ar"/>
        </w:rPr>
        <w:t>如开展模体试验，模体试验应符合同品种临床评价指导原则中的模体试验基本原则。试验的具体试验要求和方法可参考甲状腺功能测定仪相关行业标准。试验条件需列明申报产品与对比产品的临床检测协议及对应的采集参数。试验指标应包括甲状腺功能测定仪可以输出的全部检测性能指标。</w:t>
      </w:r>
    </w:p>
    <w:p>
      <w:pPr>
        <w:numPr>
          <w:ilvl w:val="0"/>
          <w:numId w:val="2"/>
        </w:numPr>
        <w:adjustRightInd w:val="0"/>
        <w:snapToGrid w:val="0"/>
        <w:spacing w:line="520" w:lineRule="exact"/>
        <w:ind w:firstLine="640" w:firstLineChars="200"/>
        <w:rPr>
          <w:rFonts w:hint="eastAsia"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临床试验</w:t>
      </w:r>
    </w:p>
    <w:p>
      <w:pPr>
        <w:numPr>
          <w:ilvl w:val="-1"/>
          <w:numId w:val="0"/>
        </w:numPr>
        <w:adjustRightInd w:val="0"/>
        <w:snapToGrid w:val="0"/>
        <w:spacing w:line="520" w:lineRule="exact"/>
        <w:ind w:firstLine="640" w:firstLineChars="200"/>
        <w:rPr>
          <w:rFonts w:hint="default" w:ascii="仿宋_GB2312" w:hAnsi="仿宋_GB2312" w:eastAsia="仿宋_GB2312" w:cs="仿宋_GB2312"/>
          <w:sz w:val="32"/>
          <w:szCs w:val="28"/>
          <w:lang w:val="en-US" w:eastAsia="zh-CN"/>
        </w:rPr>
      </w:pPr>
      <w:r>
        <w:rPr>
          <w:rFonts w:ascii="Times New Roman" w:hAnsi="Times New Roman" w:eastAsia="仿宋_GB2312" w:cs="Times New Roman"/>
          <w:color w:val="000000"/>
          <w:sz w:val="32"/>
          <w:szCs w:val="28"/>
        </w:rPr>
        <w:t>如果采用同品种对比无法充分证明设备的安全性和有效性，比如申报产品</w:t>
      </w:r>
      <w:r>
        <w:rPr>
          <w:rFonts w:hint="eastAsia" w:ascii="Times New Roman" w:hAnsi="Times New Roman" w:eastAsia="仿宋_GB2312" w:cs="Times New Roman"/>
          <w:color w:val="000000"/>
          <w:sz w:val="32"/>
          <w:szCs w:val="28"/>
          <w:lang w:eastAsia="zh-CN"/>
        </w:rPr>
        <w:t>采用新工作原理、增加新适用范围等</w:t>
      </w:r>
      <w:r>
        <w:rPr>
          <w:rFonts w:ascii="Times New Roman" w:hAnsi="Times New Roman" w:eastAsia="仿宋_GB2312" w:cs="Times New Roman"/>
          <w:color w:val="000000"/>
          <w:sz w:val="32"/>
          <w:szCs w:val="28"/>
        </w:rPr>
        <w:t>，应进行临床试验。产品</w:t>
      </w:r>
      <w:r>
        <w:rPr>
          <w:rFonts w:ascii="Times New Roman" w:hAnsi="Times New Roman" w:eastAsia="仿宋_GB2312" w:cs="Times New Roman"/>
          <w:sz w:val="32"/>
          <w:szCs w:val="32"/>
        </w:rPr>
        <w:t>临床试验的要求可参考《</w:t>
      </w:r>
      <w:r>
        <w:rPr>
          <w:rFonts w:ascii="Times New Roman" w:hAnsi="Times New Roman" w:eastAsia="仿宋_GB2312" w:cs="Times New Roman"/>
          <w:color w:val="000000"/>
          <w:sz w:val="32"/>
          <w:szCs w:val="32"/>
        </w:rPr>
        <w:t>医疗器械临床评价指导原则》</w:t>
      </w:r>
      <w:r>
        <w:rPr>
          <w:rFonts w:ascii="Times New Roman" w:hAnsi="Times New Roman" w:eastAsia="仿宋_GB2312" w:cs="Times New Roman"/>
          <w:sz w:val="32"/>
          <w:szCs w:val="32"/>
        </w:rPr>
        <w:t>相关内容。</w:t>
      </w:r>
    </w:p>
    <w:p>
      <w:pPr>
        <w:spacing w:line="520" w:lineRule="exact"/>
        <w:ind w:firstLine="640" w:firstLineChars="200"/>
        <w:outlineLvl w:val="1"/>
        <w:rPr>
          <w:rFonts w:hint="eastAsia" w:ascii="仿宋_GB2312" w:hAnsi="仿宋_GB2312" w:eastAsia="仿宋_GB2312" w:cs="仿宋_GB2312"/>
          <w:bCs/>
          <w:iCs/>
          <w:sz w:val="32"/>
          <w:szCs w:val="28"/>
        </w:rPr>
      </w:pPr>
      <w:r>
        <w:rPr>
          <w:rFonts w:hint="eastAsia" w:ascii="仿宋_GB2312" w:hAnsi="仿宋_GB2312" w:eastAsia="仿宋_GB2312" w:cs="仿宋_GB2312"/>
          <w:bCs/>
          <w:iCs/>
          <w:sz w:val="32"/>
          <w:szCs w:val="28"/>
        </w:rPr>
        <w:t>（</w:t>
      </w:r>
      <w:r>
        <w:rPr>
          <w:rFonts w:hint="eastAsia" w:ascii="仿宋_GB2312" w:hAnsi="仿宋_GB2312" w:eastAsia="仿宋_GB2312" w:cs="仿宋_GB2312"/>
          <w:bCs/>
          <w:iCs/>
          <w:sz w:val="32"/>
          <w:szCs w:val="28"/>
          <w:lang w:eastAsia="zh-CN"/>
        </w:rPr>
        <w:t>五</w:t>
      </w:r>
      <w:r>
        <w:rPr>
          <w:rFonts w:hint="eastAsia" w:ascii="仿宋_GB2312" w:hAnsi="仿宋_GB2312" w:eastAsia="仿宋_GB2312" w:cs="仿宋_GB2312"/>
          <w:bCs/>
          <w:iCs/>
          <w:sz w:val="32"/>
          <w:szCs w:val="28"/>
        </w:rPr>
        <w:t>）产品说明书和标签样稿</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产品的说明书、标签应符合《医疗器械说明书和标签管理规定》和YY/T 0466.1等相关法规、规范性文件及标准的要求。还应关注说明书中的以下内容：</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产品</w:t>
      </w:r>
      <w:r>
        <w:rPr>
          <w:rFonts w:hint="eastAsia" w:ascii="仿宋_GB2312" w:hAnsi="仿宋_GB2312" w:eastAsia="仿宋_GB2312" w:cs="仿宋_GB2312"/>
          <w:sz w:val="32"/>
          <w:szCs w:val="32"/>
        </w:rPr>
        <w:t>配合放射性核素（放射性碘） 使用，存在电离辐射，仅限取得放射诊疗资质的医疗机构、持证专业人员操作。</w:t>
      </w:r>
    </w:p>
    <w:p>
      <w:pPr>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严格执行放射防护规定，工作区域设置电离辐射警示标识</w:t>
      </w:r>
      <w:r>
        <w:rPr>
          <w:rFonts w:hint="eastAsia" w:ascii="仿宋_GB2312" w:hAnsi="仿宋_GB2312" w:eastAsia="仿宋_GB2312" w:cs="仿宋_GB2312"/>
          <w:sz w:val="32"/>
          <w:szCs w:val="32"/>
          <w:lang w:eastAsia="zh-CN"/>
        </w:rPr>
        <w:t>。</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操作人员须佩戴个人剂量计，定期监测辐射暴露剂量。</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工作环境远离强磁场、强电场、其他放射源，避免干扰γ射线探测精度。</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检查前需按要求禁食含碘食物、停用相关药物，否则影响检测结果。</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检查使用放射性碘制剂，孕妇、哺乳期女性、婴幼儿为相对禁忌，需医师评估后方可检查。</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供电、接地必须可靠，防止设备故障引发数据异常或安全隐患。</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开机前</w:t>
      </w:r>
      <w:r>
        <w:rPr>
          <w:rFonts w:hint="eastAsia" w:ascii="仿宋_GB2312" w:hAnsi="仿宋_GB2312" w:eastAsia="仿宋_GB2312" w:cs="仿宋_GB2312"/>
          <w:sz w:val="32"/>
          <w:szCs w:val="32"/>
          <w:lang w:eastAsia="zh-CN"/>
        </w:rPr>
        <w:t>应</w:t>
      </w:r>
      <w:r>
        <w:rPr>
          <w:rFonts w:hint="eastAsia" w:ascii="仿宋_GB2312" w:hAnsi="仿宋_GB2312" w:eastAsia="仿宋_GB2312" w:cs="仿宋_GB2312"/>
          <w:sz w:val="32"/>
          <w:szCs w:val="32"/>
        </w:rPr>
        <w:t>检查探测器、线路、防护装置是否完好，故障设备禁止投入使用。</w:t>
      </w:r>
    </w:p>
    <w:p>
      <w:pPr>
        <w:numPr>
          <w:ilvl w:val="0"/>
          <w:numId w:val="0"/>
        </w:numPr>
        <w:spacing w:line="520" w:lineRule="exact"/>
        <w:ind w:firstLine="640" w:firstLineChars="200"/>
        <w:outlineLvl w:val="1"/>
        <w:rPr>
          <w:rFonts w:hint="eastAsia" w:ascii="仿宋_GB2312" w:hAnsi="仿宋_GB2312" w:eastAsia="仿宋_GB2312" w:cs="仿宋_GB2312"/>
          <w:bCs/>
          <w:iCs/>
          <w:sz w:val="32"/>
          <w:szCs w:val="28"/>
        </w:rPr>
      </w:pPr>
      <w:r>
        <w:rPr>
          <w:rFonts w:hint="eastAsia" w:ascii="仿宋_GB2312" w:hAnsi="仿宋_GB2312" w:eastAsia="仿宋_GB2312" w:cs="仿宋_GB2312"/>
          <w:bCs/>
          <w:iCs/>
          <w:sz w:val="32"/>
          <w:szCs w:val="28"/>
          <w:lang w:eastAsia="zh-CN"/>
        </w:rPr>
        <w:t>（六）</w:t>
      </w:r>
      <w:r>
        <w:rPr>
          <w:rFonts w:hint="eastAsia" w:ascii="仿宋_GB2312" w:hAnsi="仿宋_GB2312" w:eastAsia="仿宋_GB2312" w:cs="仿宋_GB2312"/>
          <w:bCs/>
          <w:iCs/>
          <w:sz w:val="32"/>
          <w:szCs w:val="28"/>
        </w:rPr>
        <w:t>质量管理体系文件</w:t>
      </w:r>
    </w:p>
    <w:p>
      <w:pPr>
        <w:numPr>
          <w:ilvl w:val="255"/>
          <w:numId w:val="0"/>
        </w:numPr>
        <w:spacing w:line="520" w:lineRule="exact"/>
        <w:ind w:firstLine="640" w:firstLineChars="200"/>
        <w:outlineLvl w:val="1"/>
        <w:rPr>
          <w:rFonts w:hint="eastAsia" w:ascii="黑体" w:hAnsi="黑体" w:eastAsia="黑体" w:cs="黑体"/>
          <w:sz w:val="32"/>
          <w:szCs w:val="32"/>
        </w:rPr>
      </w:pPr>
      <w:r>
        <w:rPr>
          <w:rFonts w:eastAsia="仿宋_GB2312"/>
          <w:sz w:val="32"/>
          <w:szCs w:val="32"/>
        </w:rPr>
        <w:t>质量管理体系文件主要包括综述、生产制造信息、质量管理体系程序、管理职责程序、资源管理程序、产品实现程序、质量管理体系的测量、分析和改进程序、其他质量体系程序信息、质量管理体系核查信息等内容，应符合《医疗器械注册与备案管理办法》和《关于公布医疗器械注册申报资料要求和批准证明文件格式的公告》的相关要求。</w:t>
      </w:r>
    </w:p>
    <w:p>
      <w:pPr>
        <w:numPr>
          <w:ilvl w:val="255"/>
          <w:numId w:val="0"/>
        </w:numPr>
        <w:spacing w:line="520" w:lineRule="exact"/>
        <w:ind w:firstLine="640" w:firstLineChars="200"/>
        <w:outlineLvl w:val="1"/>
        <w:rPr>
          <w:rFonts w:hint="eastAsia" w:ascii="仿宋_GB2312" w:hAnsi="仿宋_GB2312" w:eastAsia="仿宋_GB2312" w:cs="仿宋_GB2312"/>
          <w:bCs/>
          <w:iCs/>
          <w:sz w:val="32"/>
          <w:szCs w:val="28"/>
        </w:rPr>
      </w:pPr>
      <w:r>
        <w:rPr>
          <w:rFonts w:hint="eastAsia" w:ascii="黑体" w:hAnsi="黑体" w:eastAsia="黑体" w:cs="黑体"/>
          <w:sz w:val="32"/>
          <w:szCs w:val="32"/>
        </w:rPr>
        <w:t>三、参考文献</w:t>
      </w:r>
    </w:p>
    <w:p>
      <w:pPr>
        <w:spacing w:line="520" w:lineRule="exact"/>
        <w:ind w:firstLine="640" w:firstLineChars="200"/>
        <w:outlineLvl w:val="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w:t>
      </w:r>
      <w:r>
        <w:rPr>
          <w:rFonts w:hint="eastAsia" w:ascii="仿宋_GB2312" w:hAnsi="仿宋_GB2312" w:eastAsia="仿宋_GB2312" w:cs="仿宋_GB2312"/>
          <w:bCs/>
          <w:sz w:val="32"/>
          <w:szCs w:val="32"/>
          <w:lang w:val="en"/>
        </w:rPr>
        <w:t>中华人民共和国国务院.</w:t>
      </w:r>
      <w:r>
        <w:rPr>
          <w:rFonts w:hint="eastAsia" w:ascii="仿宋_GB2312" w:hAnsi="仿宋_GB2312" w:eastAsia="仿宋_GB2312" w:cs="仿宋_GB2312"/>
          <w:bCs/>
          <w:sz w:val="32"/>
          <w:szCs w:val="32"/>
        </w:rPr>
        <w:t>医疗器械监督管理条例:</w:t>
      </w:r>
      <w:r>
        <w:rPr>
          <w:rFonts w:hint="eastAsia" w:ascii="仿宋_GB2312" w:hAnsi="仿宋_GB2312" w:eastAsia="仿宋_GB2312" w:cs="仿宋_GB2312"/>
          <w:bCs/>
          <w:sz w:val="32"/>
          <w:szCs w:val="32"/>
          <w:lang w:val="en"/>
        </w:rPr>
        <w:t>中华人民共和国国务院令第739号</w:t>
      </w:r>
      <w:r>
        <w:rPr>
          <w:rFonts w:hint="eastAsia" w:ascii="仿宋_GB2312" w:hAnsi="仿宋_GB2312" w:eastAsia="仿宋_GB2312" w:cs="仿宋_GB2312"/>
          <w:bCs/>
          <w:sz w:val="32"/>
          <w:szCs w:val="32"/>
        </w:rPr>
        <w:t>[Z].</w:t>
      </w:r>
    </w:p>
    <w:p>
      <w:pPr>
        <w:spacing w:line="520" w:lineRule="exact"/>
        <w:ind w:firstLine="640" w:firstLineChars="200"/>
        <w:outlineLvl w:val="0"/>
        <w:rPr>
          <w:rFonts w:hint="eastAsia" w:ascii="仿宋_GB2312" w:hAnsi="仿宋_GB2312" w:eastAsia="仿宋_GB2312" w:cs="仿宋_GB2312"/>
          <w:bCs/>
          <w:sz w:val="32"/>
          <w:szCs w:val="32"/>
          <w:lang w:val="en"/>
        </w:rPr>
      </w:pPr>
      <w:r>
        <w:rPr>
          <w:rFonts w:hint="eastAsia" w:ascii="仿宋_GB2312" w:hAnsi="仿宋_GB2312" w:eastAsia="仿宋_GB2312" w:cs="仿宋_GB2312"/>
          <w:bCs/>
          <w:sz w:val="32"/>
          <w:szCs w:val="32"/>
        </w:rPr>
        <w:t>[2]国家市场监督管理总局.医疗器械注册与备案管理办法:国家市</w:t>
      </w:r>
      <w:r>
        <w:rPr>
          <w:rFonts w:hint="eastAsia" w:ascii="仿宋_GB2312" w:hAnsi="仿宋_GB2312" w:eastAsia="仿宋_GB2312" w:cs="仿宋_GB2312"/>
          <w:bCs/>
          <w:sz w:val="32"/>
          <w:szCs w:val="32"/>
          <w:lang w:val="en"/>
        </w:rPr>
        <w:t>场监督管理总局令第47号[Z].</w:t>
      </w:r>
    </w:p>
    <w:p>
      <w:pPr>
        <w:spacing w:line="520" w:lineRule="exact"/>
        <w:ind w:firstLine="640" w:firstLineChars="200"/>
        <w:outlineLvl w:val="0"/>
        <w:rPr>
          <w:rFonts w:hint="eastAsia" w:ascii="仿宋_GB2312" w:hAnsi="仿宋_GB2312" w:eastAsia="仿宋_GB2312" w:cs="仿宋_GB2312"/>
          <w:bCs/>
          <w:sz w:val="32"/>
          <w:szCs w:val="32"/>
          <w:lang w:val="en"/>
        </w:rPr>
      </w:pPr>
      <w:r>
        <w:rPr>
          <w:rFonts w:hint="eastAsia" w:ascii="仿宋_GB2312" w:hAnsi="仿宋_GB2312" w:eastAsia="仿宋_GB2312" w:cs="仿宋_GB2312"/>
          <w:bCs/>
          <w:sz w:val="32"/>
          <w:szCs w:val="32"/>
          <w:lang w:val="en"/>
        </w:rPr>
        <w:t>[3]国家药品监督管理局.医疗器械注册申报资料要求和批准证明文件格式:国家药监局公告2021年第121号[Z].</w:t>
      </w:r>
    </w:p>
    <w:p>
      <w:pPr>
        <w:spacing w:line="520" w:lineRule="exact"/>
        <w:ind w:firstLine="640" w:firstLineChars="200"/>
        <w:outlineLvl w:val="0"/>
        <w:rPr>
          <w:rFonts w:hint="eastAsia" w:ascii="仿宋_GB2312" w:hAnsi="仿宋_GB2312" w:eastAsia="仿宋_GB2312" w:cs="仿宋_GB2312"/>
          <w:bCs/>
          <w:sz w:val="32"/>
          <w:szCs w:val="32"/>
          <w:lang w:val="en"/>
        </w:rPr>
      </w:pPr>
      <w:r>
        <w:rPr>
          <w:rFonts w:hint="eastAsia" w:ascii="仿宋_GB2312" w:hAnsi="仿宋_GB2312" w:eastAsia="仿宋_GB2312" w:cs="仿宋_GB2312"/>
          <w:bCs/>
          <w:sz w:val="32"/>
          <w:szCs w:val="32"/>
          <w:lang w:val="en"/>
        </w:rPr>
        <w:t>[4]国家食品药品监督管理局.医疗器械注册单元划分指导原则:总局通告2017年第187号[Z].</w:t>
      </w:r>
    </w:p>
    <w:p>
      <w:pPr>
        <w:spacing w:line="520" w:lineRule="exact"/>
        <w:ind w:firstLine="640" w:firstLineChars="200"/>
        <w:outlineLvl w:val="0"/>
        <w:rPr>
          <w:rFonts w:hint="eastAsia" w:ascii="仿宋_GB2312" w:hAnsi="仿宋_GB2312" w:eastAsia="仿宋_GB2312" w:cs="仿宋_GB2312"/>
          <w:bCs/>
          <w:sz w:val="32"/>
          <w:szCs w:val="32"/>
          <w:lang w:val="en"/>
        </w:rPr>
      </w:pPr>
      <w:bookmarkStart w:id="1" w:name="_Hlk126776306"/>
      <w:r>
        <w:rPr>
          <w:rFonts w:hint="eastAsia" w:ascii="仿宋_GB2312" w:hAnsi="仿宋_GB2312" w:eastAsia="仿宋_GB2312" w:cs="仿宋_GB2312"/>
          <w:bCs/>
          <w:sz w:val="32"/>
          <w:szCs w:val="32"/>
          <w:lang w:val="en"/>
        </w:rPr>
        <w:t>[5]</w:t>
      </w:r>
      <w:bookmarkEnd w:id="1"/>
      <w:r>
        <w:rPr>
          <w:rFonts w:hint="eastAsia" w:ascii="仿宋_GB2312" w:hAnsi="仿宋_GB2312" w:eastAsia="仿宋_GB2312" w:cs="仿宋_GB2312"/>
          <w:bCs/>
          <w:sz w:val="32"/>
          <w:szCs w:val="32"/>
          <w:lang w:val="en"/>
        </w:rPr>
        <w:t>国家食品药品监督管理局.医疗器械分类目录:国家食品药品监督管理总局公告2017年第104号[Z].</w:t>
      </w:r>
    </w:p>
    <w:p>
      <w:pPr>
        <w:spacing w:line="520" w:lineRule="exact"/>
        <w:ind w:firstLine="640" w:firstLineChars="200"/>
        <w:outlineLvl w:val="0"/>
        <w:rPr>
          <w:rFonts w:hint="eastAsia" w:ascii="仿宋_GB2312" w:hAnsi="仿宋_GB2312" w:eastAsia="仿宋_GB2312" w:cs="仿宋_GB2312"/>
          <w:bCs/>
          <w:sz w:val="32"/>
          <w:szCs w:val="32"/>
          <w:lang w:val="en"/>
        </w:rPr>
      </w:pPr>
      <w:r>
        <w:rPr>
          <w:rFonts w:hint="eastAsia" w:ascii="仿宋_GB2312" w:hAnsi="仿宋_GB2312" w:eastAsia="仿宋_GB2312" w:cs="仿宋_GB2312"/>
          <w:bCs/>
          <w:sz w:val="32"/>
          <w:szCs w:val="32"/>
          <w:lang w:val="en"/>
        </w:rPr>
        <w:t>[</w:t>
      </w:r>
      <w:r>
        <w:rPr>
          <w:rFonts w:hint="eastAsia" w:ascii="仿宋_GB2312" w:hAnsi="仿宋_GB2312" w:eastAsia="仿宋_GB2312" w:cs="仿宋_GB2312"/>
          <w:bCs/>
          <w:sz w:val="32"/>
          <w:szCs w:val="32"/>
        </w:rPr>
        <w:t>6</w:t>
      </w:r>
      <w:r>
        <w:rPr>
          <w:rFonts w:hint="eastAsia" w:ascii="仿宋_GB2312" w:hAnsi="仿宋_GB2312" w:eastAsia="仿宋_GB2312" w:cs="仿宋_GB2312"/>
          <w:bCs/>
          <w:sz w:val="32"/>
          <w:szCs w:val="32"/>
          <w:lang w:val="en"/>
        </w:rPr>
        <w:t>]国家药品监督管理局.医疗器械安全和性能基本原则清单:国家药监局公告2021年第121号[Z].</w:t>
      </w:r>
    </w:p>
    <w:p>
      <w:pPr>
        <w:spacing w:line="520" w:lineRule="exact"/>
        <w:ind w:firstLine="640" w:firstLineChars="200"/>
        <w:outlineLvl w:val="0"/>
        <w:rPr>
          <w:rFonts w:hint="eastAsia" w:ascii="仿宋_GB2312" w:hAnsi="仿宋_GB2312" w:eastAsia="仿宋_GB2312" w:cs="仿宋_GB2312"/>
          <w:bCs/>
          <w:sz w:val="32"/>
          <w:szCs w:val="32"/>
          <w:lang w:val="en"/>
        </w:rPr>
      </w:pPr>
      <w:r>
        <w:rPr>
          <w:rFonts w:hint="eastAsia" w:ascii="仿宋_GB2312" w:hAnsi="仿宋_GB2312" w:eastAsia="仿宋_GB2312" w:cs="仿宋_GB2312"/>
          <w:bCs/>
          <w:sz w:val="32"/>
          <w:szCs w:val="32"/>
          <w:lang w:val="en"/>
        </w:rPr>
        <w:t>[</w:t>
      </w:r>
      <w:r>
        <w:rPr>
          <w:rFonts w:hint="eastAsia" w:ascii="仿宋_GB2312" w:hAnsi="仿宋_GB2312" w:eastAsia="仿宋_GB2312" w:cs="仿宋_GB2312"/>
          <w:bCs/>
          <w:sz w:val="32"/>
          <w:szCs w:val="32"/>
        </w:rPr>
        <w:t>7</w:t>
      </w:r>
      <w:r>
        <w:rPr>
          <w:rFonts w:hint="eastAsia" w:ascii="仿宋_GB2312" w:hAnsi="仿宋_GB2312" w:eastAsia="仿宋_GB2312" w:cs="仿宋_GB2312"/>
          <w:bCs/>
          <w:sz w:val="32"/>
          <w:szCs w:val="32"/>
          <w:lang w:val="en"/>
        </w:rPr>
        <w:t>]国家药品监督管理局.医疗器械产品技术要求编写指导原则:国家药监局公告2022年第8号[Z].</w:t>
      </w:r>
    </w:p>
    <w:p>
      <w:pPr>
        <w:spacing w:line="520" w:lineRule="exact"/>
        <w:ind w:firstLine="640" w:firstLineChars="200"/>
        <w:outlineLvl w:val="0"/>
        <w:rPr>
          <w:rFonts w:hint="eastAsia" w:ascii="仿宋_GB2312" w:hAnsi="仿宋_GB2312" w:eastAsia="仿宋_GB2312" w:cs="仿宋_GB2312"/>
          <w:bCs/>
          <w:sz w:val="32"/>
          <w:szCs w:val="32"/>
          <w:lang w:val="en"/>
        </w:rPr>
      </w:pPr>
      <w:r>
        <w:rPr>
          <w:rFonts w:hint="eastAsia" w:ascii="仿宋_GB2312" w:hAnsi="仿宋_GB2312" w:eastAsia="仿宋_GB2312" w:cs="仿宋_GB2312"/>
          <w:bCs/>
          <w:sz w:val="32"/>
          <w:szCs w:val="32"/>
          <w:lang w:val="en"/>
        </w:rPr>
        <w:t>[</w:t>
      </w:r>
      <w:r>
        <w:rPr>
          <w:rFonts w:hint="eastAsia" w:ascii="仿宋_GB2312" w:hAnsi="仿宋_GB2312" w:eastAsia="仿宋_GB2312" w:cs="仿宋_GB2312"/>
          <w:bCs/>
          <w:sz w:val="32"/>
          <w:szCs w:val="32"/>
        </w:rPr>
        <w:t>8</w:t>
      </w:r>
      <w:r>
        <w:rPr>
          <w:rFonts w:hint="eastAsia" w:ascii="仿宋_GB2312" w:hAnsi="仿宋_GB2312" w:eastAsia="仿宋_GB2312" w:cs="仿宋_GB2312"/>
          <w:bCs/>
          <w:sz w:val="32"/>
          <w:szCs w:val="32"/>
          <w:lang w:val="en"/>
        </w:rPr>
        <w:t>]国家药品监督管理局.医疗器械注册自检管理规定:国家药监局公告2021年第126号[Z].</w:t>
      </w:r>
    </w:p>
    <w:p>
      <w:pPr>
        <w:spacing w:line="520" w:lineRule="exact"/>
        <w:ind w:firstLine="640" w:firstLineChars="200"/>
        <w:rPr>
          <w:rFonts w:hint="eastAsia" w:ascii="仿宋_GB2312" w:hAnsi="仿宋_GB2312" w:eastAsia="仿宋_GB2312" w:cs="仿宋_GB2312"/>
          <w:bCs/>
          <w:sz w:val="32"/>
          <w:szCs w:val="32"/>
          <w:lang w:val="en"/>
        </w:rPr>
      </w:pPr>
      <w:r>
        <w:rPr>
          <w:rFonts w:hint="eastAsia" w:ascii="仿宋_GB2312" w:hAnsi="仿宋_GB2312" w:eastAsia="仿宋_GB2312" w:cs="仿宋_GB2312"/>
          <w:bCs/>
          <w:sz w:val="32"/>
          <w:szCs w:val="32"/>
          <w:lang w:val="en"/>
        </w:rPr>
        <w:t>[</w:t>
      </w:r>
      <w:r>
        <w:rPr>
          <w:rFonts w:hint="eastAsia" w:ascii="仿宋_GB2312" w:hAnsi="仿宋_GB2312" w:eastAsia="仿宋_GB2312" w:cs="仿宋_GB2312"/>
          <w:bCs/>
          <w:sz w:val="32"/>
          <w:szCs w:val="32"/>
        </w:rPr>
        <w:t>9</w:t>
      </w:r>
      <w:r>
        <w:rPr>
          <w:rFonts w:hint="eastAsia" w:ascii="仿宋_GB2312" w:hAnsi="仿宋_GB2312" w:eastAsia="仿宋_GB2312" w:cs="仿宋_GB2312"/>
          <w:bCs/>
          <w:sz w:val="32"/>
          <w:szCs w:val="32"/>
          <w:lang w:val="en"/>
        </w:rPr>
        <w:t>]国家食品药品监督管理局.医疗器械生物学评价和审查指南:国家食品药品监督管理局通知2007年345号[Z].</w:t>
      </w:r>
    </w:p>
    <w:p>
      <w:pPr>
        <w:spacing w:line="520" w:lineRule="exact"/>
        <w:ind w:firstLine="640" w:firstLineChars="200"/>
        <w:rPr>
          <w:rFonts w:hint="eastAsia" w:ascii="仿宋_GB2312" w:hAnsi="仿宋_GB2312" w:eastAsia="仿宋_GB2312" w:cs="仿宋_GB2312"/>
          <w:bCs/>
          <w:sz w:val="32"/>
          <w:szCs w:val="32"/>
          <w:lang w:val="en"/>
        </w:rPr>
      </w:pPr>
      <w:r>
        <w:rPr>
          <w:rFonts w:hint="eastAsia" w:ascii="仿宋_GB2312" w:hAnsi="仿宋_GB2312" w:eastAsia="仿宋_GB2312" w:cs="仿宋_GB2312"/>
          <w:bCs/>
          <w:sz w:val="32"/>
          <w:szCs w:val="32"/>
          <w:lang w:val="en"/>
        </w:rPr>
        <w:t>[10]国家药品监督管理局医疗器械审评中心.医疗器械软件注册审查指导原则(2022年修订版):国家药监局器审中心通告2022年第9号[Z].</w:t>
      </w:r>
    </w:p>
    <w:p>
      <w:pPr>
        <w:spacing w:line="520" w:lineRule="exact"/>
        <w:ind w:firstLine="640" w:firstLineChars="200"/>
        <w:rPr>
          <w:rFonts w:hint="eastAsia" w:ascii="仿宋_GB2312" w:hAnsi="仿宋_GB2312" w:eastAsia="仿宋_GB2312" w:cs="仿宋_GB2312"/>
          <w:bCs/>
          <w:sz w:val="32"/>
          <w:szCs w:val="32"/>
          <w:lang w:val="en"/>
        </w:rPr>
      </w:pPr>
      <w:r>
        <w:rPr>
          <w:rFonts w:hint="eastAsia" w:ascii="仿宋_GB2312" w:hAnsi="仿宋_GB2312" w:eastAsia="仿宋_GB2312" w:cs="仿宋_GB2312"/>
          <w:bCs/>
          <w:sz w:val="32"/>
          <w:szCs w:val="32"/>
          <w:lang w:val="en"/>
        </w:rPr>
        <w:t>[11]国家药品监督管理局医疗器械审评中心.医疗器械网络安全注册审查指导原则:国家药监局器审中心通告2022年第7号[Z].</w:t>
      </w:r>
    </w:p>
    <w:p>
      <w:pPr>
        <w:spacing w:line="520" w:lineRule="exact"/>
        <w:ind w:firstLine="640" w:firstLineChars="200"/>
        <w:rPr>
          <w:rFonts w:hint="eastAsia" w:ascii="仿宋_GB2312" w:hAnsi="仿宋_GB2312" w:eastAsia="仿宋_GB2312" w:cs="仿宋_GB2312"/>
          <w:bCs/>
          <w:sz w:val="32"/>
          <w:szCs w:val="32"/>
          <w:lang w:val="en"/>
        </w:rPr>
      </w:pPr>
      <w:r>
        <w:rPr>
          <w:rFonts w:hint="eastAsia" w:ascii="仿宋_GB2312" w:hAnsi="仿宋_GB2312" w:eastAsia="仿宋_GB2312" w:cs="仿宋_GB2312"/>
          <w:bCs/>
          <w:sz w:val="32"/>
          <w:szCs w:val="32"/>
          <w:lang w:val="en"/>
        </w:rPr>
        <w:t>[12]国家药品监督管理局医疗器械审评中心. 医疗器械可用性工程注册审查指导原则: 国家药监局器审中心通告2024年第13号 [Z].</w:t>
      </w:r>
    </w:p>
    <w:p>
      <w:pPr>
        <w:spacing w:line="520" w:lineRule="exact"/>
        <w:ind w:firstLine="640" w:firstLineChars="200"/>
        <w:rPr>
          <w:rFonts w:hint="eastAsia" w:ascii="仿宋_GB2312" w:hAnsi="仿宋_GB2312" w:eastAsia="仿宋_GB2312" w:cs="仿宋_GB2312"/>
          <w:bCs/>
          <w:sz w:val="32"/>
          <w:szCs w:val="32"/>
          <w:lang w:val="en"/>
        </w:rPr>
      </w:pPr>
      <w:r>
        <w:rPr>
          <w:rFonts w:hint="eastAsia" w:ascii="仿宋_GB2312" w:hAnsi="仿宋_GB2312" w:eastAsia="仿宋_GB2312" w:cs="仿宋_GB2312"/>
          <w:bCs/>
          <w:sz w:val="32"/>
          <w:szCs w:val="32"/>
          <w:lang w:val="en"/>
        </w:rPr>
        <w:t>[13]国家药品监督管理局.列入免于临床评价医疗器械目录产品对比说明技术指导原则:国家药监局通告2021年第73号 [Z].</w:t>
      </w:r>
    </w:p>
    <w:p>
      <w:pPr>
        <w:spacing w:line="520" w:lineRule="exact"/>
        <w:ind w:firstLine="640" w:firstLineChars="200"/>
        <w:outlineLvl w:val="0"/>
        <w:rPr>
          <w:rFonts w:hint="eastAsia" w:ascii="仿宋_GB2312" w:hAnsi="仿宋_GB2312" w:eastAsia="仿宋_GB2312" w:cs="仿宋_GB2312"/>
          <w:bCs/>
          <w:sz w:val="32"/>
          <w:szCs w:val="32"/>
          <w:lang w:val="en"/>
        </w:rPr>
      </w:pPr>
      <w:r>
        <w:rPr>
          <w:rFonts w:hint="eastAsia" w:ascii="仿宋_GB2312" w:hAnsi="仿宋_GB2312" w:eastAsia="仿宋_GB2312" w:cs="仿宋_GB2312"/>
          <w:bCs/>
          <w:sz w:val="32"/>
          <w:szCs w:val="32"/>
          <w:lang w:val="en"/>
        </w:rPr>
        <w:t>[14]国家药品监督管理局.免于临床评价医疗器械目录：国家药监局通告</w:t>
      </w:r>
      <w:r>
        <w:rPr>
          <w:rFonts w:hint="eastAsia" w:ascii="仿宋_GB2312" w:hAnsi="仿宋_GB2312" w:eastAsia="仿宋_GB2312" w:cs="仿宋_GB2312"/>
          <w:bCs/>
          <w:sz w:val="32"/>
          <w:szCs w:val="32"/>
        </w:rPr>
        <w:t>2023</w:t>
      </w:r>
      <w:r>
        <w:rPr>
          <w:rFonts w:hint="eastAsia" w:ascii="仿宋_GB2312" w:hAnsi="仿宋_GB2312" w:eastAsia="仿宋_GB2312" w:cs="仿宋_GB2312"/>
          <w:bCs/>
          <w:sz w:val="32"/>
          <w:szCs w:val="32"/>
          <w:lang w:val="en"/>
        </w:rPr>
        <w:t>年第</w:t>
      </w:r>
      <w:r>
        <w:rPr>
          <w:rFonts w:hint="eastAsia" w:ascii="仿宋_GB2312" w:hAnsi="仿宋_GB2312" w:eastAsia="仿宋_GB2312" w:cs="仿宋_GB2312"/>
          <w:bCs/>
          <w:sz w:val="32"/>
          <w:szCs w:val="32"/>
        </w:rPr>
        <w:t>33</w:t>
      </w:r>
      <w:r>
        <w:rPr>
          <w:rFonts w:hint="eastAsia" w:ascii="仿宋_GB2312" w:hAnsi="仿宋_GB2312" w:eastAsia="仿宋_GB2312" w:cs="仿宋_GB2312"/>
          <w:bCs/>
          <w:sz w:val="32"/>
          <w:szCs w:val="32"/>
          <w:lang w:val="en"/>
        </w:rPr>
        <w:t>号[Z].</w:t>
      </w:r>
    </w:p>
    <w:p>
      <w:pPr>
        <w:spacing w:line="520" w:lineRule="exact"/>
        <w:ind w:firstLine="640" w:firstLineChars="200"/>
        <w:rPr>
          <w:rFonts w:hint="eastAsia" w:ascii="仿宋_GB2312" w:hAnsi="仿宋_GB2312" w:eastAsia="仿宋_GB2312" w:cs="仿宋_GB2312"/>
          <w:bCs/>
          <w:sz w:val="32"/>
          <w:szCs w:val="32"/>
          <w:lang w:val="en"/>
        </w:rPr>
      </w:pPr>
      <w:r>
        <w:rPr>
          <w:rFonts w:hint="eastAsia" w:ascii="仿宋_GB2312" w:hAnsi="仿宋_GB2312" w:eastAsia="仿宋_GB2312" w:cs="仿宋_GB2312"/>
          <w:bCs/>
          <w:sz w:val="32"/>
          <w:szCs w:val="32"/>
          <w:lang w:val="en"/>
        </w:rPr>
        <w:t>[15]国家食品药品监督管理局.医疗器械说明书和标签管理规定:国家食品药品监督管理总局令第6号[Z].</w:t>
      </w:r>
    </w:p>
    <w:p>
      <w:pPr>
        <w:pStyle w:val="16"/>
        <w:adjustRightInd/>
        <w:snapToGrid/>
        <w:spacing w:line="52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kern w:val="2"/>
          <w:sz w:val="32"/>
          <w:szCs w:val="32"/>
        </w:rPr>
        <w:t>[16]国家药品监督管理局.医疗器械临床评价技术指导原则:国家药监局通告2021年第73号[Z].</w:t>
      </w:r>
      <w:r>
        <w:rPr>
          <w:rFonts w:hint="eastAsia" w:ascii="仿宋_GB2312" w:hAnsi="仿宋_GB2312" w:eastAsia="仿宋_GB2312" w:cs="仿宋_GB2312"/>
          <w:bCs/>
          <w:sz w:val="32"/>
          <w:szCs w:val="32"/>
        </w:rPr>
        <w:br w:type="page"/>
      </w:r>
    </w:p>
    <w:p>
      <w:pPr>
        <w:spacing w:line="500" w:lineRule="exact"/>
        <w:jc w:val="left"/>
        <w:outlineLvl w:val="1"/>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附表</w:t>
      </w:r>
      <w:r>
        <w:rPr>
          <w:rFonts w:hint="eastAsia" w:ascii="仿宋_GB2312" w:hAnsi="仿宋_GB2312" w:eastAsia="仿宋_GB2312" w:cs="仿宋_GB2312"/>
          <w:sz w:val="32"/>
          <w:szCs w:val="32"/>
        </w:rPr>
        <w:t>1</w:t>
      </w:r>
    </w:p>
    <w:p>
      <w:pPr>
        <w:spacing w:line="500" w:lineRule="exact"/>
        <w:jc w:val="left"/>
        <w:outlineLvl w:val="1"/>
        <w:rPr>
          <w:rFonts w:hint="eastAsia" w:ascii="仿宋_GB2312" w:hAnsi="仿宋_GB2312" w:eastAsia="仿宋_GB2312" w:cs="仿宋_GB2312"/>
          <w:sz w:val="32"/>
          <w:szCs w:val="32"/>
        </w:rPr>
      </w:pPr>
    </w:p>
    <w:tbl>
      <w:tblPr>
        <w:tblStyle w:val="12"/>
        <w:tblW w:w="8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4"/>
        <w:gridCol w:w="6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04" w:type="dxa"/>
            <w:vAlign w:val="center"/>
          </w:tcPr>
          <w:p>
            <w:pPr>
              <w:widowControl/>
              <w:adjustRightInd w:val="0"/>
              <w:snapToGrid w:val="0"/>
              <w:jc w:val="center"/>
              <w:rPr>
                <w:rFonts w:hint="eastAsia" w:ascii="仿宋_GB2312" w:hAnsi="仿宋_GB2312" w:eastAsia="仿宋_GB2312" w:cs="仿宋_GB2312"/>
                <w:b/>
                <w:color w:val="auto"/>
                <w:sz w:val="24"/>
                <w:szCs w:val="24"/>
                <w:shd w:val="clear" w:color="auto" w:fill="FFFFFF"/>
              </w:rPr>
            </w:pPr>
            <w:r>
              <w:rPr>
                <w:rFonts w:hint="eastAsia" w:ascii="仿宋_GB2312" w:hAnsi="仿宋_GB2312" w:eastAsia="仿宋_GB2312" w:cs="仿宋_GB2312"/>
                <w:b/>
                <w:color w:val="auto"/>
                <w:sz w:val="24"/>
                <w:szCs w:val="24"/>
                <w:shd w:val="clear" w:color="auto" w:fill="FFFFFF"/>
              </w:rPr>
              <w:t>主要风险点</w:t>
            </w:r>
          </w:p>
        </w:tc>
        <w:tc>
          <w:tcPr>
            <w:tcW w:w="6811" w:type="dxa"/>
            <w:vAlign w:val="center"/>
          </w:tcPr>
          <w:p>
            <w:pPr>
              <w:widowControl/>
              <w:adjustRightInd w:val="0"/>
              <w:snapToGrid w:val="0"/>
              <w:jc w:val="center"/>
              <w:rPr>
                <w:rFonts w:hint="eastAsia" w:ascii="仿宋_GB2312" w:hAnsi="仿宋_GB2312" w:eastAsia="仿宋_GB2312" w:cs="仿宋_GB2312"/>
                <w:b/>
                <w:color w:val="auto"/>
                <w:sz w:val="24"/>
                <w:szCs w:val="24"/>
                <w:shd w:val="clear" w:color="auto" w:fill="FFFFFF"/>
              </w:rPr>
            </w:pPr>
            <w:r>
              <w:rPr>
                <w:rFonts w:hint="eastAsia" w:ascii="仿宋_GB2312" w:hAnsi="仿宋_GB2312" w:eastAsia="仿宋_GB2312" w:cs="仿宋_GB2312"/>
                <w:b/>
                <w:color w:val="auto"/>
                <w:sz w:val="24"/>
                <w:szCs w:val="24"/>
                <w:shd w:val="clear" w:color="auto" w:fill="FFFFFF"/>
              </w:rPr>
              <w:t>可能产生的危害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Align w:val="center"/>
          </w:tcPr>
          <w:p>
            <w:pPr>
              <w:widowControl/>
              <w:adjustRightInd w:val="0"/>
              <w:snapToGrid w:val="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能量风险</w:t>
            </w:r>
          </w:p>
        </w:tc>
        <w:tc>
          <w:tcPr>
            <w:tcW w:w="6811" w:type="dxa"/>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有源医疗器械与网电源连接使用时可能对使用者、患者产生电击危害。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restart"/>
            <w:vAlign w:val="center"/>
          </w:tcPr>
          <w:p>
            <w:pPr>
              <w:widowControl/>
              <w:adjustRightInd w:val="0"/>
              <w:snapToGrid w:val="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环境风险</w:t>
            </w:r>
          </w:p>
        </w:tc>
        <w:tc>
          <w:tcPr>
            <w:tcW w:w="6811" w:type="dxa"/>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电磁危害：产品电磁屏蔽、滤波和接地设计以及抗干扰设计不充分，可能导致设备对外界电磁辐射超标或设备受外部电磁干扰出现工作异常。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continue"/>
            <w:vAlign w:val="center"/>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p>
        </w:tc>
        <w:tc>
          <w:tcPr>
            <w:tcW w:w="6811" w:type="dxa"/>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与运输、储存和运行偏离预定的环境条件、意外的机械破坏有关的危害：如果</w:t>
            </w:r>
            <w:r>
              <w:rPr>
                <w:rFonts w:hint="eastAsia" w:ascii="仿宋_GB2312" w:hAnsi="仿宋_GB2312" w:eastAsia="仿宋_GB2312" w:cs="仿宋_GB2312"/>
                <w:color w:val="auto"/>
                <w:sz w:val="24"/>
                <w:szCs w:val="24"/>
                <w:shd w:val="clear" w:color="auto" w:fill="FFFFFF"/>
                <w:lang w:eastAsia="zh-CN"/>
              </w:rPr>
              <w:t>产品</w:t>
            </w:r>
            <w:r>
              <w:rPr>
                <w:rFonts w:hint="eastAsia" w:ascii="仿宋_GB2312" w:hAnsi="仿宋_GB2312" w:eastAsia="仿宋_GB2312" w:cs="仿宋_GB2312"/>
                <w:color w:val="auto"/>
                <w:sz w:val="24"/>
                <w:szCs w:val="24"/>
                <w:shd w:val="clear" w:color="auto" w:fill="FFFFFF"/>
              </w:rPr>
              <w:t>包装设计不合理、未按要求包装运输，或贮存环境不满足要求，或使用时发生摔打、跌落和碰撞，可能造成</w:t>
            </w:r>
            <w:r>
              <w:rPr>
                <w:rFonts w:hint="eastAsia" w:ascii="仿宋_GB2312" w:hAnsi="仿宋_GB2312" w:eastAsia="仿宋_GB2312" w:cs="仿宋_GB2312"/>
                <w:color w:val="auto"/>
                <w:sz w:val="24"/>
                <w:szCs w:val="24"/>
                <w:shd w:val="clear" w:color="auto" w:fill="FFFFFF"/>
                <w:lang w:eastAsia="zh-CN"/>
              </w:rPr>
              <w:t>甲状腺功能测定仪</w:t>
            </w:r>
            <w:r>
              <w:rPr>
                <w:rFonts w:hint="eastAsia" w:ascii="仿宋_GB2312" w:hAnsi="仿宋_GB2312" w:eastAsia="仿宋_GB2312" w:cs="仿宋_GB2312"/>
                <w:color w:val="auto"/>
                <w:sz w:val="24"/>
                <w:szCs w:val="24"/>
                <w:shd w:val="clear" w:color="auto" w:fill="FFFFFF"/>
              </w:rPr>
              <w:t>损坏或性能变差。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continue"/>
            <w:tcBorders>
              <w:bottom w:val="single" w:color="auto" w:sz="4" w:space="0"/>
            </w:tcBorders>
            <w:vAlign w:val="center"/>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p>
        </w:tc>
        <w:tc>
          <w:tcPr>
            <w:tcW w:w="6811" w:type="dxa"/>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环境污染危害：使用说明书未对到达使用期限后废弃处置进行规定，用户处置可能造成环境污染危害。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04" w:type="dxa"/>
            <w:vMerge w:val="restart"/>
            <w:vAlign w:val="center"/>
          </w:tcPr>
          <w:p>
            <w:pPr>
              <w:widowControl/>
              <w:adjustRightInd w:val="0"/>
              <w:snapToGrid w:val="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机械能风险</w:t>
            </w:r>
          </w:p>
        </w:tc>
        <w:tc>
          <w:tcPr>
            <w:tcW w:w="6811" w:type="dxa"/>
            <w:vAlign w:val="center"/>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在移动</w:t>
            </w:r>
            <w:r>
              <w:rPr>
                <w:rFonts w:hint="eastAsia" w:ascii="仿宋_GB2312" w:hAnsi="仿宋_GB2312" w:eastAsia="仿宋_GB2312" w:cs="仿宋_GB2312"/>
                <w:color w:val="auto"/>
                <w:sz w:val="24"/>
                <w:szCs w:val="24"/>
                <w:shd w:val="clear" w:color="auto" w:fill="FFFFFF"/>
                <w:lang w:eastAsia="zh-CN"/>
              </w:rPr>
              <w:t>产品</w:t>
            </w:r>
            <w:r>
              <w:rPr>
                <w:rFonts w:hint="eastAsia" w:ascii="仿宋_GB2312" w:hAnsi="仿宋_GB2312" w:eastAsia="仿宋_GB2312" w:cs="仿宋_GB2312"/>
                <w:color w:val="auto"/>
                <w:sz w:val="24"/>
                <w:szCs w:val="24"/>
                <w:shd w:val="clear" w:color="auto" w:fill="FFFFFF"/>
              </w:rPr>
              <w:t>时，可能使该产品倾倒，损伤操作者。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continue"/>
            <w:vAlign w:val="center"/>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p>
        </w:tc>
        <w:tc>
          <w:tcPr>
            <w:tcW w:w="6811" w:type="dxa"/>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当探测器支撑支架机械系统失效时，可能使操作者或患者受伤。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restart"/>
            <w:tcBorders>
              <w:top w:val="single" w:color="auto" w:sz="4" w:space="0"/>
            </w:tcBorders>
            <w:vAlign w:val="center"/>
          </w:tcPr>
          <w:p>
            <w:pPr>
              <w:widowControl/>
              <w:adjustRightInd w:val="0"/>
              <w:snapToGrid w:val="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生物学风险</w:t>
            </w:r>
          </w:p>
        </w:tc>
        <w:tc>
          <w:tcPr>
            <w:tcW w:w="6811" w:type="dxa"/>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与患者接触的材料生物相容性</w:t>
            </w:r>
            <w:r>
              <w:rPr>
                <w:rFonts w:hint="eastAsia" w:ascii="仿宋_GB2312" w:hAnsi="仿宋_GB2312" w:eastAsia="仿宋_GB2312" w:cs="仿宋_GB2312"/>
                <w:color w:val="auto"/>
                <w:sz w:val="24"/>
                <w:szCs w:val="24"/>
                <w:shd w:val="clear" w:color="auto" w:fill="FFFFFF"/>
                <w:lang w:eastAsia="zh-CN"/>
              </w:rPr>
              <w:t>不满足要求</w:t>
            </w:r>
            <w:r>
              <w:rPr>
                <w:rFonts w:hint="eastAsia" w:ascii="仿宋_GB2312" w:hAnsi="仿宋_GB2312" w:eastAsia="仿宋_GB2312" w:cs="仿宋_GB2312"/>
                <w:color w:val="auto"/>
                <w:sz w:val="24"/>
                <w:szCs w:val="24"/>
                <w:shd w:val="clear" w:color="auto" w:fill="FFFFFF"/>
              </w:rPr>
              <w:t>，患者使用后可能出现皮肤致敏反应危害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continue"/>
            <w:vAlign w:val="center"/>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p>
        </w:tc>
        <w:tc>
          <w:tcPr>
            <w:tcW w:w="6811" w:type="dxa"/>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交叉感染危害：</w:t>
            </w:r>
            <w:r>
              <w:rPr>
                <w:rFonts w:hint="eastAsia" w:ascii="仿宋_GB2312" w:hAnsi="仿宋_GB2312" w:eastAsia="仿宋_GB2312" w:cs="仿宋_GB2312"/>
                <w:color w:val="auto"/>
                <w:sz w:val="24"/>
                <w:szCs w:val="24"/>
                <w:shd w:val="clear" w:color="auto" w:fill="FFFFFF"/>
                <w:lang w:eastAsia="zh-CN"/>
              </w:rPr>
              <w:t>产品</w:t>
            </w:r>
            <w:r>
              <w:rPr>
                <w:rFonts w:hint="eastAsia" w:ascii="仿宋_GB2312" w:hAnsi="仿宋_GB2312" w:eastAsia="仿宋_GB2312" w:cs="仿宋_GB2312"/>
                <w:color w:val="auto"/>
                <w:sz w:val="24"/>
                <w:szCs w:val="24"/>
                <w:shd w:val="clear" w:color="auto" w:fill="FFFFFF"/>
              </w:rPr>
              <w:t>在使用前后，不按规范严格的清洗、消毒和灭菌，或者推荐的清洁、消毒和灭菌方法不合理，可能导致污染物或细菌残留，对患者产生交叉感染的危害。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restart"/>
            <w:vAlign w:val="center"/>
          </w:tcPr>
          <w:p>
            <w:pPr>
              <w:widowControl/>
              <w:adjustRightInd w:val="0"/>
              <w:snapToGrid w:val="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使用风险</w:t>
            </w:r>
          </w:p>
        </w:tc>
        <w:tc>
          <w:tcPr>
            <w:tcW w:w="6811" w:type="dxa"/>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标签上警告、禁止等标识不充分、不清晰或不符合标准要求，控制按键/按钮标识不清晰或不易辨认，可能造成用户误操作等危害；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continue"/>
            <w:vAlign w:val="center"/>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p>
        </w:tc>
        <w:tc>
          <w:tcPr>
            <w:tcW w:w="6811" w:type="dxa"/>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不完整的使用说明书，说明书中没有产品安装有关的信息或相关警告等，可能导致错误安装造成产品损坏等危害。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vMerge w:val="continue"/>
            <w:vAlign w:val="center"/>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p>
        </w:tc>
        <w:tc>
          <w:tcPr>
            <w:tcW w:w="6811" w:type="dxa"/>
          </w:tcPr>
          <w:p>
            <w:pPr>
              <w:widowControl/>
              <w:adjustRightInd w:val="0"/>
              <w:snapToGrid w:val="0"/>
              <w:ind w:firstLine="480" w:firstLineChars="20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畸变太大，影响临床使用，可能导致测量数据不准确影响临床诊断等风险。</w:t>
            </w:r>
          </w:p>
        </w:tc>
      </w:tr>
    </w:tbl>
    <w:p>
      <w:pP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br w:type="page"/>
      </w:r>
    </w:p>
    <w:p>
      <w:pPr>
        <w:spacing w:line="48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附表</w:t>
      </w:r>
      <w:r>
        <w:rPr>
          <w:rFonts w:hint="eastAsia" w:ascii="仿宋_GB2312" w:hAnsi="仿宋_GB2312" w:eastAsia="仿宋_GB2312" w:cs="仿宋_GB2312"/>
          <w:sz w:val="32"/>
          <w:szCs w:val="32"/>
        </w:rPr>
        <w:t>2</w:t>
      </w:r>
    </w:p>
    <w:p>
      <w:pPr>
        <w:spacing w:line="480" w:lineRule="exact"/>
        <w:jc w:val="left"/>
        <w:rPr>
          <w:rFonts w:hint="eastAsia" w:ascii="仿宋_GB2312" w:hAnsi="仿宋_GB2312" w:eastAsia="仿宋_GB2312" w:cs="仿宋_GB2312"/>
          <w:sz w:val="32"/>
          <w:szCs w:val="32"/>
        </w:rPr>
      </w:pPr>
    </w:p>
    <w:p>
      <w:pPr>
        <w:spacing w:line="480" w:lineRule="exact"/>
        <w:jc w:val="center"/>
        <w:rPr>
          <w:rFonts w:hint="eastAsia" w:ascii="仿宋_GB2312" w:hAnsi="仿宋_GB2312" w:eastAsia="仿宋_GB2312" w:cs="仿宋_GB2312"/>
          <w:bCs/>
          <w:sz w:val="44"/>
          <w:szCs w:val="44"/>
        </w:rPr>
      </w:pPr>
      <w:r>
        <w:rPr>
          <w:rFonts w:hint="eastAsia" w:ascii="仿宋_GB2312" w:hAnsi="仿宋_GB2312" w:eastAsia="仿宋_GB2312" w:cs="仿宋_GB2312"/>
          <w:bCs/>
          <w:sz w:val="44"/>
          <w:szCs w:val="44"/>
        </w:rPr>
        <w:t>相关产品标准</w:t>
      </w:r>
    </w:p>
    <w:p>
      <w:pPr>
        <w:spacing w:line="480" w:lineRule="exact"/>
        <w:jc w:val="left"/>
        <w:rPr>
          <w:rFonts w:hint="eastAsia" w:ascii="仿宋_GB2312" w:hAnsi="仿宋_GB2312" w:eastAsia="仿宋_GB2312" w:cs="仿宋_GB2312"/>
          <w:bCs/>
          <w:sz w:val="32"/>
          <w:szCs w:val="32"/>
        </w:rPr>
      </w:pPr>
    </w:p>
    <w:p>
      <w:pPr>
        <w:widowControl/>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上述标准包括了产品适用的国家标准、行业标准。申请人可根据产品的特点补充引用其他相关国家或行业标准。</w:t>
      </w:r>
    </w:p>
    <w:p>
      <w:pPr>
        <w:spacing w:line="480" w:lineRule="exact"/>
        <w:ind w:firstLine="640" w:firstLineChars="200"/>
        <w:rPr>
          <w:rFonts w:hint="eastAsia" w:ascii="仿宋_GB2312" w:hAnsi="仿宋_GB2312" w:eastAsia="仿宋_GB2312" w:cs="仿宋_GB2312"/>
        </w:rPr>
      </w:pPr>
      <w:r>
        <w:rPr>
          <w:rFonts w:hint="eastAsia" w:ascii="仿宋_GB2312" w:hAnsi="仿宋_GB2312" w:eastAsia="仿宋_GB2312" w:cs="仿宋_GB2312"/>
          <w:sz w:val="32"/>
          <w:szCs w:val="32"/>
        </w:rPr>
        <w:t>如有新版国家标准、行业标准发布实施，应执行最新版本。</w:t>
      </w:r>
    </w:p>
    <w:tbl>
      <w:tblPr>
        <w:tblStyle w:val="12"/>
        <w:tblW w:w="9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6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GB/T 191</w:t>
            </w:r>
          </w:p>
        </w:tc>
        <w:tc>
          <w:tcPr>
            <w:tcW w:w="65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包装储运图示标志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GB/T 8993</w:t>
            </w:r>
          </w:p>
        </w:tc>
        <w:tc>
          <w:tcPr>
            <w:tcW w:w="65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核仪器环境条件与试验方法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GB 9706.1</w:t>
            </w:r>
          </w:p>
        </w:tc>
        <w:tc>
          <w:tcPr>
            <w:tcW w:w="65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医用电气设备 第1部分：基本安全和基本性能的通用要求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GB/T 9969</w:t>
            </w:r>
          </w:p>
        </w:tc>
        <w:tc>
          <w:tcPr>
            <w:tcW w:w="65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www.baidu.com/link?url=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" \t "_blank"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28"/>
                <w:szCs w:val="28"/>
              </w:rPr>
              <w:t>工业产品使用说明书总则</w:t>
            </w:r>
            <w:r>
              <w:rPr>
                <w:rFonts w:hint="eastAsia" w:ascii="仿宋_GB2312" w:hAnsi="仿宋_GB2312" w:eastAsia="仿宋_GB2312" w:cs="仿宋_GB2312"/>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GB/T 14710</w:t>
            </w:r>
          </w:p>
        </w:tc>
        <w:tc>
          <w:tcPr>
            <w:tcW w:w="65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医用电器环境要求及试验方法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GB/T 15476-2008</w:t>
            </w:r>
          </w:p>
        </w:tc>
        <w:tc>
          <w:tcPr>
            <w:tcW w:w="65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肾功能仪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GB/T 16886.1</w:t>
            </w:r>
          </w:p>
        </w:tc>
        <w:tc>
          <w:tcPr>
            <w:tcW w:w="65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医疗器械生物学评价 第1部分：风险管理过程的评价与试验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GB/T 42062</w:t>
            </w:r>
          </w:p>
        </w:tc>
        <w:tc>
          <w:tcPr>
            <w:tcW w:w="65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医疗器械 风险管理对医疗器械的应用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YY/T 0466.1</w:t>
            </w:r>
          </w:p>
        </w:tc>
        <w:tc>
          <w:tcPr>
            <w:tcW w:w="65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医疗器械用于医疗器械标签、标记和提供信息的符号第</w:t>
            </w:r>
            <w:r>
              <w:rPr>
                <w:rFonts w:hint="eastAsia" w:ascii="仿宋_GB2312" w:hAnsi="仿宋_GB2312" w:eastAsia="仿宋_GB2312" w:cs="仿宋_GB2312"/>
                <w:sz w:val="28"/>
                <w:szCs w:val="28"/>
                <w:lang w:val="en"/>
              </w:rPr>
              <w:t>1</w:t>
            </w:r>
            <w:r>
              <w:rPr>
                <w:rFonts w:hint="eastAsia" w:ascii="仿宋_GB2312" w:hAnsi="仿宋_GB2312" w:eastAsia="仿宋_GB2312" w:cs="仿宋_GB2312"/>
                <w:sz w:val="28"/>
                <w:szCs w:val="28"/>
              </w:rPr>
              <w:t>部分：通用要求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YY 9706.102</w:t>
            </w:r>
          </w:p>
        </w:tc>
        <w:tc>
          <w:tcPr>
            <w:tcW w:w="65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医用电气设备 第1-2部分：基本安全和基本性能的通用要求 并列标准：电磁兼容 要求和试验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YY/T 9706.106</w:t>
            </w:r>
          </w:p>
        </w:tc>
        <w:tc>
          <w:tcPr>
            <w:tcW w:w="65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医用电气设备 第1-6部分：基本安全和基本性能的通用要求 并列标准：可用性</w:t>
            </w:r>
          </w:p>
        </w:tc>
      </w:tr>
    </w:tbl>
    <w:p>
      <w:pPr>
        <w:rPr>
          <w:rFonts w:hint="eastAsia" w:ascii="仿宋_GB2312" w:hAnsi="仿宋_GB2312" w:eastAsia="仿宋_GB2312" w:cs="仿宋_GB2312"/>
          <w:sz w:val="28"/>
          <w:szCs w:val="28"/>
        </w:rPr>
      </w:pPr>
    </w:p>
    <w:sectPr>
      <w:footerReference r:id="rId3" w:type="default"/>
      <w:footerReference r:id="rId4" w:type="even"/>
      <w:pgSz w:w="11906" w:h="16838"/>
      <w:pgMar w:top="1701" w:right="1588" w:bottom="1701" w:left="1588" w:header="851" w:footer="1247" w:gutter="0"/>
      <w:lnNumType w:countBy="1" w:restart="continuou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A1"/>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2040204020203"/>
    <w:charset w:val="86"/>
    <w:family w:val="auto"/>
    <w:pitch w:val="default"/>
    <w:sig w:usb0="80000287" w:usb1="2ACF0010" w:usb2="00000016" w:usb3="00000000" w:csb0="0004001F" w:csb1="00000000"/>
  </w:font>
  <w:font w:name="Calibri Light">
    <w:altName w:val="DejaVu Sans"/>
    <w:panose1 w:val="020F0302020204030204"/>
    <w:charset w:val="00"/>
    <w:family w:val="swiss"/>
    <w:pitch w:val="default"/>
    <w:sig w:usb0="00000000" w:usb1="00000000" w:usb2="00000009" w:usb3="00000000" w:csb0="200001FF"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wordWrap w:val="0"/>
      <w:jc w:val="right"/>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21</w:t>
    </w:r>
    <w:r>
      <w:rPr>
        <w:sz w:val="28"/>
        <w:szCs w:val="28"/>
      </w:rPr>
      <w:fldChar w:fldCharType="end"/>
    </w:r>
    <w:r>
      <w:rPr>
        <w:rFonts w:hint="eastAsia"/>
        <w:sz w:val="28"/>
        <w:szCs w:val="28"/>
      </w:rPr>
      <w:t>—</w:t>
    </w:r>
  </w:p>
  <w:p>
    <w:pPr>
      <w:pStyle w:val="8"/>
      <w:wordWrap w:val="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20</w:t>
    </w:r>
    <w:r>
      <w:rPr>
        <w:sz w:val="28"/>
        <w:szCs w:val="28"/>
      </w:rPr>
      <w:fldChar w:fldCharType="end"/>
    </w:r>
    <w:r>
      <w:rPr>
        <w:rFonts w:hint="eastAsia"/>
        <w:sz w:val="28"/>
        <w:szCs w:val="28"/>
      </w:rPr>
      <w:t>—</w:t>
    </w:r>
  </w:p>
  <w:p>
    <w:pPr>
      <w:pStyle w:val="8"/>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D44A8E"/>
    <w:multiLevelType w:val="singleLevel"/>
    <w:tmpl w:val="DFD44A8E"/>
    <w:lvl w:ilvl="0" w:tentative="0">
      <w:start w:val="2"/>
      <w:numFmt w:val="decimal"/>
      <w:suff w:val="nothing"/>
      <w:lvlText w:val="%1、"/>
      <w:lvlJc w:val="left"/>
    </w:lvl>
  </w:abstractNum>
  <w:abstractNum w:abstractNumId="1">
    <w:nsid w:val="6BDE29F8"/>
    <w:multiLevelType w:val="singleLevel"/>
    <w:tmpl w:val="6BDE29F8"/>
    <w:lvl w:ilvl="0" w:tentative="0">
      <w:start w:val="1"/>
      <w:numFmt w:val="lowerLetter"/>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trackRevisions w:val="1"/>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MjBmOTVkM2IzZjI1N2FjNTZmNzQxMzEzZDEyNDQifQ=="/>
  </w:docVars>
  <w:rsids>
    <w:rsidRoot w:val="00D24B4A"/>
    <w:rsid w:val="00045E40"/>
    <w:rsid w:val="00053C1C"/>
    <w:rsid w:val="00061600"/>
    <w:rsid w:val="00085452"/>
    <w:rsid w:val="000A5E6E"/>
    <w:rsid w:val="000B7188"/>
    <w:rsid w:val="000E7D2A"/>
    <w:rsid w:val="00120D7D"/>
    <w:rsid w:val="0014358C"/>
    <w:rsid w:val="00162B5E"/>
    <w:rsid w:val="001D6C88"/>
    <w:rsid w:val="00232CEE"/>
    <w:rsid w:val="0027166F"/>
    <w:rsid w:val="002D3C5A"/>
    <w:rsid w:val="00325AC8"/>
    <w:rsid w:val="00332013"/>
    <w:rsid w:val="003504C8"/>
    <w:rsid w:val="0041373F"/>
    <w:rsid w:val="00431A5F"/>
    <w:rsid w:val="0043240E"/>
    <w:rsid w:val="00467903"/>
    <w:rsid w:val="00470570"/>
    <w:rsid w:val="00474308"/>
    <w:rsid w:val="0047526E"/>
    <w:rsid w:val="004B0834"/>
    <w:rsid w:val="004D4AF3"/>
    <w:rsid w:val="00511504"/>
    <w:rsid w:val="005445A4"/>
    <w:rsid w:val="005A6139"/>
    <w:rsid w:val="005C382C"/>
    <w:rsid w:val="00606CFF"/>
    <w:rsid w:val="00691AED"/>
    <w:rsid w:val="006A1638"/>
    <w:rsid w:val="006C3A54"/>
    <w:rsid w:val="007362AF"/>
    <w:rsid w:val="007B4489"/>
    <w:rsid w:val="007D4DAA"/>
    <w:rsid w:val="007E026E"/>
    <w:rsid w:val="008338DC"/>
    <w:rsid w:val="008372D8"/>
    <w:rsid w:val="00853B9C"/>
    <w:rsid w:val="008652B0"/>
    <w:rsid w:val="008A4617"/>
    <w:rsid w:val="00930AED"/>
    <w:rsid w:val="00934B01"/>
    <w:rsid w:val="00952463"/>
    <w:rsid w:val="00965591"/>
    <w:rsid w:val="009A1B77"/>
    <w:rsid w:val="009D7837"/>
    <w:rsid w:val="00A02336"/>
    <w:rsid w:val="00A96105"/>
    <w:rsid w:val="00AB70B0"/>
    <w:rsid w:val="00AB7EEE"/>
    <w:rsid w:val="00B47C56"/>
    <w:rsid w:val="00B830D7"/>
    <w:rsid w:val="00BB1FB5"/>
    <w:rsid w:val="00BD012F"/>
    <w:rsid w:val="00C102E6"/>
    <w:rsid w:val="00C13815"/>
    <w:rsid w:val="00CC7AD7"/>
    <w:rsid w:val="00CE0BC6"/>
    <w:rsid w:val="00CF45DC"/>
    <w:rsid w:val="00D24B4A"/>
    <w:rsid w:val="00D85AE8"/>
    <w:rsid w:val="00DA73E1"/>
    <w:rsid w:val="00DB5FD5"/>
    <w:rsid w:val="00DF72AA"/>
    <w:rsid w:val="00E022A5"/>
    <w:rsid w:val="00E20769"/>
    <w:rsid w:val="00E313F8"/>
    <w:rsid w:val="00E4731A"/>
    <w:rsid w:val="00E53577"/>
    <w:rsid w:val="00EA0093"/>
    <w:rsid w:val="00ED63FE"/>
    <w:rsid w:val="00F81465"/>
    <w:rsid w:val="00F82E0A"/>
    <w:rsid w:val="00F842EA"/>
    <w:rsid w:val="00FA696B"/>
    <w:rsid w:val="00FD4FF7"/>
    <w:rsid w:val="00FE59F8"/>
    <w:rsid w:val="01205625"/>
    <w:rsid w:val="02240A2E"/>
    <w:rsid w:val="02317922"/>
    <w:rsid w:val="032F7F04"/>
    <w:rsid w:val="04CC3E4B"/>
    <w:rsid w:val="05067099"/>
    <w:rsid w:val="05DB70B3"/>
    <w:rsid w:val="06067FDF"/>
    <w:rsid w:val="065B241A"/>
    <w:rsid w:val="075BE377"/>
    <w:rsid w:val="081955DB"/>
    <w:rsid w:val="089229E1"/>
    <w:rsid w:val="089A070D"/>
    <w:rsid w:val="09424A96"/>
    <w:rsid w:val="09BBAE82"/>
    <w:rsid w:val="09C6051A"/>
    <w:rsid w:val="0A5C4871"/>
    <w:rsid w:val="0AC9557A"/>
    <w:rsid w:val="0C2C52AC"/>
    <w:rsid w:val="0DA94A45"/>
    <w:rsid w:val="0ECB4F3D"/>
    <w:rsid w:val="0F000F9C"/>
    <w:rsid w:val="0F77460A"/>
    <w:rsid w:val="10295812"/>
    <w:rsid w:val="11241A3C"/>
    <w:rsid w:val="13010D7D"/>
    <w:rsid w:val="167073F4"/>
    <w:rsid w:val="16E3BDC9"/>
    <w:rsid w:val="173C1D32"/>
    <w:rsid w:val="176F9656"/>
    <w:rsid w:val="17E727C5"/>
    <w:rsid w:val="17FFC69B"/>
    <w:rsid w:val="19FB02B4"/>
    <w:rsid w:val="1AB943B7"/>
    <w:rsid w:val="1AFF7966"/>
    <w:rsid w:val="1BF18D0C"/>
    <w:rsid w:val="1CFFDF15"/>
    <w:rsid w:val="1D7D776C"/>
    <w:rsid w:val="1DABCAC6"/>
    <w:rsid w:val="1DBC7E27"/>
    <w:rsid w:val="1DD37881"/>
    <w:rsid w:val="1DE305DA"/>
    <w:rsid w:val="1DEBB70F"/>
    <w:rsid w:val="1EBFF5E8"/>
    <w:rsid w:val="1EEEC872"/>
    <w:rsid w:val="1F3FE553"/>
    <w:rsid w:val="1F7F4C97"/>
    <w:rsid w:val="1FB9EC19"/>
    <w:rsid w:val="1FE2046B"/>
    <w:rsid w:val="1FED4536"/>
    <w:rsid w:val="1FFBD1AD"/>
    <w:rsid w:val="1FFF5D4E"/>
    <w:rsid w:val="202C130C"/>
    <w:rsid w:val="221472F0"/>
    <w:rsid w:val="22564CAC"/>
    <w:rsid w:val="22567EC0"/>
    <w:rsid w:val="226159BD"/>
    <w:rsid w:val="239F764D"/>
    <w:rsid w:val="24AC124F"/>
    <w:rsid w:val="254D4FF2"/>
    <w:rsid w:val="266D6EC0"/>
    <w:rsid w:val="26F65F34"/>
    <w:rsid w:val="26FF83FB"/>
    <w:rsid w:val="271C0183"/>
    <w:rsid w:val="27BA2B3B"/>
    <w:rsid w:val="29993503"/>
    <w:rsid w:val="29E65B4C"/>
    <w:rsid w:val="2A1A5996"/>
    <w:rsid w:val="2A5BE37F"/>
    <w:rsid w:val="2B5F7FEF"/>
    <w:rsid w:val="2B7FE92D"/>
    <w:rsid w:val="2BF328FF"/>
    <w:rsid w:val="2BFFDD3F"/>
    <w:rsid w:val="2C512B0D"/>
    <w:rsid w:val="2CB03B88"/>
    <w:rsid w:val="2CF999DF"/>
    <w:rsid w:val="2DFFF13A"/>
    <w:rsid w:val="2EE4E1E9"/>
    <w:rsid w:val="2F2F4064"/>
    <w:rsid w:val="2F317AD9"/>
    <w:rsid w:val="2F37776D"/>
    <w:rsid w:val="2F723377"/>
    <w:rsid w:val="2F77D317"/>
    <w:rsid w:val="2F7F45D3"/>
    <w:rsid w:val="2FD801BB"/>
    <w:rsid w:val="2FEEE9B6"/>
    <w:rsid w:val="2FFB9954"/>
    <w:rsid w:val="2FFF17FF"/>
    <w:rsid w:val="2FFF3415"/>
    <w:rsid w:val="3050190A"/>
    <w:rsid w:val="30961312"/>
    <w:rsid w:val="31B53D7B"/>
    <w:rsid w:val="32322400"/>
    <w:rsid w:val="32CA58B0"/>
    <w:rsid w:val="339FCA4C"/>
    <w:rsid w:val="33CFA8AE"/>
    <w:rsid w:val="33F71959"/>
    <w:rsid w:val="34901252"/>
    <w:rsid w:val="35FF5CC2"/>
    <w:rsid w:val="367DEAE4"/>
    <w:rsid w:val="367FD974"/>
    <w:rsid w:val="36B3470F"/>
    <w:rsid w:val="36FF4DCB"/>
    <w:rsid w:val="36FFE628"/>
    <w:rsid w:val="37834839"/>
    <w:rsid w:val="37A64C0F"/>
    <w:rsid w:val="37FAECAC"/>
    <w:rsid w:val="38BF5473"/>
    <w:rsid w:val="38FBC2F8"/>
    <w:rsid w:val="3A2C7F77"/>
    <w:rsid w:val="3A842ACB"/>
    <w:rsid w:val="3AEA1266"/>
    <w:rsid w:val="3AEF7B58"/>
    <w:rsid w:val="3B59A62D"/>
    <w:rsid w:val="3BBE3D20"/>
    <w:rsid w:val="3BD9B7A8"/>
    <w:rsid w:val="3BEE4065"/>
    <w:rsid w:val="3BFD3A9A"/>
    <w:rsid w:val="3C575C58"/>
    <w:rsid w:val="3CFD3178"/>
    <w:rsid w:val="3D3E51EE"/>
    <w:rsid w:val="3DBF1772"/>
    <w:rsid w:val="3DE542AF"/>
    <w:rsid w:val="3EE9F682"/>
    <w:rsid w:val="3EF2A7CC"/>
    <w:rsid w:val="3F0C26B7"/>
    <w:rsid w:val="3F17A249"/>
    <w:rsid w:val="3F5F2D84"/>
    <w:rsid w:val="3F677599"/>
    <w:rsid w:val="3F75FB64"/>
    <w:rsid w:val="3FAAC32A"/>
    <w:rsid w:val="3FBCDFFB"/>
    <w:rsid w:val="3FCEA00B"/>
    <w:rsid w:val="3FDD0A57"/>
    <w:rsid w:val="3FDFAB84"/>
    <w:rsid w:val="3FDFF9A2"/>
    <w:rsid w:val="3FF6A2BB"/>
    <w:rsid w:val="3FF71EDD"/>
    <w:rsid w:val="3FFAD419"/>
    <w:rsid w:val="3FFF1EC2"/>
    <w:rsid w:val="3FFF50DB"/>
    <w:rsid w:val="3FFF71DB"/>
    <w:rsid w:val="403F2694"/>
    <w:rsid w:val="4128572A"/>
    <w:rsid w:val="422B6821"/>
    <w:rsid w:val="43D2DD9F"/>
    <w:rsid w:val="457555A7"/>
    <w:rsid w:val="45B71FA8"/>
    <w:rsid w:val="45EE88C6"/>
    <w:rsid w:val="45F65EFC"/>
    <w:rsid w:val="46BEBE5B"/>
    <w:rsid w:val="46DA6A9E"/>
    <w:rsid w:val="477FB2F4"/>
    <w:rsid w:val="47BF433E"/>
    <w:rsid w:val="47D379A8"/>
    <w:rsid w:val="47D82248"/>
    <w:rsid w:val="47F63BF7"/>
    <w:rsid w:val="47FB5D3E"/>
    <w:rsid w:val="47FFDD0F"/>
    <w:rsid w:val="481E35E7"/>
    <w:rsid w:val="49302DA0"/>
    <w:rsid w:val="49FB76DD"/>
    <w:rsid w:val="4B420F22"/>
    <w:rsid w:val="4C327295"/>
    <w:rsid w:val="4C6566B0"/>
    <w:rsid w:val="4C7F2F69"/>
    <w:rsid w:val="4CBC24AF"/>
    <w:rsid w:val="4D57E02B"/>
    <w:rsid w:val="4DEFA601"/>
    <w:rsid w:val="4DFFB488"/>
    <w:rsid w:val="4E4B5ECD"/>
    <w:rsid w:val="4EB7395E"/>
    <w:rsid w:val="4EFB437B"/>
    <w:rsid w:val="4F4B67AE"/>
    <w:rsid w:val="4F9F4A0D"/>
    <w:rsid w:val="4F9F7D8C"/>
    <w:rsid w:val="4FDCA950"/>
    <w:rsid w:val="4FEEDB7C"/>
    <w:rsid w:val="4FF790D0"/>
    <w:rsid w:val="4FFD3777"/>
    <w:rsid w:val="507755DD"/>
    <w:rsid w:val="51772A96"/>
    <w:rsid w:val="52373EE4"/>
    <w:rsid w:val="52755408"/>
    <w:rsid w:val="528F9F6A"/>
    <w:rsid w:val="529F3A3C"/>
    <w:rsid w:val="53476E60"/>
    <w:rsid w:val="53E7190C"/>
    <w:rsid w:val="54DFCC65"/>
    <w:rsid w:val="55560472"/>
    <w:rsid w:val="55742995"/>
    <w:rsid w:val="55BF9FA9"/>
    <w:rsid w:val="55E7642B"/>
    <w:rsid w:val="562D0004"/>
    <w:rsid w:val="56D36709"/>
    <w:rsid w:val="571E397C"/>
    <w:rsid w:val="57478D8B"/>
    <w:rsid w:val="57886D0D"/>
    <w:rsid w:val="579F1698"/>
    <w:rsid w:val="57DB54E4"/>
    <w:rsid w:val="57F354DB"/>
    <w:rsid w:val="57F4BE2C"/>
    <w:rsid w:val="585873CC"/>
    <w:rsid w:val="58CA2EDB"/>
    <w:rsid w:val="58E1F8A3"/>
    <w:rsid w:val="596B63EE"/>
    <w:rsid w:val="597F028D"/>
    <w:rsid w:val="59DB31E9"/>
    <w:rsid w:val="59F34306"/>
    <w:rsid w:val="59FBF182"/>
    <w:rsid w:val="5A3819E6"/>
    <w:rsid w:val="5A3B2A23"/>
    <w:rsid w:val="5A5EE7E0"/>
    <w:rsid w:val="5AF36E66"/>
    <w:rsid w:val="5B3F9CD9"/>
    <w:rsid w:val="5B6F009C"/>
    <w:rsid w:val="5B6F2AC0"/>
    <w:rsid w:val="5B7FC37E"/>
    <w:rsid w:val="5BBB5C89"/>
    <w:rsid w:val="5BD1583D"/>
    <w:rsid w:val="5BFE7D41"/>
    <w:rsid w:val="5CB6EB7F"/>
    <w:rsid w:val="5CB7C7DD"/>
    <w:rsid w:val="5CC5E7D7"/>
    <w:rsid w:val="5CDBF3A3"/>
    <w:rsid w:val="5D0569F9"/>
    <w:rsid w:val="5D7F847F"/>
    <w:rsid w:val="5DAFAB95"/>
    <w:rsid w:val="5DBFFF7C"/>
    <w:rsid w:val="5DED48B2"/>
    <w:rsid w:val="5DF7E742"/>
    <w:rsid w:val="5DFFEF16"/>
    <w:rsid w:val="5E1FDAC8"/>
    <w:rsid w:val="5E5F4955"/>
    <w:rsid w:val="5E6FE5DF"/>
    <w:rsid w:val="5E8B3150"/>
    <w:rsid w:val="5EFE192D"/>
    <w:rsid w:val="5F2E7C73"/>
    <w:rsid w:val="5F771057"/>
    <w:rsid w:val="5F7F2EDC"/>
    <w:rsid w:val="5F9F7345"/>
    <w:rsid w:val="5F9FCD3A"/>
    <w:rsid w:val="5FBBC512"/>
    <w:rsid w:val="5FD79E4B"/>
    <w:rsid w:val="5FD97D0E"/>
    <w:rsid w:val="5FED9538"/>
    <w:rsid w:val="5FEFB29B"/>
    <w:rsid w:val="5FF3E7D6"/>
    <w:rsid w:val="5FFFFD84"/>
    <w:rsid w:val="60992A0C"/>
    <w:rsid w:val="60F27904"/>
    <w:rsid w:val="6158255D"/>
    <w:rsid w:val="625C61D6"/>
    <w:rsid w:val="63034984"/>
    <w:rsid w:val="63EFE86A"/>
    <w:rsid w:val="63F5E9EA"/>
    <w:rsid w:val="63FF1F1C"/>
    <w:rsid w:val="642F8B89"/>
    <w:rsid w:val="64AB11C8"/>
    <w:rsid w:val="64ED9CDB"/>
    <w:rsid w:val="657AA747"/>
    <w:rsid w:val="65F7A88F"/>
    <w:rsid w:val="66796AEB"/>
    <w:rsid w:val="667F4043"/>
    <w:rsid w:val="66B6CB80"/>
    <w:rsid w:val="66CB54FC"/>
    <w:rsid w:val="66F3F509"/>
    <w:rsid w:val="66FB61B7"/>
    <w:rsid w:val="670D5EB7"/>
    <w:rsid w:val="675FE8E3"/>
    <w:rsid w:val="677CCF6F"/>
    <w:rsid w:val="67C54599"/>
    <w:rsid w:val="67E77980"/>
    <w:rsid w:val="67EFDBCD"/>
    <w:rsid w:val="67F5A01D"/>
    <w:rsid w:val="67F7EF75"/>
    <w:rsid w:val="67FC4B1E"/>
    <w:rsid w:val="67FFCA44"/>
    <w:rsid w:val="69DC528B"/>
    <w:rsid w:val="6A3E11B2"/>
    <w:rsid w:val="6A3F96B8"/>
    <w:rsid w:val="6A9DFC43"/>
    <w:rsid w:val="6AB4695C"/>
    <w:rsid w:val="6B3A2865"/>
    <w:rsid w:val="6BF75FA8"/>
    <w:rsid w:val="6BFDDD5E"/>
    <w:rsid w:val="6BFF1F37"/>
    <w:rsid w:val="6BFF4DCA"/>
    <w:rsid w:val="6BFF7B13"/>
    <w:rsid w:val="6BFFBC2E"/>
    <w:rsid w:val="6C76683C"/>
    <w:rsid w:val="6C77D61E"/>
    <w:rsid w:val="6CE61226"/>
    <w:rsid w:val="6D5CCA27"/>
    <w:rsid w:val="6DF467E4"/>
    <w:rsid w:val="6DF76698"/>
    <w:rsid w:val="6DFBEE3D"/>
    <w:rsid w:val="6DFC31A6"/>
    <w:rsid w:val="6E5B897C"/>
    <w:rsid w:val="6E682569"/>
    <w:rsid w:val="6E7D026D"/>
    <w:rsid w:val="6E996017"/>
    <w:rsid w:val="6EBF28C3"/>
    <w:rsid w:val="6EBFDDF4"/>
    <w:rsid w:val="6EDBC6A3"/>
    <w:rsid w:val="6EDF3E51"/>
    <w:rsid w:val="6EF71E02"/>
    <w:rsid w:val="6EFFF0AA"/>
    <w:rsid w:val="6F37CA3F"/>
    <w:rsid w:val="6F3F1582"/>
    <w:rsid w:val="6F57714F"/>
    <w:rsid w:val="6F6E1C17"/>
    <w:rsid w:val="6F6F6F27"/>
    <w:rsid w:val="6F951B08"/>
    <w:rsid w:val="6F9809FB"/>
    <w:rsid w:val="6F9B64A6"/>
    <w:rsid w:val="6FABE561"/>
    <w:rsid w:val="6FAF501A"/>
    <w:rsid w:val="6FDBC321"/>
    <w:rsid w:val="6FE56C72"/>
    <w:rsid w:val="6FE7E1FB"/>
    <w:rsid w:val="6FED7866"/>
    <w:rsid w:val="6FF1AE31"/>
    <w:rsid w:val="6FF7DF68"/>
    <w:rsid w:val="6FFBF303"/>
    <w:rsid w:val="6FFCEEFD"/>
    <w:rsid w:val="6FFF1A07"/>
    <w:rsid w:val="6FFFE4C2"/>
    <w:rsid w:val="713F3528"/>
    <w:rsid w:val="717F9CEC"/>
    <w:rsid w:val="71DBF171"/>
    <w:rsid w:val="71FBD658"/>
    <w:rsid w:val="72DF3D69"/>
    <w:rsid w:val="72E845A2"/>
    <w:rsid w:val="72F0680C"/>
    <w:rsid w:val="737FAEDF"/>
    <w:rsid w:val="73BECEEC"/>
    <w:rsid w:val="73DDD0FE"/>
    <w:rsid w:val="73F3173B"/>
    <w:rsid w:val="741D507D"/>
    <w:rsid w:val="749F3E5A"/>
    <w:rsid w:val="74A1408E"/>
    <w:rsid w:val="752D42D0"/>
    <w:rsid w:val="75771FFE"/>
    <w:rsid w:val="75774AE1"/>
    <w:rsid w:val="759B68C8"/>
    <w:rsid w:val="75BB965E"/>
    <w:rsid w:val="75EB8F03"/>
    <w:rsid w:val="75FAC297"/>
    <w:rsid w:val="75FFA5D0"/>
    <w:rsid w:val="75FFCF5D"/>
    <w:rsid w:val="763DC17A"/>
    <w:rsid w:val="76D7E40E"/>
    <w:rsid w:val="76DD89C1"/>
    <w:rsid w:val="76F3AB07"/>
    <w:rsid w:val="76FEE25A"/>
    <w:rsid w:val="771F186A"/>
    <w:rsid w:val="773F4AB4"/>
    <w:rsid w:val="777D450A"/>
    <w:rsid w:val="777F3256"/>
    <w:rsid w:val="77951553"/>
    <w:rsid w:val="779B979B"/>
    <w:rsid w:val="779F681D"/>
    <w:rsid w:val="77AF37B3"/>
    <w:rsid w:val="77CA4CE8"/>
    <w:rsid w:val="77D7A682"/>
    <w:rsid w:val="77D7C0AC"/>
    <w:rsid w:val="77E7E6D9"/>
    <w:rsid w:val="77F5D919"/>
    <w:rsid w:val="77F7B560"/>
    <w:rsid w:val="77F9A346"/>
    <w:rsid w:val="77FCE4DB"/>
    <w:rsid w:val="77FF9A77"/>
    <w:rsid w:val="780B1240"/>
    <w:rsid w:val="78D87D83"/>
    <w:rsid w:val="7962762B"/>
    <w:rsid w:val="7977D5E5"/>
    <w:rsid w:val="79951D42"/>
    <w:rsid w:val="79DF3DF3"/>
    <w:rsid w:val="79EFD7F5"/>
    <w:rsid w:val="7AAAB3DA"/>
    <w:rsid w:val="7AB026C8"/>
    <w:rsid w:val="7AEE1824"/>
    <w:rsid w:val="7AF4C6AA"/>
    <w:rsid w:val="7AF4DCFD"/>
    <w:rsid w:val="7B3C0BD5"/>
    <w:rsid w:val="7B72E7CF"/>
    <w:rsid w:val="7BB76176"/>
    <w:rsid w:val="7BB9DE9B"/>
    <w:rsid w:val="7BBF03C8"/>
    <w:rsid w:val="7BBFA573"/>
    <w:rsid w:val="7BCE3BA9"/>
    <w:rsid w:val="7BD95B58"/>
    <w:rsid w:val="7BDDD05C"/>
    <w:rsid w:val="7BDFEF8A"/>
    <w:rsid w:val="7BE73DE2"/>
    <w:rsid w:val="7BF428A9"/>
    <w:rsid w:val="7BFB10D3"/>
    <w:rsid w:val="7BFE733D"/>
    <w:rsid w:val="7BFE9E7E"/>
    <w:rsid w:val="7C04310A"/>
    <w:rsid w:val="7CDF46F3"/>
    <w:rsid w:val="7CE7178F"/>
    <w:rsid w:val="7CFDC0C3"/>
    <w:rsid w:val="7CFE0997"/>
    <w:rsid w:val="7CFF9840"/>
    <w:rsid w:val="7D1EBE1D"/>
    <w:rsid w:val="7D3F1565"/>
    <w:rsid w:val="7D5730CF"/>
    <w:rsid w:val="7D65DA42"/>
    <w:rsid w:val="7D772AC3"/>
    <w:rsid w:val="7D7F2487"/>
    <w:rsid w:val="7DBB9550"/>
    <w:rsid w:val="7DD1EB1D"/>
    <w:rsid w:val="7DD57539"/>
    <w:rsid w:val="7DD791DF"/>
    <w:rsid w:val="7DD7B188"/>
    <w:rsid w:val="7DDF22B4"/>
    <w:rsid w:val="7DE7025D"/>
    <w:rsid w:val="7DFB84AA"/>
    <w:rsid w:val="7DFF717A"/>
    <w:rsid w:val="7DFFAADB"/>
    <w:rsid w:val="7E1E32F5"/>
    <w:rsid w:val="7E318598"/>
    <w:rsid w:val="7E37B529"/>
    <w:rsid w:val="7E77B799"/>
    <w:rsid w:val="7E9E4D71"/>
    <w:rsid w:val="7EBEC1ED"/>
    <w:rsid w:val="7EBF01F6"/>
    <w:rsid w:val="7EBF3264"/>
    <w:rsid w:val="7EBF7CEB"/>
    <w:rsid w:val="7ECBD349"/>
    <w:rsid w:val="7EDF3287"/>
    <w:rsid w:val="7EE1EEEB"/>
    <w:rsid w:val="7EED3CBB"/>
    <w:rsid w:val="7EEF1594"/>
    <w:rsid w:val="7EF31699"/>
    <w:rsid w:val="7EF35A5B"/>
    <w:rsid w:val="7EFEB491"/>
    <w:rsid w:val="7EFF478A"/>
    <w:rsid w:val="7EFF8F95"/>
    <w:rsid w:val="7EFFA9D8"/>
    <w:rsid w:val="7EFFD571"/>
    <w:rsid w:val="7F272476"/>
    <w:rsid w:val="7F367B4C"/>
    <w:rsid w:val="7F3DD89E"/>
    <w:rsid w:val="7F3F43F5"/>
    <w:rsid w:val="7F4FA735"/>
    <w:rsid w:val="7F5B064A"/>
    <w:rsid w:val="7F650CB8"/>
    <w:rsid w:val="7F6BE8FF"/>
    <w:rsid w:val="7F6D0D14"/>
    <w:rsid w:val="7F6EAEDB"/>
    <w:rsid w:val="7F6F7663"/>
    <w:rsid w:val="7F7314B1"/>
    <w:rsid w:val="7F75E845"/>
    <w:rsid w:val="7F77877C"/>
    <w:rsid w:val="7F794893"/>
    <w:rsid w:val="7F7B3620"/>
    <w:rsid w:val="7F7F29DB"/>
    <w:rsid w:val="7FABD898"/>
    <w:rsid w:val="7FAF4BCD"/>
    <w:rsid w:val="7FB51DCD"/>
    <w:rsid w:val="7FB920DA"/>
    <w:rsid w:val="7FBA5B0B"/>
    <w:rsid w:val="7FBBADE1"/>
    <w:rsid w:val="7FBE2F82"/>
    <w:rsid w:val="7FBF1197"/>
    <w:rsid w:val="7FBF1FB1"/>
    <w:rsid w:val="7FBFD3B9"/>
    <w:rsid w:val="7FC7F866"/>
    <w:rsid w:val="7FD38532"/>
    <w:rsid w:val="7FD3B8E6"/>
    <w:rsid w:val="7FD74A26"/>
    <w:rsid w:val="7FD7A8F7"/>
    <w:rsid w:val="7FD884CD"/>
    <w:rsid w:val="7FE1D665"/>
    <w:rsid w:val="7FE717CA"/>
    <w:rsid w:val="7FEF1ACD"/>
    <w:rsid w:val="7FEF6F5A"/>
    <w:rsid w:val="7FEFC65F"/>
    <w:rsid w:val="7FEFFF62"/>
    <w:rsid w:val="7FF28441"/>
    <w:rsid w:val="7FF37795"/>
    <w:rsid w:val="7FF69841"/>
    <w:rsid w:val="7FF6BBAD"/>
    <w:rsid w:val="7FF6C776"/>
    <w:rsid w:val="7FFA59B8"/>
    <w:rsid w:val="7FFBDA72"/>
    <w:rsid w:val="7FFDCBF9"/>
    <w:rsid w:val="7FFF0FAE"/>
    <w:rsid w:val="7FFFD38E"/>
    <w:rsid w:val="84D340A1"/>
    <w:rsid w:val="8BFFEC72"/>
    <w:rsid w:val="8DFE932A"/>
    <w:rsid w:val="8FF7DF2D"/>
    <w:rsid w:val="9B9F5B93"/>
    <w:rsid w:val="9BE4EDA4"/>
    <w:rsid w:val="9BFF16DF"/>
    <w:rsid w:val="9DCB5A67"/>
    <w:rsid w:val="9DF7B857"/>
    <w:rsid w:val="9EFBFD36"/>
    <w:rsid w:val="9F67E520"/>
    <w:rsid w:val="9F6FD2F7"/>
    <w:rsid w:val="9F7ACE72"/>
    <w:rsid w:val="9F9F54CE"/>
    <w:rsid w:val="9FBFDF7C"/>
    <w:rsid w:val="9FCD8F6A"/>
    <w:rsid w:val="9FFBFD2F"/>
    <w:rsid w:val="9FFD71F8"/>
    <w:rsid w:val="A6F29FEE"/>
    <w:rsid w:val="A7CEFD43"/>
    <w:rsid w:val="A7D9BFDC"/>
    <w:rsid w:val="A7F7C72F"/>
    <w:rsid w:val="ACC6E011"/>
    <w:rsid w:val="ADDC6D5E"/>
    <w:rsid w:val="AEF5BA73"/>
    <w:rsid w:val="AEFB4F99"/>
    <w:rsid w:val="AF73E7B3"/>
    <w:rsid w:val="AF7BE56B"/>
    <w:rsid w:val="AF9B7D30"/>
    <w:rsid w:val="AF9EDEC9"/>
    <w:rsid w:val="AFBFA80A"/>
    <w:rsid w:val="AFCC1AAE"/>
    <w:rsid w:val="AFD703A2"/>
    <w:rsid w:val="AFE5FD04"/>
    <w:rsid w:val="AFEF614E"/>
    <w:rsid w:val="AFFD08BC"/>
    <w:rsid w:val="B3FF2CF4"/>
    <w:rsid w:val="B4BBDE20"/>
    <w:rsid w:val="B5B8E91D"/>
    <w:rsid w:val="B5BDE0D3"/>
    <w:rsid w:val="B5F8030D"/>
    <w:rsid w:val="B66BA651"/>
    <w:rsid w:val="B68A5FCB"/>
    <w:rsid w:val="B6EF8B62"/>
    <w:rsid w:val="B77F8AB8"/>
    <w:rsid w:val="B79F7C5F"/>
    <w:rsid w:val="B7BFB4FE"/>
    <w:rsid w:val="B7DE3727"/>
    <w:rsid w:val="B7FD1467"/>
    <w:rsid w:val="B7FEE3F9"/>
    <w:rsid w:val="BA7D82B6"/>
    <w:rsid w:val="BADF63C6"/>
    <w:rsid w:val="BBAEA594"/>
    <w:rsid w:val="BBED2932"/>
    <w:rsid w:val="BBF78962"/>
    <w:rsid w:val="BCEFFCF5"/>
    <w:rsid w:val="BD65AB44"/>
    <w:rsid w:val="BD6F9CDA"/>
    <w:rsid w:val="BD7FC7E9"/>
    <w:rsid w:val="BDD38491"/>
    <w:rsid w:val="BDEEBC94"/>
    <w:rsid w:val="BDFA9E8E"/>
    <w:rsid w:val="BE6D8725"/>
    <w:rsid w:val="BEE76667"/>
    <w:rsid w:val="BEFE391C"/>
    <w:rsid w:val="BF5B99CC"/>
    <w:rsid w:val="BF5F2500"/>
    <w:rsid w:val="BFBA769E"/>
    <w:rsid w:val="BFBDB999"/>
    <w:rsid w:val="BFCF1404"/>
    <w:rsid w:val="BFF30DDF"/>
    <w:rsid w:val="BFF597F4"/>
    <w:rsid w:val="BFF7D9F8"/>
    <w:rsid w:val="BFFA629E"/>
    <w:rsid w:val="BFFB7947"/>
    <w:rsid w:val="BFFD3226"/>
    <w:rsid w:val="BFFEB4A6"/>
    <w:rsid w:val="BFFF2390"/>
    <w:rsid w:val="C46F66FD"/>
    <w:rsid w:val="C5BBCAFA"/>
    <w:rsid w:val="C6AB159D"/>
    <w:rsid w:val="C73E9B63"/>
    <w:rsid w:val="C91BC0A6"/>
    <w:rsid w:val="CAFEC681"/>
    <w:rsid w:val="CAFF68F6"/>
    <w:rsid w:val="CBBB35FF"/>
    <w:rsid w:val="CBFC686C"/>
    <w:rsid w:val="CE6D9878"/>
    <w:rsid w:val="CEED454C"/>
    <w:rsid w:val="CF7C765D"/>
    <w:rsid w:val="CFFEDF9A"/>
    <w:rsid w:val="D3AB1E1B"/>
    <w:rsid w:val="D3DF2E62"/>
    <w:rsid w:val="D3F58817"/>
    <w:rsid w:val="D3FF5703"/>
    <w:rsid w:val="D4DBB7FB"/>
    <w:rsid w:val="D4FF6144"/>
    <w:rsid w:val="D5B6ACFD"/>
    <w:rsid w:val="D63FE8CB"/>
    <w:rsid w:val="D6B7113E"/>
    <w:rsid w:val="D799668A"/>
    <w:rsid w:val="D79D5E0A"/>
    <w:rsid w:val="D7BB4C32"/>
    <w:rsid w:val="D7F791E5"/>
    <w:rsid w:val="D95F8352"/>
    <w:rsid w:val="D96A0AAB"/>
    <w:rsid w:val="D9ED9BFC"/>
    <w:rsid w:val="D9F3974A"/>
    <w:rsid w:val="D9FD5BE6"/>
    <w:rsid w:val="DB3FED72"/>
    <w:rsid w:val="DB570370"/>
    <w:rsid w:val="DBD71E67"/>
    <w:rsid w:val="DBDE60F1"/>
    <w:rsid w:val="DBEF8A09"/>
    <w:rsid w:val="DBFB5CEB"/>
    <w:rsid w:val="DCF378A5"/>
    <w:rsid w:val="DD9F302B"/>
    <w:rsid w:val="DDFFDE1D"/>
    <w:rsid w:val="DE377843"/>
    <w:rsid w:val="DE5A4B6E"/>
    <w:rsid w:val="DECF1983"/>
    <w:rsid w:val="DED77BAB"/>
    <w:rsid w:val="DEDE32A8"/>
    <w:rsid w:val="DEE708E6"/>
    <w:rsid w:val="DEFF3036"/>
    <w:rsid w:val="DF3D6329"/>
    <w:rsid w:val="DF7B93F4"/>
    <w:rsid w:val="DF7F5C51"/>
    <w:rsid w:val="DF7FCCA7"/>
    <w:rsid w:val="DFBD1454"/>
    <w:rsid w:val="DFD76333"/>
    <w:rsid w:val="DFDFBE20"/>
    <w:rsid w:val="DFF64FA8"/>
    <w:rsid w:val="DFF73D10"/>
    <w:rsid w:val="DFFDA50A"/>
    <w:rsid w:val="DFFDF94F"/>
    <w:rsid w:val="E07F2D7E"/>
    <w:rsid w:val="E2DE13A4"/>
    <w:rsid w:val="E33F34AA"/>
    <w:rsid w:val="E3BF8DFA"/>
    <w:rsid w:val="E5BF0998"/>
    <w:rsid w:val="E5EB2C1E"/>
    <w:rsid w:val="E5FAE502"/>
    <w:rsid w:val="E5FF1533"/>
    <w:rsid w:val="E66B002C"/>
    <w:rsid w:val="E7BBF3E5"/>
    <w:rsid w:val="E7DF1C6A"/>
    <w:rsid w:val="E7FFDA29"/>
    <w:rsid w:val="E9F1194A"/>
    <w:rsid w:val="EA6BDD18"/>
    <w:rsid w:val="EA71FAF4"/>
    <w:rsid w:val="EA77C0D5"/>
    <w:rsid w:val="EABEF47B"/>
    <w:rsid w:val="EAFEDE6E"/>
    <w:rsid w:val="EB7BBE95"/>
    <w:rsid w:val="EBF5CF4A"/>
    <w:rsid w:val="EDA7C47E"/>
    <w:rsid w:val="EDFC4E8F"/>
    <w:rsid w:val="EDFFA6BE"/>
    <w:rsid w:val="EDFFF17A"/>
    <w:rsid w:val="EEAF8BB5"/>
    <w:rsid w:val="EEDAA863"/>
    <w:rsid w:val="EEF9511C"/>
    <w:rsid w:val="EF268DAD"/>
    <w:rsid w:val="EF2BAF0F"/>
    <w:rsid w:val="EF381449"/>
    <w:rsid w:val="EF7E1ED3"/>
    <w:rsid w:val="EFBD5B45"/>
    <w:rsid w:val="EFBFA16E"/>
    <w:rsid w:val="EFD21237"/>
    <w:rsid w:val="EFDC77EF"/>
    <w:rsid w:val="EFE92340"/>
    <w:rsid w:val="EFF799EB"/>
    <w:rsid w:val="EFFF54E4"/>
    <w:rsid w:val="EFFF7980"/>
    <w:rsid w:val="F0FD2518"/>
    <w:rsid w:val="F0FF2BCA"/>
    <w:rsid w:val="F17EDDF3"/>
    <w:rsid w:val="F1D70634"/>
    <w:rsid w:val="F2C38D58"/>
    <w:rsid w:val="F3143654"/>
    <w:rsid w:val="F3562FA4"/>
    <w:rsid w:val="F38F7959"/>
    <w:rsid w:val="F3DFBC56"/>
    <w:rsid w:val="F3FD41BE"/>
    <w:rsid w:val="F3FF5B64"/>
    <w:rsid w:val="F54F5B13"/>
    <w:rsid w:val="F57FC370"/>
    <w:rsid w:val="F59BC857"/>
    <w:rsid w:val="F5D9E138"/>
    <w:rsid w:val="F5DD1EA8"/>
    <w:rsid w:val="F5DF2477"/>
    <w:rsid w:val="F5DF3955"/>
    <w:rsid w:val="F5DF9A45"/>
    <w:rsid w:val="F5FA0930"/>
    <w:rsid w:val="F5FA4B03"/>
    <w:rsid w:val="F5FC2F03"/>
    <w:rsid w:val="F5FF5C74"/>
    <w:rsid w:val="F67B829D"/>
    <w:rsid w:val="F67F2F47"/>
    <w:rsid w:val="F6AE3B4A"/>
    <w:rsid w:val="F6FF5BCD"/>
    <w:rsid w:val="F6FFC431"/>
    <w:rsid w:val="F6FFF6AC"/>
    <w:rsid w:val="F71E184C"/>
    <w:rsid w:val="F75FD408"/>
    <w:rsid w:val="F773E1DC"/>
    <w:rsid w:val="F78D9876"/>
    <w:rsid w:val="F7A70351"/>
    <w:rsid w:val="F7B5F766"/>
    <w:rsid w:val="F7C7A2FC"/>
    <w:rsid w:val="F7EF142F"/>
    <w:rsid w:val="F7F63BA6"/>
    <w:rsid w:val="F7FCD58A"/>
    <w:rsid w:val="F7FFB5DB"/>
    <w:rsid w:val="F8CF358D"/>
    <w:rsid w:val="F8EB9AC7"/>
    <w:rsid w:val="F8EE3C82"/>
    <w:rsid w:val="F8F74E19"/>
    <w:rsid w:val="F9254C99"/>
    <w:rsid w:val="F93DF29E"/>
    <w:rsid w:val="F97E7565"/>
    <w:rsid w:val="F97EBD31"/>
    <w:rsid w:val="F9B6EFCD"/>
    <w:rsid w:val="F9DF333D"/>
    <w:rsid w:val="F9EE6A79"/>
    <w:rsid w:val="F9F99B76"/>
    <w:rsid w:val="F9FF1446"/>
    <w:rsid w:val="FABB7136"/>
    <w:rsid w:val="FADBD6B0"/>
    <w:rsid w:val="FAF6C226"/>
    <w:rsid w:val="FAFBDC25"/>
    <w:rsid w:val="FAFF7CD1"/>
    <w:rsid w:val="FB6AF736"/>
    <w:rsid w:val="FB7DBE19"/>
    <w:rsid w:val="FB7E5BAD"/>
    <w:rsid w:val="FB7EAB94"/>
    <w:rsid w:val="FB7F612C"/>
    <w:rsid w:val="FBB3E1FD"/>
    <w:rsid w:val="FBB51ABF"/>
    <w:rsid w:val="FBBB5340"/>
    <w:rsid w:val="FBBFD129"/>
    <w:rsid w:val="FBEF77D1"/>
    <w:rsid w:val="FBEF7BAA"/>
    <w:rsid w:val="FBF6D602"/>
    <w:rsid w:val="FBF72FA5"/>
    <w:rsid w:val="FBF7F322"/>
    <w:rsid w:val="FBF93A4A"/>
    <w:rsid w:val="FBFB676D"/>
    <w:rsid w:val="FBFF110E"/>
    <w:rsid w:val="FBFF5100"/>
    <w:rsid w:val="FBFF7DE8"/>
    <w:rsid w:val="FBFFA93D"/>
    <w:rsid w:val="FCBB0E70"/>
    <w:rsid w:val="FCD11FB3"/>
    <w:rsid w:val="FCDFAB00"/>
    <w:rsid w:val="FCE96A89"/>
    <w:rsid w:val="FCEEF2BA"/>
    <w:rsid w:val="FCF3A29F"/>
    <w:rsid w:val="FCFBA51B"/>
    <w:rsid w:val="FCFD29A7"/>
    <w:rsid w:val="FCFF801C"/>
    <w:rsid w:val="FD5F9362"/>
    <w:rsid w:val="FD69A5E7"/>
    <w:rsid w:val="FD76412B"/>
    <w:rsid w:val="FD7751FE"/>
    <w:rsid w:val="FD7A05CD"/>
    <w:rsid w:val="FD7E79E1"/>
    <w:rsid w:val="FDB4503F"/>
    <w:rsid w:val="FDBB1389"/>
    <w:rsid w:val="FDBF6A6A"/>
    <w:rsid w:val="FDD9256A"/>
    <w:rsid w:val="FDEBA3DF"/>
    <w:rsid w:val="FDFB09BC"/>
    <w:rsid w:val="FDFF0B49"/>
    <w:rsid w:val="FDFF37F9"/>
    <w:rsid w:val="FDFF7D88"/>
    <w:rsid w:val="FE5F7B7D"/>
    <w:rsid w:val="FE650C87"/>
    <w:rsid w:val="FE733EF8"/>
    <w:rsid w:val="FE76B93B"/>
    <w:rsid w:val="FE7BF97D"/>
    <w:rsid w:val="FEBE2437"/>
    <w:rsid w:val="FEBF5DC4"/>
    <w:rsid w:val="FEBFFE2A"/>
    <w:rsid w:val="FECF1A32"/>
    <w:rsid w:val="FEF79F1F"/>
    <w:rsid w:val="FEFF39C4"/>
    <w:rsid w:val="FEFFB8BE"/>
    <w:rsid w:val="FF1EE992"/>
    <w:rsid w:val="FF3ED68F"/>
    <w:rsid w:val="FF5D9875"/>
    <w:rsid w:val="FF6D6B27"/>
    <w:rsid w:val="FF77A4B5"/>
    <w:rsid w:val="FF7B6424"/>
    <w:rsid w:val="FF7C48A3"/>
    <w:rsid w:val="FF7D7B9E"/>
    <w:rsid w:val="FF7D9EDA"/>
    <w:rsid w:val="FF7E0800"/>
    <w:rsid w:val="FF7EE19A"/>
    <w:rsid w:val="FF7F5F90"/>
    <w:rsid w:val="FF7F65D1"/>
    <w:rsid w:val="FF7F76C6"/>
    <w:rsid w:val="FF7F82C5"/>
    <w:rsid w:val="FF9F8D9B"/>
    <w:rsid w:val="FF9FD2AD"/>
    <w:rsid w:val="FF9FEF23"/>
    <w:rsid w:val="FFA766FA"/>
    <w:rsid w:val="FFAD6422"/>
    <w:rsid w:val="FFB55639"/>
    <w:rsid w:val="FFB777BE"/>
    <w:rsid w:val="FFB79F9D"/>
    <w:rsid w:val="FFB7CBAF"/>
    <w:rsid w:val="FFBA3D65"/>
    <w:rsid w:val="FFBD5621"/>
    <w:rsid w:val="FFBDEAEB"/>
    <w:rsid w:val="FFBED936"/>
    <w:rsid w:val="FFBEDBE2"/>
    <w:rsid w:val="FFBF8C92"/>
    <w:rsid w:val="FFBFFD53"/>
    <w:rsid w:val="FFCEE67E"/>
    <w:rsid w:val="FFCF9B0A"/>
    <w:rsid w:val="FFDC293E"/>
    <w:rsid w:val="FFDC61D4"/>
    <w:rsid w:val="FFDCB92E"/>
    <w:rsid w:val="FFDE29EF"/>
    <w:rsid w:val="FFDF312C"/>
    <w:rsid w:val="FFDFA7F5"/>
    <w:rsid w:val="FFDFF28C"/>
    <w:rsid w:val="FFE195DF"/>
    <w:rsid w:val="FFF5363C"/>
    <w:rsid w:val="FFF62EAC"/>
    <w:rsid w:val="FFF73904"/>
    <w:rsid w:val="FFF7EE34"/>
    <w:rsid w:val="FFF7EF65"/>
    <w:rsid w:val="FFF8BE58"/>
    <w:rsid w:val="FFFB37F5"/>
    <w:rsid w:val="FFFC0C5A"/>
    <w:rsid w:val="FFFD665F"/>
    <w:rsid w:val="FFFD9B07"/>
    <w:rsid w:val="FFFDF5E6"/>
    <w:rsid w:val="FFFE5575"/>
    <w:rsid w:val="FFFF0391"/>
    <w:rsid w:val="FFFF078C"/>
    <w:rsid w:val="FFFF807C"/>
    <w:rsid w:val="FFFFBCE6"/>
    <w:rsid w:val="FFFFEE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line="520" w:lineRule="exact"/>
      <w:outlineLvl w:val="1"/>
    </w:pPr>
    <w:rPr>
      <w:rFonts w:ascii="Calibri Light" w:hAnsi="Calibri Light" w:eastAsia="楷体_GB2312"/>
      <w:bCs/>
      <w:szCs w:val="32"/>
    </w:rPr>
  </w:style>
  <w:style w:type="paragraph" w:styleId="3">
    <w:name w:val="heading 3"/>
    <w:basedOn w:val="1"/>
    <w:next w:val="1"/>
    <w:unhideWhenUsed/>
    <w:qFormat/>
    <w:uiPriority w:val="0"/>
    <w:pPr>
      <w:keepNext/>
      <w:keepLines/>
      <w:spacing w:line="520" w:lineRule="exact"/>
      <w:outlineLvl w:val="2"/>
    </w:pPr>
    <w:rPr>
      <w:rFonts w:ascii="仿宋_GB2312"/>
      <w:bCs/>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spacing w:line="500" w:lineRule="exact"/>
      <w:ind w:firstLine="200" w:firstLineChars="200"/>
    </w:pPr>
    <w:rPr>
      <w:rFonts w:eastAsia="仿宋_GB2312"/>
      <w:sz w:val="28"/>
    </w:rPr>
  </w:style>
  <w:style w:type="paragraph" w:styleId="5">
    <w:name w:val="Document Map"/>
    <w:basedOn w:val="1"/>
    <w:link w:val="19"/>
    <w:semiHidden/>
    <w:qFormat/>
    <w:uiPriority w:val="0"/>
    <w:pPr>
      <w:shd w:val="clear" w:color="auto" w:fill="000080"/>
    </w:pPr>
  </w:style>
  <w:style w:type="paragraph" w:styleId="6">
    <w:name w:val="annotation text"/>
    <w:basedOn w:val="1"/>
    <w:link w:val="26"/>
    <w:semiHidden/>
    <w:unhideWhenUsed/>
    <w:qFormat/>
    <w:uiPriority w:val="99"/>
    <w:pPr>
      <w:jc w:val="left"/>
    </w:pPr>
  </w:style>
  <w:style w:type="paragraph" w:styleId="7">
    <w:name w:val="Balloon Text"/>
    <w:basedOn w:val="1"/>
    <w:link w:val="20"/>
    <w:semiHidden/>
    <w:qFormat/>
    <w:uiPriority w:val="0"/>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qFormat/>
    <w:uiPriority w:val="0"/>
    <w:pPr>
      <w:spacing w:before="120"/>
      <w:jc w:val="left"/>
      <w:outlineLvl w:val="1"/>
    </w:pPr>
    <w:rPr>
      <w:rFonts w:ascii="Calibri Light" w:hAnsi="Calibri Light" w:eastAsia="楷体_GB2312"/>
      <w:bCs/>
      <w:kern w:val="28"/>
      <w:sz w:val="32"/>
      <w:szCs w:val="32"/>
    </w:rPr>
  </w:style>
  <w:style w:type="paragraph" w:styleId="11">
    <w:name w:val="annotation subject"/>
    <w:basedOn w:val="6"/>
    <w:next w:val="6"/>
    <w:link w:val="27"/>
    <w:semiHidden/>
    <w:unhideWhenUsed/>
    <w:qFormat/>
    <w:uiPriority w:val="99"/>
    <w:rPr>
      <w:b/>
      <w:bCs/>
    </w:rPr>
  </w:style>
  <w:style w:type="character" w:styleId="14">
    <w:name w:val="page number"/>
    <w:basedOn w:val="13"/>
    <w:qFormat/>
    <w:uiPriority w:val="0"/>
  </w:style>
  <w:style w:type="character" w:styleId="15">
    <w:name w:val="annotation reference"/>
    <w:basedOn w:val="13"/>
    <w:semiHidden/>
    <w:unhideWhenUsed/>
    <w:qFormat/>
    <w:uiPriority w:val="99"/>
    <w:rPr>
      <w:sz w:val="21"/>
      <w:szCs w:val="21"/>
    </w:rPr>
  </w:style>
  <w:style w:type="paragraph" w:styleId="16">
    <w:name w:val="No Spacing"/>
    <w:qFormat/>
    <w:uiPriority w:val="0"/>
    <w:pPr>
      <w:adjustRightInd w:val="0"/>
      <w:snapToGrid w:val="0"/>
    </w:pPr>
    <w:rPr>
      <w:rFonts w:ascii="Tahoma" w:hAnsi="Tahoma" w:eastAsia="微软雅黑" w:cs="Times New Roman"/>
      <w:sz w:val="22"/>
      <w:szCs w:val="22"/>
      <w:lang w:val="en-US" w:eastAsia="zh-CN" w:bidi="ar-SA"/>
    </w:rPr>
  </w:style>
  <w:style w:type="character" w:customStyle="1" w:styleId="17">
    <w:name w:val="页眉 字符"/>
    <w:basedOn w:val="13"/>
    <w:link w:val="9"/>
    <w:qFormat/>
    <w:uiPriority w:val="99"/>
    <w:rPr>
      <w:sz w:val="18"/>
      <w:szCs w:val="18"/>
    </w:rPr>
  </w:style>
  <w:style w:type="character" w:customStyle="1" w:styleId="18">
    <w:name w:val="页脚 字符"/>
    <w:basedOn w:val="13"/>
    <w:link w:val="8"/>
    <w:qFormat/>
    <w:uiPriority w:val="99"/>
    <w:rPr>
      <w:sz w:val="18"/>
      <w:szCs w:val="18"/>
    </w:rPr>
  </w:style>
  <w:style w:type="character" w:customStyle="1" w:styleId="19">
    <w:name w:val="文档结构图 字符"/>
    <w:basedOn w:val="13"/>
    <w:link w:val="5"/>
    <w:semiHidden/>
    <w:qFormat/>
    <w:uiPriority w:val="0"/>
    <w:rPr>
      <w:rFonts w:ascii="Times New Roman" w:hAnsi="Times New Roman" w:eastAsia="宋体" w:cs="Times New Roman"/>
      <w:szCs w:val="24"/>
      <w:shd w:val="clear" w:color="auto" w:fill="000080"/>
    </w:rPr>
  </w:style>
  <w:style w:type="character" w:customStyle="1" w:styleId="20">
    <w:name w:val="批注框文本 字符"/>
    <w:basedOn w:val="13"/>
    <w:link w:val="7"/>
    <w:semiHidden/>
    <w:qFormat/>
    <w:uiPriority w:val="0"/>
    <w:rPr>
      <w:rFonts w:ascii="Times New Roman" w:hAnsi="Times New Roman" w:eastAsia="宋体" w:cs="Times New Roman"/>
      <w:sz w:val="18"/>
      <w:szCs w:val="18"/>
    </w:rPr>
  </w:style>
  <w:style w:type="paragraph" w:customStyle="1" w:styleId="21">
    <w:name w:val="调查项目"/>
    <w:basedOn w:val="1"/>
    <w:qFormat/>
    <w:uiPriority w:val="0"/>
    <w:pPr>
      <w:outlineLvl w:val="1"/>
    </w:pPr>
    <w:rPr>
      <w:rFonts w:ascii="Tahoma" w:hAnsi="Tahoma" w:eastAsia="黑体"/>
      <w:bCs/>
      <w:color w:val="333399"/>
      <w:kern w:val="0"/>
      <w:sz w:val="18"/>
      <w:szCs w:val="18"/>
    </w:rPr>
  </w:style>
  <w:style w:type="paragraph" w:customStyle="1" w:styleId="22">
    <w:name w:val="列标题"/>
    <w:basedOn w:val="2"/>
    <w:qFormat/>
    <w:uiPriority w:val="0"/>
    <w:pPr>
      <w:keepNext w:val="0"/>
      <w:keepLines w:val="0"/>
      <w:spacing w:line="240" w:lineRule="auto"/>
      <w:jc w:val="center"/>
    </w:pPr>
    <w:rPr>
      <w:rFonts w:ascii="Tahoma" w:hAnsi="Tahoma" w:eastAsia="黑体"/>
      <w:color w:val="333399"/>
      <w:kern w:val="0"/>
      <w:sz w:val="18"/>
      <w:szCs w:val="18"/>
    </w:rPr>
  </w:style>
  <w:style w:type="paragraph" w:customStyle="1" w:styleId="23">
    <w:name w:val="表格正文文本"/>
    <w:basedOn w:val="1"/>
    <w:qFormat/>
    <w:uiPriority w:val="0"/>
    <w:pPr>
      <w:jc w:val="center"/>
    </w:pPr>
    <w:rPr>
      <w:rFonts w:ascii="Tahoma" w:hAnsi="Tahoma"/>
      <w:kern w:val="0"/>
      <w:sz w:val="18"/>
    </w:rPr>
  </w:style>
  <w:style w:type="paragraph" w:styleId="24">
    <w:name w:val="List Paragraph"/>
    <w:basedOn w:val="1"/>
    <w:qFormat/>
    <w:uiPriority w:val="0"/>
    <w:rPr>
      <w:rFonts w:ascii="Calibri" w:hAnsi="Calibri"/>
      <w:szCs w:val="22"/>
    </w:rPr>
  </w:style>
  <w:style w:type="character" w:customStyle="1" w:styleId="25">
    <w:name w:val="f101"/>
    <w:qFormat/>
    <w:uiPriority w:val="0"/>
    <w:rPr>
      <w:sz w:val="24"/>
    </w:rPr>
  </w:style>
  <w:style w:type="character" w:customStyle="1" w:styleId="26">
    <w:name w:val="批注文字 字符"/>
    <w:basedOn w:val="13"/>
    <w:link w:val="6"/>
    <w:semiHidden/>
    <w:qFormat/>
    <w:uiPriority w:val="99"/>
    <w:rPr>
      <w:kern w:val="2"/>
      <w:sz w:val="21"/>
      <w:szCs w:val="24"/>
    </w:rPr>
  </w:style>
  <w:style w:type="character" w:customStyle="1" w:styleId="27">
    <w:name w:val="批注主题 字符"/>
    <w:basedOn w:val="26"/>
    <w:link w:val="11"/>
    <w:semiHidden/>
    <w:qFormat/>
    <w:uiPriority w:val="99"/>
    <w:rPr>
      <w:b/>
      <w:bCs/>
      <w:kern w:val="2"/>
      <w:sz w:val="21"/>
      <w:szCs w:val="24"/>
    </w:rPr>
  </w:style>
  <w:style w:type="paragraph" w:customStyle="1" w:styleId="28">
    <w:name w:val="列出段落2"/>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CFDA</Company>
  <Pages>17</Pages>
  <Words>7671</Words>
  <Characters>8321</Characters>
  <Lines>72</Lines>
  <Paragraphs>20</Paragraphs>
  <TotalTime>95</TotalTime>
  <ScaleCrop>false</ScaleCrop>
  <LinksUpToDate>false</LinksUpToDate>
  <CharactersWithSpaces>8411</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2017-12-14T02:18:00Z</dcterms:created>
  <dc:creator>张黎明</dc:creator>
  <cp:lastModifiedBy>yjj</cp:lastModifiedBy>
  <cp:lastPrinted>2026-07-03T23:55:00Z</cp:lastPrinted>
  <dcterms:modified xsi:type="dcterms:W3CDTF">2026-08-11T17:31:52Z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6496059FA2FD437086797EE66CAB2CA8_12</vt:lpwstr>
  </property>
  <property fmtid="{D5CDD505-2E9C-101B-9397-08002B2CF9AE}" pid="4" name="KSOTemplateDocerSaveRecord">
    <vt:lpwstr>eyJoZGlkIjoiYTU5MjBmOTVkM2IzZjI1N2FjNTZmNzQxMzEzZDEyNDQifQ==</vt:lpwstr>
  </property>
</Properties>
</file>