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2E0F6">
      <w:pPr>
        <w:spacing w:line="52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尿液分析系统注册审查</w:t>
      </w:r>
      <w:r>
        <w:rPr>
          <w:rFonts w:ascii="方正小标宋简体" w:hAnsi="宋体" w:eastAsia="方正小标宋简体" w:cs="方正小标宋简体"/>
          <w:sz w:val="44"/>
          <w:szCs w:val="44"/>
        </w:rPr>
        <w:t>指导原则</w:t>
      </w:r>
    </w:p>
    <w:p w14:paraId="2D2CECF3">
      <w:pPr>
        <w:spacing w:line="520" w:lineRule="exact"/>
        <w:jc w:val="center"/>
        <w:rPr>
          <w:rFonts w:ascii="方正小标宋简体" w:hAnsi="宋体" w:eastAsia="方正小标宋简体" w:cs="方正小标宋简体"/>
          <w:sz w:val="44"/>
          <w:szCs w:val="44"/>
        </w:rPr>
      </w:pPr>
      <w:r>
        <w:rPr>
          <w:rFonts w:hint="eastAsia" w:ascii="方正小标宋简体" w:hAnsi="宋体" w:eastAsia="方正小标宋简体" w:cs="方正小标宋简体"/>
          <w:sz w:val="44"/>
          <w:szCs w:val="44"/>
        </w:rPr>
        <w:t>（征求意见稿）</w:t>
      </w:r>
    </w:p>
    <w:p w14:paraId="2F8AE6DE">
      <w:pPr>
        <w:spacing w:line="600" w:lineRule="exact"/>
        <w:jc w:val="center"/>
        <w:rPr>
          <w:rFonts w:eastAsia="楷体_GB2312"/>
          <w:color w:val="000000"/>
          <w:sz w:val="32"/>
          <w:szCs w:val="28"/>
        </w:rPr>
      </w:pPr>
    </w:p>
    <w:p w14:paraId="7EC79C26">
      <w:pPr>
        <w:spacing w:line="520" w:lineRule="exact"/>
        <w:ind w:firstLine="640" w:firstLineChars="200"/>
        <w:rPr>
          <w:rFonts w:eastAsia="仿宋_GB2312"/>
          <w:sz w:val="32"/>
          <w:szCs w:val="32"/>
        </w:rPr>
      </w:pPr>
      <w:r>
        <w:rPr>
          <w:rFonts w:hint="eastAsia" w:eastAsia="仿宋_GB2312"/>
          <w:sz w:val="32"/>
          <w:szCs w:val="32"/>
        </w:rPr>
        <w:t>本指导原则旨在指导注册申请人（以下简称“申请人”）对尿液分析系统注册申报资料的准备及撰写，同时也为技术审评部门审评提供参考。</w:t>
      </w:r>
    </w:p>
    <w:p w14:paraId="4ABE6546">
      <w:pPr>
        <w:spacing w:line="520" w:lineRule="exact"/>
        <w:ind w:firstLine="640" w:firstLineChars="200"/>
        <w:rPr>
          <w:rFonts w:eastAsia="仿宋_GB2312"/>
          <w:sz w:val="32"/>
          <w:szCs w:val="32"/>
        </w:rPr>
      </w:pPr>
      <w:r>
        <w:rPr>
          <w:rFonts w:hint="eastAsia" w:eastAsia="仿宋_GB2312"/>
          <w:sz w:val="32"/>
          <w:szCs w:val="32"/>
        </w:rPr>
        <w:t>本指导原则是对尿液分析系统的一般要求，申请人应依据产品的具体特性确定其中内容是否适用，若不适用，需具体阐述理由及相应的科学依据，并依据产品的具体特性对注册申报资料的内容进行充实和细化。</w:t>
      </w:r>
    </w:p>
    <w:p w14:paraId="054017DC">
      <w:pPr>
        <w:spacing w:line="520" w:lineRule="exact"/>
        <w:ind w:firstLine="640" w:firstLineChars="200"/>
        <w:rPr>
          <w:rFonts w:eastAsia="仿宋_GB2312"/>
          <w:kern w:val="0"/>
          <w:sz w:val="32"/>
          <w:szCs w:val="32"/>
        </w:rPr>
      </w:pPr>
      <w:r>
        <w:rPr>
          <w:rFonts w:eastAsia="仿宋_GB2312"/>
          <w:kern w:val="0"/>
          <w:sz w:val="32"/>
          <w:szCs w:val="32"/>
        </w:rPr>
        <w:t>本指导原则是供申请人和</w:t>
      </w:r>
      <w:r>
        <w:rPr>
          <w:rFonts w:hint="eastAsia" w:eastAsia="仿宋_GB2312"/>
          <w:sz w:val="32"/>
          <w:szCs w:val="32"/>
        </w:rPr>
        <w:t>技术审评</w:t>
      </w:r>
      <w:r>
        <w:rPr>
          <w:rFonts w:eastAsia="仿宋_GB2312"/>
          <w:kern w:val="0"/>
          <w:sz w:val="32"/>
          <w:szCs w:val="32"/>
        </w:rPr>
        <w:t>人员使用的指导文件，不涉及注册审批等行政事项，亦不作为法规强制执行，如有能够满足法规要求的其他方法，也可以采用，但应提供详细的研究资料和验证资料。相关人员应在遵循相关法规的前提下使用本指导原则。</w:t>
      </w:r>
    </w:p>
    <w:p w14:paraId="06DFF5D8">
      <w:pPr>
        <w:spacing w:line="520" w:lineRule="exact"/>
        <w:ind w:firstLine="640" w:firstLineChars="200"/>
        <w:rPr>
          <w:rFonts w:eastAsia="仿宋_GB2312"/>
          <w:sz w:val="32"/>
          <w:szCs w:val="32"/>
        </w:rPr>
      </w:pPr>
      <w:r>
        <w:rPr>
          <w:rFonts w:eastAsia="仿宋_GB2312"/>
          <w:kern w:val="0"/>
          <w:sz w:val="32"/>
          <w:szCs w:val="32"/>
        </w:rPr>
        <w:t>本指导原则是在现行法规、标准体系及当前认知水平下制定的，随着法规、标准体系的不断完善和科学技术的不断发展，本指导原则相关内容也将适时进行调整。</w:t>
      </w:r>
    </w:p>
    <w:p w14:paraId="58E7054E">
      <w:pPr>
        <w:pStyle w:val="2"/>
        <w:spacing w:line="520" w:lineRule="exact"/>
      </w:pPr>
      <w:r>
        <w:t>一、适用范围</w:t>
      </w:r>
    </w:p>
    <w:p w14:paraId="31C37720">
      <w:pPr>
        <w:spacing w:line="520" w:lineRule="exact"/>
        <w:ind w:firstLine="640" w:firstLineChars="200"/>
        <w:rPr>
          <w:rFonts w:eastAsia="仿宋_GB2312"/>
          <w:sz w:val="32"/>
          <w:szCs w:val="32"/>
        </w:rPr>
      </w:pPr>
      <w:r>
        <w:rPr>
          <w:rFonts w:hint="eastAsia" w:eastAsia="仿宋_GB2312"/>
          <w:sz w:val="32"/>
          <w:szCs w:val="32"/>
        </w:rPr>
        <w:t>本指导原则适用于由尿液干化学模块和尿液有形成分分析模块组成，用于对人体尿液中理化指标以及尿液或体液中有形成分进行定性、定量分析的仪器。其中尿液干化学模块基于干化学原理对尿液分析试纸条进行分析，尿液有形成分分析模块采用数字影像技术对尿液中有形成分进行自动识别与分析，其他技术原理的不适用本指导原则。</w:t>
      </w:r>
    </w:p>
    <w:p w14:paraId="32BDCEC8">
      <w:pPr>
        <w:spacing w:line="520" w:lineRule="exact"/>
        <w:ind w:firstLine="640" w:firstLineChars="200"/>
        <w:rPr>
          <w:rFonts w:eastAsia="仿宋_GB2312"/>
          <w:sz w:val="32"/>
          <w:szCs w:val="32"/>
        </w:rPr>
      </w:pPr>
      <w:r>
        <w:rPr>
          <w:rFonts w:hint="eastAsia" w:eastAsia="仿宋_GB2312"/>
          <w:sz w:val="32"/>
          <w:szCs w:val="32"/>
        </w:rPr>
        <w:t>若产品仅具备尿液干化学分析模块或仅具备尿液有形成分分析模块，亦不适用本指导原则。</w:t>
      </w:r>
    </w:p>
    <w:p w14:paraId="36B2A56D">
      <w:pPr>
        <w:spacing w:line="520" w:lineRule="exact"/>
        <w:ind w:firstLine="640" w:firstLineChars="200"/>
        <w:rPr>
          <w:rFonts w:hint="eastAsia" w:eastAsia="仿宋_GB2312"/>
          <w:sz w:val="32"/>
          <w:szCs w:val="32"/>
        </w:rPr>
      </w:pPr>
      <w:r>
        <w:rPr>
          <w:rFonts w:hint="eastAsia" w:eastAsia="仿宋_GB2312"/>
          <w:sz w:val="32"/>
          <w:szCs w:val="32"/>
        </w:rPr>
        <w:t>注：体液指除尿液外，可采用尿液检测原理与方法进行分析的临床体液样本，如脑脊液、浆膜腔积液、关节腔积液等。</w:t>
      </w:r>
    </w:p>
    <w:p w14:paraId="7E81071C">
      <w:pPr>
        <w:pStyle w:val="2"/>
        <w:spacing w:line="520" w:lineRule="exact"/>
      </w:pPr>
      <w:r>
        <w:rPr>
          <w:rFonts w:hint="eastAsia"/>
        </w:rPr>
        <w:t>二、</w:t>
      </w:r>
      <w:r>
        <w:t>注册审查要点</w:t>
      </w:r>
    </w:p>
    <w:p w14:paraId="36FAA613">
      <w:pPr>
        <w:spacing w:line="520" w:lineRule="exact"/>
        <w:ind w:firstLine="640" w:firstLineChars="200"/>
        <w:rPr>
          <w:rFonts w:eastAsia="仿宋_GB2312"/>
          <w:sz w:val="32"/>
          <w:szCs w:val="32"/>
        </w:rPr>
      </w:pPr>
      <w:r>
        <w:rPr>
          <w:rFonts w:hint="eastAsia" w:eastAsia="仿宋_GB2312"/>
          <w:sz w:val="32"/>
          <w:szCs w:val="32"/>
        </w:rPr>
        <w:t>（一）监管信息</w:t>
      </w:r>
    </w:p>
    <w:p w14:paraId="48C1E5C4">
      <w:pPr>
        <w:spacing w:line="520" w:lineRule="exact"/>
        <w:ind w:firstLine="640" w:firstLineChars="200"/>
        <w:rPr>
          <w:rFonts w:eastAsia="仿宋_GB2312"/>
          <w:sz w:val="32"/>
          <w:szCs w:val="32"/>
        </w:rPr>
      </w:pPr>
      <w:r>
        <w:rPr>
          <w:rFonts w:hint="eastAsia" w:eastAsia="仿宋_GB2312"/>
          <w:sz w:val="32"/>
          <w:szCs w:val="32"/>
        </w:rPr>
        <w:t>明确申请表中产品名称、管理类别、分类编码、型号规格、产品组成等信息。</w:t>
      </w:r>
    </w:p>
    <w:p w14:paraId="51987940">
      <w:pPr>
        <w:spacing w:line="520" w:lineRule="exact"/>
        <w:ind w:firstLine="640" w:firstLineChars="200"/>
        <w:rPr>
          <w:rFonts w:eastAsia="仿宋_GB2312"/>
          <w:sz w:val="32"/>
          <w:szCs w:val="32"/>
        </w:rPr>
      </w:pPr>
      <w:r>
        <w:rPr>
          <w:rFonts w:hint="eastAsia" w:eastAsia="仿宋_GB2312"/>
          <w:sz w:val="32"/>
          <w:szCs w:val="32"/>
        </w:rPr>
        <w:t>1.产品名称</w:t>
      </w:r>
    </w:p>
    <w:p w14:paraId="61707F6A">
      <w:pPr>
        <w:spacing w:line="520" w:lineRule="exact"/>
        <w:ind w:firstLine="640" w:firstLineChars="200"/>
        <w:rPr>
          <w:rFonts w:eastAsia="仿宋_GB2312"/>
          <w:sz w:val="32"/>
          <w:szCs w:val="32"/>
          <w:highlight w:val="green"/>
        </w:rPr>
      </w:pPr>
      <w:r>
        <w:rPr>
          <w:rFonts w:eastAsia="仿宋_GB2312"/>
          <w:kern w:val="0"/>
          <w:sz w:val="32"/>
          <w:szCs w:val="32"/>
        </w:rPr>
        <w:t>依据《医疗器械分类目录》，建议将产品名称命名为</w:t>
      </w:r>
      <w:r>
        <w:rPr>
          <w:rFonts w:hint="eastAsia" w:eastAsia="仿宋_GB2312"/>
          <w:sz w:val="32"/>
          <w:szCs w:val="32"/>
        </w:rPr>
        <w:t>尿液分析系统</w:t>
      </w:r>
      <w:r>
        <w:rPr>
          <w:rFonts w:eastAsia="仿宋_GB2312"/>
          <w:kern w:val="0"/>
          <w:sz w:val="32"/>
          <w:szCs w:val="32"/>
        </w:rPr>
        <w:t>。</w:t>
      </w:r>
      <w:r>
        <w:rPr>
          <w:rFonts w:hint="eastAsia" w:eastAsia="仿宋_GB2312"/>
          <w:kern w:val="0"/>
          <w:sz w:val="32"/>
          <w:szCs w:val="32"/>
        </w:rPr>
        <w:t>申请人可结合申报产品的特征，根据医疗器械命名原则，参考《医疗器械分类目录》《临床检验器械通用名称命名指导原则》中的品名举例确定命名，并详细描述确定依据。</w:t>
      </w:r>
    </w:p>
    <w:p w14:paraId="33D4E651">
      <w:pPr>
        <w:spacing w:line="520" w:lineRule="exact"/>
        <w:ind w:firstLine="640" w:firstLineChars="200"/>
        <w:rPr>
          <w:rFonts w:eastAsia="仿宋_GB2312"/>
          <w:sz w:val="32"/>
          <w:szCs w:val="32"/>
        </w:rPr>
      </w:pPr>
      <w:r>
        <w:rPr>
          <w:rFonts w:hint="eastAsia" w:eastAsia="仿宋_GB2312"/>
          <w:sz w:val="32"/>
          <w:szCs w:val="32"/>
        </w:rPr>
        <w:t>2.管理类别和分类编码</w:t>
      </w:r>
    </w:p>
    <w:p w14:paraId="09947EFB">
      <w:pPr>
        <w:spacing w:line="520" w:lineRule="exact"/>
        <w:ind w:firstLine="640" w:firstLineChars="200"/>
        <w:rPr>
          <w:rFonts w:eastAsia="仿宋_GB2312"/>
          <w:sz w:val="32"/>
          <w:szCs w:val="32"/>
        </w:rPr>
      </w:pPr>
      <w:r>
        <w:rPr>
          <w:rFonts w:hint="eastAsia" w:eastAsia="仿宋_GB2312"/>
          <w:sz w:val="32"/>
          <w:szCs w:val="32"/>
        </w:rPr>
        <w:t>依据《医疗器械分类目录》，尿液分析系统管理类别为Ⅱ类，分类编码为22-09-03。</w:t>
      </w:r>
    </w:p>
    <w:p w14:paraId="20D81696">
      <w:pPr>
        <w:spacing w:line="520" w:lineRule="exact"/>
        <w:ind w:firstLine="640" w:firstLineChars="200"/>
        <w:rPr>
          <w:rFonts w:eastAsia="仿宋_GB2312"/>
          <w:sz w:val="32"/>
          <w:szCs w:val="32"/>
        </w:rPr>
      </w:pPr>
      <w:r>
        <w:rPr>
          <w:rFonts w:hint="eastAsia" w:eastAsia="仿宋_GB2312"/>
          <w:sz w:val="32"/>
          <w:szCs w:val="32"/>
        </w:rPr>
        <w:t>3.注册单元划分</w:t>
      </w:r>
    </w:p>
    <w:p w14:paraId="1CE74333">
      <w:pPr>
        <w:adjustRightInd w:val="0"/>
        <w:snapToGrid w:val="0"/>
        <w:spacing w:line="520" w:lineRule="exact"/>
        <w:ind w:firstLine="640"/>
        <w:rPr>
          <w:rFonts w:eastAsia="仿宋_GB2312"/>
          <w:kern w:val="0"/>
          <w:sz w:val="32"/>
          <w:szCs w:val="32"/>
        </w:rPr>
      </w:pPr>
      <w:r>
        <w:rPr>
          <w:rFonts w:hint="eastAsia" w:eastAsia="仿宋_GB2312"/>
          <w:kern w:val="0"/>
          <w:sz w:val="32"/>
          <w:szCs w:val="32"/>
        </w:rPr>
        <w:t>依据《医疗器械注册单元划分指导原则》，结合尿液分析系统产品特性，以产品技术原理、结构组成、性能指标、适用范围为核心划分依据，将尿液分析系统注册单元划分为以下两类：模块化尿液干化学+有形成分联机系统、尿液分析一体机系统。模块化联机系统与一体化整机，因结构组成、联动逻辑、风险管控等存在本质差异，不得归入同一注册单元。</w:t>
      </w:r>
    </w:p>
    <w:p w14:paraId="6F09B2AC">
      <w:pPr>
        <w:adjustRightInd w:val="0"/>
        <w:snapToGrid w:val="0"/>
        <w:spacing w:line="520" w:lineRule="exact"/>
        <w:ind w:firstLine="640"/>
        <w:rPr>
          <w:rFonts w:eastAsia="仿宋_GB2312"/>
          <w:kern w:val="0"/>
          <w:sz w:val="32"/>
          <w:szCs w:val="32"/>
        </w:rPr>
      </w:pPr>
      <w:r>
        <w:rPr>
          <w:rFonts w:hint="eastAsia" w:eastAsia="仿宋_GB2312"/>
          <w:kern w:val="0"/>
          <w:sz w:val="32"/>
          <w:szCs w:val="32"/>
        </w:rPr>
        <w:t>类型一：模块化尿液干化学+有形成分联机系统</w:t>
      </w:r>
    </w:p>
    <w:p w14:paraId="621864B2">
      <w:pPr>
        <w:adjustRightInd w:val="0"/>
        <w:snapToGrid w:val="0"/>
        <w:spacing w:line="520" w:lineRule="exact"/>
        <w:ind w:firstLine="640"/>
        <w:rPr>
          <w:rFonts w:eastAsia="仿宋_GB2312"/>
          <w:kern w:val="0"/>
          <w:sz w:val="32"/>
          <w:szCs w:val="32"/>
        </w:rPr>
      </w:pPr>
      <w:r>
        <w:rPr>
          <w:rFonts w:hint="eastAsia" w:eastAsia="仿宋_GB2312"/>
          <w:kern w:val="0"/>
          <w:sz w:val="32"/>
          <w:szCs w:val="32"/>
        </w:rPr>
        <w:t>由干化学检测模块、有形成分检测模块、联动传输机构及配套控制软件组合构成，依靠联动机制协同运行的组合式尿液检测设备。完整联机体系（含双检测模块、联动机构、统一控制软件）整体申报，归为同一注册单元。</w:t>
      </w:r>
    </w:p>
    <w:p w14:paraId="5CDBF660">
      <w:pPr>
        <w:adjustRightInd w:val="0"/>
        <w:snapToGrid w:val="0"/>
        <w:spacing w:line="520" w:lineRule="exact"/>
        <w:ind w:firstLine="640"/>
        <w:rPr>
          <w:rFonts w:eastAsia="仿宋_GB2312"/>
          <w:kern w:val="0"/>
          <w:sz w:val="32"/>
          <w:szCs w:val="32"/>
        </w:rPr>
      </w:pPr>
      <w:r>
        <w:rPr>
          <w:rFonts w:eastAsia="仿宋_GB2312"/>
          <w:kern w:val="0"/>
          <w:sz w:val="32"/>
          <w:szCs w:val="32"/>
        </w:rPr>
        <w:t>符合下列任一情况的产品，原则上划分为不同的注册单元：</w:t>
      </w:r>
    </w:p>
    <w:p w14:paraId="7D87A86C">
      <w:pPr>
        <w:adjustRightInd w:val="0"/>
        <w:snapToGrid w:val="0"/>
        <w:spacing w:line="520" w:lineRule="exact"/>
        <w:ind w:firstLine="640"/>
        <w:rPr>
          <w:rFonts w:eastAsia="仿宋_GB2312"/>
          <w:kern w:val="0"/>
          <w:sz w:val="32"/>
          <w:szCs w:val="32"/>
        </w:rPr>
      </w:pPr>
      <w:r>
        <w:rPr>
          <w:rFonts w:hint="eastAsia" w:eastAsia="仿宋_GB2312"/>
          <w:kern w:val="0"/>
          <w:sz w:val="32"/>
          <w:szCs w:val="32"/>
        </w:rPr>
        <w:t>模块单独销售、不联动运行，需按单一品类分析仪分别划分注册单元；</w:t>
      </w:r>
    </w:p>
    <w:p w14:paraId="5855387C">
      <w:pPr>
        <w:adjustRightInd w:val="0"/>
        <w:snapToGrid w:val="0"/>
        <w:spacing w:line="520" w:lineRule="exact"/>
        <w:ind w:firstLine="640"/>
        <w:rPr>
          <w:rFonts w:eastAsia="仿宋_GB2312"/>
          <w:kern w:val="0"/>
          <w:sz w:val="32"/>
          <w:szCs w:val="32"/>
        </w:rPr>
      </w:pPr>
      <w:r>
        <w:rPr>
          <w:rFonts w:hint="eastAsia" w:eastAsia="仿宋_GB2312"/>
          <w:kern w:val="0"/>
          <w:sz w:val="32"/>
          <w:szCs w:val="32"/>
        </w:rPr>
        <w:t>双模块自动化程度差异显著（如一款半自动、一款全自动）；</w:t>
      </w:r>
    </w:p>
    <w:p w14:paraId="5864D39F">
      <w:pPr>
        <w:adjustRightInd w:val="0"/>
        <w:snapToGrid w:val="0"/>
        <w:spacing w:line="520" w:lineRule="exact"/>
        <w:ind w:firstLine="640"/>
        <w:rPr>
          <w:rFonts w:eastAsia="仿宋_GB2312"/>
          <w:kern w:val="0"/>
          <w:sz w:val="32"/>
          <w:szCs w:val="32"/>
        </w:rPr>
      </w:pPr>
      <w:r>
        <w:rPr>
          <w:rFonts w:hint="eastAsia" w:eastAsia="仿宋_GB2312"/>
          <w:kern w:val="0"/>
          <w:sz w:val="32"/>
          <w:szCs w:val="32"/>
        </w:rPr>
        <w:t>有形成分检测原理不同（流动型影像、静止型影像）；</w:t>
      </w:r>
    </w:p>
    <w:p w14:paraId="2F176E27">
      <w:pPr>
        <w:adjustRightInd w:val="0"/>
        <w:snapToGrid w:val="0"/>
        <w:spacing w:line="520" w:lineRule="exact"/>
        <w:ind w:firstLine="640"/>
        <w:rPr>
          <w:rFonts w:eastAsia="仿宋_GB2312"/>
          <w:kern w:val="0"/>
          <w:sz w:val="32"/>
          <w:szCs w:val="32"/>
        </w:rPr>
      </w:pPr>
      <w:r>
        <w:rPr>
          <w:rFonts w:hint="eastAsia" w:eastAsia="仿宋_GB2312"/>
          <w:kern w:val="0"/>
          <w:sz w:val="32"/>
          <w:szCs w:val="32"/>
        </w:rPr>
        <w:t>联机方式、软件架构、数据互通、样本流转存在本质差异，影响设备安全管控与性能验证要求；</w:t>
      </w:r>
    </w:p>
    <w:p w14:paraId="30E99D85">
      <w:pPr>
        <w:adjustRightInd w:val="0"/>
        <w:snapToGrid w:val="0"/>
        <w:spacing w:line="520" w:lineRule="exact"/>
        <w:ind w:firstLine="640"/>
        <w:rPr>
          <w:rFonts w:eastAsia="仿宋_GB2312"/>
          <w:kern w:val="0"/>
          <w:sz w:val="32"/>
          <w:szCs w:val="32"/>
        </w:rPr>
      </w:pPr>
      <w:r>
        <w:rPr>
          <w:rFonts w:hint="eastAsia" w:eastAsia="仿宋_GB2312"/>
          <w:kern w:val="0"/>
          <w:sz w:val="32"/>
          <w:szCs w:val="32"/>
        </w:rPr>
        <w:t>新增第三方配套模块，改变原有系统组成及预期用途；</w:t>
      </w:r>
    </w:p>
    <w:p w14:paraId="0D4CB882">
      <w:pPr>
        <w:adjustRightInd w:val="0"/>
        <w:snapToGrid w:val="0"/>
        <w:spacing w:line="520" w:lineRule="exact"/>
        <w:ind w:firstLine="640"/>
        <w:rPr>
          <w:rFonts w:eastAsia="仿宋_GB2312"/>
          <w:kern w:val="0"/>
          <w:sz w:val="32"/>
          <w:szCs w:val="32"/>
        </w:rPr>
      </w:pPr>
      <w:r>
        <w:rPr>
          <w:rFonts w:hint="eastAsia" w:eastAsia="仿宋_GB2312"/>
          <w:kern w:val="0"/>
          <w:sz w:val="32"/>
          <w:szCs w:val="32"/>
        </w:rPr>
        <w:t>联动控制软件重大更新，功能、安全管控逻辑、数据传输方式发生实质变化。</w:t>
      </w:r>
    </w:p>
    <w:p w14:paraId="534F07C0">
      <w:pPr>
        <w:adjustRightInd w:val="0"/>
        <w:snapToGrid w:val="0"/>
        <w:spacing w:line="520" w:lineRule="exact"/>
        <w:ind w:firstLine="640"/>
        <w:rPr>
          <w:rFonts w:eastAsia="仿宋_GB2312"/>
          <w:kern w:val="0"/>
          <w:sz w:val="32"/>
          <w:szCs w:val="32"/>
        </w:rPr>
      </w:pPr>
      <w:r>
        <w:rPr>
          <w:rFonts w:hint="eastAsia" w:eastAsia="仿宋_GB2312"/>
          <w:kern w:val="0"/>
          <w:sz w:val="32"/>
          <w:szCs w:val="32"/>
        </w:rPr>
        <w:t>类型二：尿液分析系统（一体机）</w:t>
      </w:r>
    </w:p>
    <w:p w14:paraId="19E93741">
      <w:pPr>
        <w:adjustRightInd w:val="0"/>
        <w:snapToGrid w:val="0"/>
        <w:spacing w:line="520" w:lineRule="exact"/>
        <w:ind w:firstLine="640"/>
        <w:rPr>
          <w:rFonts w:eastAsia="仿宋_GB2312"/>
          <w:kern w:val="0"/>
          <w:sz w:val="32"/>
          <w:szCs w:val="32"/>
        </w:rPr>
      </w:pPr>
      <w:r>
        <w:rPr>
          <w:rFonts w:hint="eastAsia" w:eastAsia="仿宋_GB2312"/>
          <w:kern w:val="0"/>
          <w:sz w:val="32"/>
          <w:szCs w:val="32"/>
        </w:rPr>
        <w:t>将干化学检测、有形成分检测、样本处理、数据整合、结果输出功能集成于同一机身，模块不可独立拆分、无外置联动机构的一体式检测整机。同设计架构、同软硬件平台、同检测原理的一体机，型号规格不同仍归为同一注册单元。</w:t>
      </w:r>
    </w:p>
    <w:p w14:paraId="22F97EAC">
      <w:pPr>
        <w:adjustRightInd w:val="0"/>
        <w:snapToGrid w:val="0"/>
        <w:spacing w:line="520" w:lineRule="exact"/>
        <w:ind w:firstLine="640"/>
        <w:rPr>
          <w:rFonts w:eastAsia="仿宋_GB2312"/>
          <w:kern w:val="0"/>
          <w:sz w:val="32"/>
          <w:szCs w:val="32"/>
        </w:rPr>
      </w:pPr>
      <w:r>
        <w:rPr>
          <w:rFonts w:eastAsia="仿宋_GB2312"/>
          <w:kern w:val="0"/>
          <w:sz w:val="32"/>
          <w:szCs w:val="32"/>
        </w:rPr>
        <w:t>符合下列任一情况的产品，原则上划分为不同的注册单元：</w:t>
      </w:r>
    </w:p>
    <w:p w14:paraId="587D5FF4">
      <w:pPr>
        <w:adjustRightInd w:val="0"/>
        <w:snapToGrid w:val="0"/>
        <w:spacing w:line="520" w:lineRule="exact"/>
        <w:ind w:firstLine="640"/>
        <w:rPr>
          <w:rFonts w:eastAsia="仿宋_GB2312"/>
          <w:kern w:val="0"/>
          <w:sz w:val="32"/>
          <w:szCs w:val="32"/>
        </w:rPr>
      </w:pPr>
      <w:r>
        <w:rPr>
          <w:rFonts w:hint="eastAsia" w:eastAsia="仿宋_GB2312"/>
          <w:kern w:val="0"/>
          <w:sz w:val="32"/>
          <w:szCs w:val="32"/>
        </w:rPr>
        <w:t>整机设计架构、核心检测原理存在本质差异；</w:t>
      </w:r>
    </w:p>
    <w:p w14:paraId="5CD6FAD1">
      <w:pPr>
        <w:adjustRightInd w:val="0"/>
        <w:snapToGrid w:val="0"/>
        <w:spacing w:line="520" w:lineRule="exact"/>
        <w:ind w:firstLine="640"/>
        <w:rPr>
          <w:rFonts w:eastAsia="仿宋_GB2312"/>
          <w:kern w:val="0"/>
          <w:sz w:val="32"/>
          <w:szCs w:val="32"/>
        </w:rPr>
      </w:pPr>
      <w:r>
        <w:rPr>
          <w:rFonts w:hint="eastAsia" w:eastAsia="仿宋_GB2312"/>
          <w:kern w:val="0"/>
          <w:sz w:val="32"/>
          <w:szCs w:val="32"/>
        </w:rPr>
        <w:t>新增检测模块，突破原有干化学+有形成分的核心检测架构；</w:t>
      </w:r>
    </w:p>
    <w:p w14:paraId="3E610256">
      <w:pPr>
        <w:adjustRightInd w:val="0"/>
        <w:snapToGrid w:val="0"/>
        <w:spacing w:line="520" w:lineRule="exact"/>
        <w:ind w:firstLine="640"/>
        <w:rPr>
          <w:rFonts w:eastAsia="仿宋_GB2312"/>
          <w:kern w:val="0"/>
          <w:sz w:val="32"/>
          <w:szCs w:val="32"/>
        </w:rPr>
      </w:pPr>
      <w:r>
        <w:rPr>
          <w:rFonts w:hint="eastAsia" w:eastAsia="仿宋_GB2312"/>
          <w:kern w:val="0"/>
          <w:sz w:val="32"/>
          <w:szCs w:val="32"/>
        </w:rPr>
        <w:t>整机自动化级别不同（全自动进样、半自动进样）；</w:t>
      </w:r>
    </w:p>
    <w:p w14:paraId="2AA371FD">
      <w:pPr>
        <w:adjustRightInd w:val="0"/>
        <w:snapToGrid w:val="0"/>
        <w:spacing w:line="520" w:lineRule="exact"/>
        <w:ind w:firstLine="640"/>
        <w:rPr>
          <w:rFonts w:eastAsia="仿宋_GB2312"/>
          <w:kern w:val="0"/>
          <w:sz w:val="32"/>
          <w:szCs w:val="32"/>
        </w:rPr>
      </w:pPr>
      <w:r>
        <w:rPr>
          <w:rFonts w:hint="eastAsia" w:eastAsia="仿宋_GB2312"/>
          <w:kern w:val="0"/>
          <w:sz w:val="32"/>
          <w:szCs w:val="32"/>
        </w:rPr>
        <w:t>软件核心算法、安全管控、数据管理功能存在重大差异，影响检测结果准确性；</w:t>
      </w:r>
    </w:p>
    <w:p w14:paraId="5B58BB18">
      <w:pPr>
        <w:adjustRightInd w:val="0"/>
        <w:snapToGrid w:val="0"/>
        <w:spacing w:line="520" w:lineRule="exact"/>
        <w:ind w:firstLine="640"/>
        <w:rPr>
          <w:rFonts w:eastAsia="仿宋_GB2312"/>
          <w:kern w:val="0"/>
          <w:sz w:val="32"/>
          <w:szCs w:val="32"/>
        </w:rPr>
      </w:pPr>
      <w:r>
        <w:rPr>
          <w:rFonts w:hint="eastAsia" w:eastAsia="仿宋_GB2312"/>
          <w:kern w:val="0"/>
          <w:sz w:val="32"/>
          <w:szCs w:val="32"/>
        </w:rPr>
        <w:t>检测项目范围、适用场景（医用台式、床旁便携）存在实质区别。</w:t>
      </w:r>
    </w:p>
    <w:p w14:paraId="760E6CCB">
      <w:pPr>
        <w:spacing w:line="520" w:lineRule="exact"/>
        <w:ind w:firstLine="640" w:firstLineChars="200"/>
        <w:rPr>
          <w:rFonts w:eastAsia="仿宋_GB2312"/>
          <w:sz w:val="32"/>
          <w:szCs w:val="32"/>
        </w:rPr>
      </w:pPr>
      <w:r>
        <w:rPr>
          <w:rFonts w:hint="eastAsia" w:eastAsia="仿宋_GB2312"/>
          <w:sz w:val="32"/>
          <w:szCs w:val="32"/>
        </w:rPr>
        <w:t>（二）综述资料</w:t>
      </w:r>
    </w:p>
    <w:p w14:paraId="2270A939">
      <w:pPr>
        <w:spacing w:line="520" w:lineRule="exact"/>
        <w:ind w:firstLine="640" w:firstLineChars="200"/>
        <w:outlineLvl w:val="2"/>
        <w:rPr>
          <w:rFonts w:eastAsia="仿宋_GB2312"/>
          <w:color w:val="000000"/>
          <w:sz w:val="32"/>
          <w:szCs w:val="32"/>
        </w:rPr>
      </w:pPr>
      <w:r>
        <w:rPr>
          <w:rFonts w:hint="eastAsia" w:eastAsia="仿宋_GB2312"/>
          <w:color w:val="000000"/>
          <w:sz w:val="32"/>
          <w:szCs w:val="32"/>
        </w:rPr>
        <w:t>1.产品描述</w:t>
      </w:r>
    </w:p>
    <w:p w14:paraId="5718C4C0">
      <w:pPr>
        <w:pStyle w:val="22"/>
        <w:overflowPunct w:val="0"/>
        <w:autoSpaceDE w:val="0"/>
        <w:autoSpaceDN w:val="0"/>
        <w:spacing w:line="520" w:lineRule="exact"/>
        <w:ind w:right="210" w:firstLine="640"/>
        <w:outlineLvl w:val="3"/>
        <w:rPr>
          <w:rFonts w:eastAsia="仿宋_GB2312"/>
          <w:snapToGrid w:val="0"/>
          <w:kern w:val="0"/>
          <w:sz w:val="32"/>
          <w:szCs w:val="32"/>
        </w:rPr>
      </w:pPr>
      <w:r>
        <w:rPr>
          <w:rFonts w:hint="eastAsia" w:eastAsia="仿宋_GB2312"/>
          <w:snapToGrid w:val="0"/>
          <w:kern w:val="0"/>
          <w:sz w:val="32"/>
          <w:szCs w:val="32"/>
        </w:rPr>
        <w:t>1.1器械及操作原理描述</w:t>
      </w:r>
    </w:p>
    <w:p w14:paraId="6C40D9CE">
      <w:pPr>
        <w:widowControl/>
        <w:spacing w:line="520" w:lineRule="exact"/>
        <w:ind w:right="-67" w:rightChars="-32" w:firstLine="640" w:firstLineChars="200"/>
        <w:rPr>
          <w:rFonts w:eastAsia="仿宋_GB2312"/>
          <w:sz w:val="32"/>
          <w:szCs w:val="32"/>
        </w:rPr>
      </w:pPr>
      <w:r>
        <w:rPr>
          <w:rFonts w:hint="eastAsia" w:eastAsia="仿宋_GB2312"/>
          <w:sz w:val="32"/>
          <w:szCs w:val="32"/>
        </w:rPr>
        <w:t>申请人应当根据拟申报产品的具体特征，详细</w:t>
      </w:r>
      <w:r>
        <w:rPr>
          <w:rFonts w:eastAsia="仿宋_GB2312"/>
          <w:sz w:val="32"/>
          <w:szCs w:val="32"/>
        </w:rPr>
        <w:t>描述</w:t>
      </w:r>
      <w:r>
        <w:rPr>
          <w:rFonts w:hint="eastAsia" w:eastAsia="仿宋_GB2312"/>
          <w:sz w:val="32"/>
          <w:szCs w:val="32"/>
        </w:rPr>
        <w:t>产品</w:t>
      </w:r>
      <w:r>
        <w:rPr>
          <w:rFonts w:eastAsia="仿宋_GB2312"/>
          <w:sz w:val="32"/>
          <w:szCs w:val="32"/>
        </w:rPr>
        <w:t>工作原理、结构组成</w:t>
      </w:r>
      <w:r>
        <w:rPr>
          <w:rFonts w:hint="eastAsia" w:eastAsia="仿宋_GB2312"/>
          <w:sz w:val="32"/>
          <w:szCs w:val="32"/>
        </w:rPr>
        <w:t>、</w:t>
      </w:r>
      <w:r>
        <w:rPr>
          <w:rFonts w:eastAsia="仿宋_GB2312"/>
          <w:sz w:val="32"/>
          <w:szCs w:val="32"/>
        </w:rPr>
        <w:t>各模块的具体组成</w:t>
      </w:r>
      <w:r>
        <w:rPr>
          <w:rFonts w:hint="eastAsia" w:eastAsia="仿宋_GB2312"/>
          <w:sz w:val="32"/>
          <w:szCs w:val="32"/>
        </w:rPr>
        <w:t>、</w:t>
      </w:r>
      <w:r>
        <w:rPr>
          <w:rFonts w:eastAsia="仿宋_GB2312"/>
          <w:sz w:val="32"/>
          <w:szCs w:val="32"/>
        </w:rPr>
        <w:t>产品的主要功能及各组成</w:t>
      </w:r>
      <w:r>
        <w:rPr>
          <w:rFonts w:hint="eastAsia" w:eastAsia="仿宋_GB2312"/>
          <w:sz w:val="32"/>
          <w:szCs w:val="32"/>
        </w:rPr>
        <w:t>模块</w:t>
      </w:r>
      <w:r>
        <w:rPr>
          <w:rFonts w:eastAsia="仿宋_GB2312"/>
          <w:sz w:val="32"/>
          <w:szCs w:val="32"/>
        </w:rPr>
        <w:t>的功能</w:t>
      </w:r>
      <w:r>
        <w:rPr>
          <w:rFonts w:hint="eastAsia" w:eastAsia="仿宋_GB2312"/>
          <w:sz w:val="32"/>
          <w:szCs w:val="32"/>
        </w:rPr>
        <w:t>、产品图示（如，硬件结构图、产品工程图、关键组件工程图、产品液路图等）、</w:t>
      </w:r>
      <w:r>
        <w:rPr>
          <w:rFonts w:eastAsia="仿宋_GB2312"/>
          <w:sz w:val="32"/>
          <w:szCs w:val="32"/>
        </w:rPr>
        <w:t>使用方法以及区别于其他同类产品的特征等内容</w:t>
      </w:r>
      <w:r>
        <w:rPr>
          <w:rFonts w:hint="eastAsia" w:eastAsia="仿宋_GB2312"/>
          <w:sz w:val="32"/>
          <w:szCs w:val="32"/>
        </w:rPr>
        <w:t>。</w:t>
      </w:r>
    </w:p>
    <w:p w14:paraId="0EF0AECC">
      <w:pPr>
        <w:pStyle w:val="22"/>
        <w:overflowPunct w:val="0"/>
        <w:autoSpaceDE w:val="0"/>
        <w:autoSpaceDN w:val="0"/>
        <w:spacing w:line="520" w:lineRule="exact"/>
        <w:ind w:right="210" w:firstLine="640"/>
        <w:rPr>
          <w:rFonts w:eastAsia="仿宋_GB2312"/>
          <w:snapToGrid w:val="0"/>
          <w:kern w:val="0"/>
          <w:sz w:val="32"/>
          <w:szCs w:val="32"/>
        </w:rPr>
      </w:pPr>
      <w:r>
        <w:rPr>
          <w:rFonts w:hint="eastAsia" w:eastAsia="仿宋_GB2312"/>
          <w:snapToGrid w:val="0"/>
          <w:kern w:val="0"/>
          <w:sz w:val="32"/>
          <w:szCs w:val="32"/>
        </w:rPr>
        <w:t>1.1.1</w:t>
      </w:r>
      <w:r>
        <w:rPr>
          <w:rFonts w:eastAsia="仿宋_GB2312"/>
          <w:snapToGrid w:val="0"/>
          <w:kern w:val="0"/>
          <w:sz w:val="32"/>
          <w:szCs w:val="32"/>
        </w:rPr>
        <w:t>工作原理</w:t>
      </w:r>
    </w:p>
    <w:p w14:paraId="426E7E6F">
      <w:pPr>
        <w:spacing w:line="520" w:lineRule="exact"/>
        <w:ind w:firstLine="640" w:firstLineChars="200"/>
        <w:rPr>
          <w:rFonts w:eastAsia="仿宋_GB2312"/>
          <w:snapToGrid w:val="0"/>
          <w:color w:val="FF0000"/>
          <w:kern w:val="0"/>
          <w:sz w:val="32"/>
          <w:szCs w:val="32"/>
        </w:rPr>
      </w:pPr>
      <w:r>
        <w:rPr>
          <w:rFonts w:eastAsia="仿宋_GB2312"/>
          <w:sz w:val="32"/>
          <w:szCs w:val="32"/>
        </w:rPr>
        <w:t>申请人应根据拟申报产品的设计要求，结合结构组成及检测步骤，采用文字加图示的方式对产品工作原理及其实现机制进行详细描述。对于申报产品与其他上市产品不同的特殊设计、设计开发过程中的重点研究内容也应着重介绍。</w:t>
      </w:r>
    </w:p>
    <w:p w14:paraId="23F53640">
      <w:pPr>
        <w:spacing w:line="520" w:lineRule="exact"/>
        <w:ind w:firstLine="640" w:firstLineChars="200"/>
        <w:rPr>
          <w:rFonts w:eastAsia="仿宋_GB2312"/>
          <w:snapToGrid w:val="0"/>
          <w:kern w:val="0"/>
          <w:sz w:val="32"/>
          <w:szCs w:val="32"/>
        </w:rPr>
      </w:pPr>
      <w:r>
        <w:rPr>
          <w:rFonts w:hint="eastAsia" w:eastAsia="仿宋_GB2312"/>
          <w:snapToGrid w:val="0"/>
          <w:kern w:val="0"/>
          <w:sz w:val="32"/>
          <w:szCs w:val="32"/>
        </w:rPr>
        <w:t>（1）</w:t>
      </w:r>
      <w:r>
        <w:rPr>
          <w:rFonts w:hint="eastAsia" w:eastAsia="仿宋_GB2312"/>
          <w:sz w:val="32"/>
          <w:szCs w:val="32"/>
        </w:rPr>
        <w:t>尿液干化学模块</w:t>
      </w:r>
    </w:p>
    <w:p w14:paraId="112F0B7F">
      <w:pPr>
        <w:overflowPunct w:val="0"/>
        <w:autoSpaceDE w:val="0"/>
        <w:autoSpaceDN w:val="0"/>
        <w:spacing w:line="520" w:lineRule="exact"/>
        <w:ind w:firstLine="640" w:firstLineChars="200"/>
        <w:rPr>
          <w:rFonts w:eastAsia="仿宋_GB2312"/>
          <w:sz w:val="32"/>
          <w:szCs w:val="32"/>
        </w:rPr>
      </w:pPr>
      <w:r>
        <w:rPr>
          <w:rFonts w:eastAsia="仿宋_GB2312"/>
          <w:snapToGrid w:val="0"/>
          <w:kern w:val="0"/>
          <w:sz w:val="32"/>
          <w:szCs w:val="32"/>
        </w:rPr>
        <w:t>例如：</w:t>
      </w:r>
      <w:r>
        <w:rPr>
          <w:rFonts w:eastAsia="仿宋_GB2312"/>
          <w:sz w:val="32"/>
          <w:szCs w:val="32"/>
        </w:rPr>
        <w:t>根据光电比色原理</w:t>
      </w:r>
      <w:r>
        <w:rPr>
          <w:rFonts w:hint="eastAsia" w:eastAsia="仿宋_GB2312"/>
          <w:sz w:val="32"/>
          <w:szCs w:val="32"/>
        </w:rPr>
        <w:t>（光的吸收和反射）</w:t>
      </w:r>
      <w:r>
        <w:rPr>
          <w:rFonts w:eastAsia="仿宋_GB2312"/>
          <w:sz w:val="32"/>
          <w:szCs w:val="32"/>
        </w:rPr>
        <w:t>，通过试纸条上试剂区与尿液中生化成分反应产生的颜色变化，测定尿液中生化成分的含量。</w:t>
      </w:r>
    </w:p>
    <w:p w14:paraId="54D8BD3C">
      <w:pPr>
        <w:spacing w:line="520" w:lineRule="exact"/>
        <w:ind w:firstLine="640" w:firstLineChars="200"/>
        <w:rPr>
          <w:rFonts w:eastAsia="仿宋_GB2312"/>
          <w:sz w:val="32"/>
          <w:szCs w:val="32"/>
        </w:rPr>
      </w:pPr>
      <w:r>
        <w:rPr>
          <w:rFonts w:eastAsia="仿宋_GB2312"/>
          <w:sz w:val="32"/>
          <w:szCs w:val="32"/>
        </w:rPr>
        <w:t>当浸有尿样本的试纸条被放入试纸条架上后，仪器的传送装置将试纸条传送至检测器的正下方，试纸条上已产生化学反应的各试剂块被光源照射后，其反射光被检测器接收。试纸条中各试剂块与尿液中相应成分进行独立反应，显示不同的颜色，颜色的深浅与尿液中某种</w:t>
      </w:r>
      <w:r>
        <w:rPr>
          <w:rFonts w:hint="eastAsia" w:eastAsia="仿宋_GB2312"/>
          <w:sz w:val="32"/>
          <w:szCs w:val="32"/>
        </w:rPr>
        <w:t>被测</w:t>
      </w:r>
      <w:r>
        <w:rPr>
          <w:rFonts w:eastAsia="仿宋_GB2312"/>
          <w:sz w:val="32"/>
          <w:szCs w:val="32"/>
        </w:rPr>
        <w:t>成分成比例关系。各试剂块反应后的颜色越深，吸收光量值越大，反射光量值越小，则反射率越小，反之，颜色越浅，吸收光量值越小，反射光量值越大，则反射率越大，也就是说颜色的深浅与尿液样本中的各种成分的浓度成</w:t>
      </w:r>
      <w:r>
        <w:rPr>
          <w:rFonts w:hint="eastAsia" w:eastAsia="仿宋_GB2312"/>
          <w:sz w:val="32"/>
          <w:szCs w:val="32"/>
        </w:rPr>
        <w:t>比例</w:t>
      </w:r>
      <w:r>
        <w:rPr>
          <w:rFonts w:eastAsia="仿宋_GB2312"/>
          <w:sz w:val="32"/>
          <w:szCs w:val="32"/>
        </w:rPr>
        <w:t>。</w:t>
      </w:r>
    </w:p>
    <w:p w14:paraId="19E0862F">
      <w:pPr>
        <w:adjustRightInd w:val="0"/>
        <w:snapToGrid w:val="0"/>
        <w:spacing w:line="520" w:lineRule="exact"/>
        <w:ind w:firstLine="640" w:firstLineChars="200"/>
        <w:jc w:val="left"/>
      </w:pPr>
      <w:r>
        <w:rPr>
          <w:rFonts w:eastAsia="仿宋_GB2312"/>
          <w:sz w:val="32"/>
          <w:szCs w:val="32"/>
        </w:rPr>
        <w:t>试纸条</w:t>
      </w:r>
      <w:r>
        <w:rPr>
          <w:rFonts w:hint="eastAsia" w:eastAsia="仿宋_GB2312"/>
          <w:sz w:val="32"/>
          <w:szCs w:val="32"/>
        </w:rPr>
        <w:t>或仪器</w:t>
      </w:r>
      <w:r>
        <w:rPr>
          <w:rFonts w:eastAsia="仿宋_GB2312"/>
          <w:sz w:val="32"/>
          <w:szCs w:val="32"/>
        </w:rPr>
        <w:t>中还</w:t>
      </w:r>
      <w:r>
        <w:rPr>
          <w:rFonts w:hint="eastAsia" w:eastAsia="仿宋_GB2312"/>
          <w:sz w:val="32"/>
          <w:szCs w:val="32"/>
        </w:rPr>
        <w:t>应</w:t>
      </w:r>
      <w:r>
        <w:rPr>
          <w:rFonts w:eastAsia="仿宋_GB2312"/>
          <w:sz w:val="32"/>
          <w:szCs w:val="32"/>
        </w:rPr>
        <w:t>有一个空白块，作为对尿液颜色及仪器变化产生的误差进行补偿。将测定的每种试剂区反射光的光量值与空白块的反射光量值进行比较，通过计算求出反射率，仪器根据反射率确定尿液中生化成分的含量。</w:t>
      </w:r>
    </w:p>
    <w:p w14:paraId="55887551">
      <w:pPr>
        <w:pStyle w:val="34"/>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反射率计算公式如下</w:t>
      </w:r>
      <w:r>
        <w:rPr>
          <w:rFonts w:hint="eastAsia" w:ascii="Times New Roman" w:hAnsi="Times New Roman" w:eastAsia="仿宋_GB2312"/>
          <w:sz w:val="32"/>
          <w:szCs w:val="32"/>
        </w:rPr>
        <w:t>（如适用）</w:t>
      </w:r>
      <w:r>
        <w:rPr>
          <w:rFonts w:ascii="Times New Roman" w:hAnsi="Times New Roman" w:eastAsia="仿宋_GB2312"/>
          <w:sz w:val="32"/>
          <w:szCs w:val="32"/>
        </w:rPr>
        <w:t>：</w:t>
      </w:r>
    </w:p>
    <w:p w14:paraId="6F097FC3">
      <w:pPr>
        <w:spacing w:line="520" w:lineRule="exact"/>
        <w:rPr>
          <w:rFonts w:eastAsia="仿宋_GB2312"/>
          <w:color w:val="FF0000"/>
          <w:sz w:val="32"/>
          <w:szCs w:val="32"/>
        </w:rPr>
      </w:pPr>
      <w:r>
        <w:rPr>
          <w:rFonts w:eastAsia="仿宋_GB2312"/>
          <w:color w:val="FF0000"/>
          <w:position w:val="-30"/>
          <w:sz w:val="32"/>
          <w:szCs w:val="32"/>
        </w:rPr>
        <w:pict>
          <v:shape id="Object 91" o:spid="_x0000_s1026" o:spt="75" type="#_x0000_t75" style="position:absolute;left:0pt;margin-left:42.25pt;margin-top:13.5pt;height:34.5pt;width:139.35pt;mso-wrap-distance-bottom:0pt;mso-wrap-distance-left:9pt;mso-wrap-distance-right:9pt;mso-wrap-distance-top:0pt;z-index:251659264;mso-width-relative:page;mso-height-relative:page;" o:ole="t" filled="f" o:preferrelative="t" stroked="f" coordsize="21600,21600">
            <v:path/>
            <v:fill on="f" focussize="0,0"/>
            <v:stroke on="f" joinstyle="miter"/>
            <v:imagedata r:id="rId6" o:title=""/>
            <o:lock v:ext="edit" aspectratio="t"/>
            <w10:wrap type="square"/>
          </v:shape>
          <o:OLEObject Type="Embed" ProgID="Equation.3" ShapeID="Object 91" DrawAspect="Content" ObjectID="_1468075725" r:id="rId5">
            <o:LockedField>false</o:LockedField>
          </o:OLEObject>
        </w:pict>
      </w:r>
      <w:r>
        <w:rPr>
          <w:rFonts w:eastAsia="仿宋_GB2312"/>
          <w:sz w:val="32"/>
          <w:szCs w:val="32"/>
        </w:rPr>
        <w:t xml:space="preserve">                   </w:t>
      </w:r>
    </w:p>
    <w:p w14:paraId="5A7745CA">
      <w:pPr>
        <w:spacing w:line="520" w:lineRule="exact"/>
        <w:rPr>
          <w:rFonts w:eastAsia="仿宋_GB2312"/>
          <w:sz w:val="32"/>
          <w:szCs w:val="32"/>
        </w:rPr>
      </w:pPr>
    </w:p>
    <w:p w14:paraId="2CBD2A3B">
      <w:pPr>
        <w:spacing w:line="520" w:lineRule="exact"/>
        <w:rPr>
          <w:rFonts w:eastAsia="仿宋_GB2312"/>
          <w:sz w:val="32"/>
          <w:szCs w:val="32"/>
        </w:rPr>
      </w:pPr>
      <w:r>
        <w:rPr>
          <w:rFonts w:eastAsia="仿宋_GB2312"/>
          <w:sz w:val="32"/>
          <w:szCs w:val="32"/>
        </w:rPr>
        <w:t xml:space="preserve">式中: </w:t>
      </w:r>
    </w:p>
    <w:p w14:paraId="7009D6B9">
      <w:pPr>
        <w:tabs>
          <w:tab w:val="left" w:pos="720"/>
        </w:tabs>
        <w:spacing w:line="520" w:lineRule="exact"/>
        <w:ind w:firstLine="822" w:firstLineChars="257"/>
        <w:rPr>
          <w:rFonts w:eastAsia="仿宋_GB2312"/>
          <w:sz w:val="32"/>
          <w:szCs w:val="32"/>
        </w:rPr>
      </w:pPr>
      <w:r>
        <w:rPr>
          <w:rFonts w:eastAsia="仿宋_GB2312"/>
          <w:sz w:val="32"/>
          <w:szCs w:val="32"/>
        </w:rPr>
        <w:t>R—— 反射率</w:t>
      </w:r>
    </w:p>
    <w:p w14:paraId="447F6760">
      <w:pPr>
        <w:tabs>
          <w:tab w:val="left" w:pos="720"/>
        </w:tabs>
        <w:spacing w:line="520" w:lineRule="exact"/>
        <w:ind w:firstLine="822" w:firstLineChars="257"/>
        <w:rPr>
          <w:rFonts w:eastAsia="仿宋_GB2312"/>
          <w:sz w:val="32"/>
          <w:szCs w:val="32"/>
        </w:rPr>
      </w:pPr>
      <w:r>
        <w:rPr>
          <w:rFonts w:eastAsia="仿宋_GB2312"/>
          <w:sz w:val="32"/>
          <w:szCs w:val="32"/>
        </w:rPr>
        <w:t>T</w:t>
      </w:r>
      <w:r>
        <w:rPr>
          <w:rFonts w:eastAsia="仿宋_GB2312"/>
          <w:sz w:val="32"/>
          <w:szCs w:val="32"/>
          <w:vertAlign w:val="subscript"/>
        </w:rPr>
        <w:t>m</w:t>
      </w:r>
      <w:r>
        <w:rPr>
          <w:rFonts w:eastAsia="仿宋_GB2312"/>
          <w:sz w:val="32"/>
          <w:szCs w:val="32"/>
        </w:rPr>
        <w:t>—— 试剂块对测定波长的反射强度</w:t>
      </w:r>
    </w:p>
    <w:p w14:paraId="66ADA491">
      <w:pPr>
        <w:tabs>
          <w:tab w:val="left" w:pos="720"/>
        </w:tabs>
        <w:spacing w:line="520" w:lineRule="exact"/>
        <w:ind w:firstLine="822" w:firstLineChars="257"/>
        <w:rPr>
          <w:rFonts w:eastAsia="仿宋_GB2312"/>
          <w:sz w:val="32"/>
          <w:szCs w:val="32"/>
        </w:rPr>
      </w:pPr>
      <w:r>
        <w:rPr>
          <w:rFonts w:eastAsia="仿宋_GB2312"/>
          <w:sz w:val="32"/>
          <w:szCs w:val="32"/>
        </w:rPr>
        <w:t>C</w:t>
      </w:r>
      <w:r>
        <w:rPr>
          <w:rFonts w:eastAsia="仿宋_GB2312"/>
          <w:sz w:val="32"/>
          <w:szCs w:val="32"/>
          <w:vertAlign w:val="subscript"/>
        </w:rPr>
        <w:t>s</w:t>
      </w:r>
      <w:r>
        <w:rPr>
          <w:rFonts w:eastAsia="仿宋_GB2312"/>
          <w:sz w:val="32"/>
          <w:szCs w:val="32"/>
        </w:rPr>
        <w:t>—— 空白块对参考波长的反射强度</w:t>
      </w:r>
    </w:p>
    <w:p w14:paraId="2E8F2E96">
      <w:pPr>
        <w:tabs>
          <w:tab w:val="left" w:pos="720"/>
        </w:tabs>
        <w:spacing w:line="520" w:lineRule="exact"/>
        <w:ind w:firstLine="822" w:firstLineChars="257"/>
        <w:rPr>
          <w:rFonts w:eastAsia="仿宋_GB2312"/>
          <w:sz w:val="32"/>
          <w:szCs w:val="32"/>
        </w:rPr>
      </w:pPr>
      <w:r>
        <w:rPr>
          <w:rFonts w:eastAsia="仿宋_GB2312"/>
          <w:sz w:val="32"/>
          <w:szCs w:val="32"/>
        </w:rPr>
        <w:t>T</w:t>
      </w:r>
      <w:r>
        <w:rPr>
          <w:rFonts w:eastAsia="仿宋_GB2312"/>
          <w:sz w:val="32"/>
          <w:szCs w:val="32"/>
          <w:vertAlign w:val="subscript"/>
        </w:rPr>
        <w:t>s</w:t>
      </w:r>
      <w:r>
        <w:rPr>
          <w:rFonts w:eastAsia="仿宋_GB2312"/>
          <w:sz w:val="32"/>
          <w:szCs w:val="32"/>
        </w:rPr>
        <w:t>—— 试剂块对参考波长的反射强度</w:t>
      </w:r>
    </w:p>
    <w:p w14:paraId="45FAF726">
      <w:pPr>
        <w:tabs>
          <w:tab w:val="left" w:pos="720"/>
        </w:tabs>
        <w:spacing w:line="520" w:lineRule="exact"/>
        <w:ind w:firstLine="822" w:firstLineChars="257"/>
        <w:rPr>
          <w:rFonts w:eastAsia="仿宋_GB2312"/>
          <w:sz w:val="32"/>
          <w:szCs w:val="32"/>
        </w:rPr>
      </w:pPr>
      <w:r>
        <w:rPr>
          <w:rFonts w:eastAsia="仿宋_GB2312"/>
          <w:sz w:val="32"/>
          <w:szCs w:val="32"/>
        </w:rPr>
        <w:t>C</w:t>
      </w:r>
      <w:r>
        <w:rPr>
          <w:rFonts w:eastAsia="仿宋_GB2312"/>
          <w:sz w:val="32"/>
          <w:szCs w:val="32"/>
          <w:vertAlign w:val="subscript"/>
        </w:rPr>
        <w:t>m</w:t>
      </w:r>
      <w:r>
        <w:rPr>
          <w:rFonts w:eastAsia="仿宋_GB2312"/>
          <w:sz w:val="32"/>
          <w:szCs w:val="32"/>
        </w:rPr>
        <w:t>—— 空白块对测定波长的反射强度</w:t>
      </w:r>
    </w:p>
    <w:p w14:paraId="47E851A8">
      <w:pPr>
        <w:spacing w:line="520" w:lineRule="exact"/>
        <w:ind w:firstLine="640" w:firstLineChars="200"/>
        <w:rPr>
          <w:rFonts w:eastAsia="仿宋_GB2312"/>
          <w:snapToGrid w:val="0"/>
          <w:color w:val="FF0000"/>
          <w:kern w:val="0"/>
          <w:sz w:val="32"/>
          <w:szCs w:val="32"/>
        </w:rPr>
      </w:pPr>
      <w:r>
        <w:rPr>
          <w:rFonts w:hint="eastAsia" w:eastAsia="仿宋_GB2312"/>
          <w:sz w:val="32"/>
          <w:szCs w:val="32"/>
        </w:rPr>
        <w:t>注：如有其他适用的反射率计算方法，</w:t>
      </w:r>
      <w:r>
        <w:rPr>
          <w:rFonts w:hint="eastAsia" w:eastAsia="仿宋_GB2312"/>
          <w:snapToGrid w:val="0"/>
          <w:kern w:val="0"/>
          <w:sz w:val="32"/>
          <w:szCs w:val="32"/>
        </w:rPr>
        <w:t>需</w:t>
      </w:r>
      <w:r>
        <w:rPr>
          <w:rFonts w:eastAsia="仿宋_GB2312"/>
          <w:snapToGrid w:val="0"/>
          <w:kern w:val="0"/>
          <w:sz w:val="32"/>
          <w:szCs w:val="32"/>
        </w:rPr>
        <w:t>详述工作原理</w:t>
      </w:r>
      <w:r>
        <w:rPr>
          <w:rFonts w:hint="eastAsia" w:eastAsia="仿宋_GB2312"/>
          <w:snapToGrid w:val="0"/>
          <w:kern w:val="0"/>
          <w:sz w:val="32"/>
          <w:szCs w:val="32"/>
        </w:rPr>
        <w:t>及计算公式。</w:t>
      </w:r>
    </w:p>
    <w:p w14:paraId="3691869A">
      <w:pPr>
        <w:spacing w:line="520" w:lineRule="exact"/>
        <w:ind w:firstLine="800" w:firstLineChars="250"/>
        <w:rPr>
          <w:rFonts w:eastAsia="仿宋_GB2312"/>
          <w:sz w:val="32"/>
          <w:szCs w:val="32"/>
        </w:rPr>
      </w:pPr>
      <w:r>
        <w:rPr>
          <w:rFonts w:eastAsia="仿宋_GB2312"/>
          <w:sz w:val="32"/>
          <w:szCs w:val="32"/>
        </w:rPr>
        <w:t>原理框图如下图所示：</w:t>
      </w:r>
    </w:p>
    <w:p w14:paraId="07E5A35B">
      <w:pPr>
        <w:spacing w:line="520" w:lineRule="exact"/>
        <w:ind w:left="-142"/>
        <w:rPr>
          <w:rFonts w:eastAsia="仿宋_GB2312"/>
          <w:b/>
          <w:sz w:val="32"/>
          <w:szCs w:val="32"/>
        </w:rPr>
      </w:pPr>
      <w:r>
        <w:rPr>
          <w:rFonts w:eastAsia="仿宋_GB2312"/>
          <w:sz w:val="32"/>
          <w:szCs w:val="32"/>
        </w:rPr>
        <mc:AlternateContent>
          <mc:Choice Requires="wpg">
            <w:drawing>
              <wp:anchor distT="0" distB="0" distL="114300" distR="114300" simplePos="0" relativeHeight="251660288" behindDoc="0" locked="0" layoutInCell="1" allowOverlap="1">
                <wp:simplePos x="0" y="0"/>
                <wp:positionH relativeFrom="column">
                  <wp:posOffset>462915</wp:posOffset>
                </wp:positionH>
                <wp:positionV relativeFrom="paragraph">
                  <wp:posOffset>182880</wp:posOffset>
                </wp:positionV>
                <wp:extent cx="4856480" cy="2250440"/>
                <wp:effectExtent l="5715" t="11430" r="5080" b="5080"/>
                <wp:wrapNone/>
                <wp:docPr id="1" name="组合 1"/>
                <wp:cNvGraphicFramePr/>
                <a:graphic xmlns:a="http://schemas.openxmlformats.org/drawingml/2006/main">
                  <a:graphicData uri="http://schemas.microsoft.com/office/word/2010/wordprocessingGroup">
                    <wpg:wgp>
                      <wpg:cNvGrpSpPr/>
                      <wpg:grpSpPr>
                        <a:xfrm>
                          <a:off x="0" y="0"/>
                          <a:ext cx="4856480" cy="2250440"/>
                          <a:chOff x="2147" y="10460"/>
                          <a:chExt cx="7648" cy="3544"/>
                        </a:xfrm>
                      </wpg:grpSpPr>
                      <wps:wsp>
                        <wps:cNvPr id="2" name="文本框 20"/>
                        <wps:cNvSpPr txBox="1">
                          <a:spLocks noChangeArrowheads="1"/>
                        </wps:cNvSpPr>
                        <wps:spPr bwMode="auto">
                          <a:xfrm>
                            <a:off x="4473" y="10460"/>
                            <a:ext cx="397" cy="2418"/>
                          </a:xfrm>
                          <a:prstGeom prst="rect">
                            <a:avLst/>
                          </a:prstGeom>
                          <a:solidFill>
                            <a:srgbClr val="FFFFFF"/>
                          </a:solidFill>
                          <a:ln w="9525">
                            <a:solidFill>
                              <a:srgbClr val="000000"/>
                            </a:solidFill>
                            <a:miter lim="800000"/>
                          </a:ln>
                        </wps:spPr>
                        <wps:txbx>
                          <w:txbxContent>
                            <w:p w14:paraId="2B7B240F">
                              <w:pPr>
                                <w:rPr>
                                  <w:rFonts w:ascii="仿宋_GB2312" w:eastAsia="仿宋_GB2312"/>
                                  <w:sz w:val="24"/>
                                </w:rPr>
                              </w:pPr>
                              <w:r>
                                <w:rPr>
                                  <w:rFonts w:hint="eastAsia" w:ascii="仿宋_GB2312" w:eastAsia="仿宋_GB2312"/>
                                  <w:sz w:val="24"/>
                                </w:rPr>
                                <w:t>分析处理软件</w:t>
                              </w:r>
                            </w:p>
                          </w:txbxContent>
                        </wps:txbx>
                        <wps:bodyPr rot="0" vert="horz" wrap="square" lIns="36000" tIns="36000" rIns="36000" bIns="36000" anchor="t" anchorCtr="0" upright="1">
                          <a:noAutofit/>
                        </wps:bodyPr>
                      </wps:wsp>
                      <wps:wsp>
                        <wps:cNvPr id="3" name="文本框 21"/>
                        <wps:cNvSpPr txBox="1">
                          <a:spLocks noChangeArrowheads="1"/>
                        </wps:cNvSpPr>
                        <wps:spPr bwMode="auto">
                          <a:xfrm>
                            <a:off x="7924" y="10582"/>
                            <a:ext cx="1871" cy="510"/>
                          </a:xfrm>
                          <a:prstGeom prst="rect">
                            <a:avLst/>
                          </a:prstGeom>
                          <a:solidFill>
                            <a:srgbClr val="FFFFFF"/>
                          </a:solidFill>
                          <a:ln w="9525">
                            <a:solidFill>
                              <a:srgbClr val="000000"/>
                            </a:solidFill>
                            <a:miter lim="800000"/>
                          </a:ln>
                        </wps:spPr>
                        <wps:txbx>
                          <w:txbxContent>
                            <w:p w14:paraId="163145B2">
                              <w:pPr>
                                <w:jc w:val="center"/>
                                <w:rPr>
                                  <w:rFonts w:ascii="仿宋_GB2312" w:eastAsia="仿宋_GB2312"/>
                                  <w:sz w:val="24"/>
                                </w:rPr>
                              </w:pPr>
                              <w:r>
                                <w:rPr>
                                  <w:rFonts w:hint="eastAsia" w:ascii="仿宋_GB2312" w:eastAsia="仿宋_GB2312"/>
                                  <w:sz w:val="24"/>
                                </w:rPr>
                                <w:t>自动选条装置</w:t>
                              </w:r>
                            </w:p>
                          </w:txbxContent>
                        </wps:txbx>
                        <wps:bodyPr rot="0" vert="horz" wrap="square" lIns="36000" tIns="36000" rIns="36000" bIns="36000" anchor="t" anchorCtr="0" upright="1">
                          <a:noAutofit/>
                        </wps:bodyPr>
                      </wps:wsp>
                      <wps:wsp>
                        <wps:cNvPr id="4" name="矩形 22"/>
                        <wps:cNvSpPr>
                          <a:spLocks noChangeArrowheads="1"/>
                        </wps:cNvSpPr>
                        <wps:spPr bwMode="auto">
                          <a:xfrm>
                            <a:off x="6180" y="10464"/>
                            <a:ext cx="1185" cy="308"/>
                          </a:xfrm>
                          <a:prstGeom prst="rect">
                            <a:avLst/>
                          </a:prstGeom>
                          <a:noFill/>
                          <a:ln>
                            <a:noFill/>
                          </a:ln>
                        </wps:spPr>
                        <wps:txbx>
                          <w:txbxContent>
                            <w:p w14:paraId="1AB2E78F">
                              <w:pPr>
                                <w:ind w:firstLine="120" w:firstLineChars="50"/>
                                <w:rPr>
                                  <w:rFonts w:ascii="仿宋_GB2312" w:eastAsia="仿宋_GB2312"/>
                                  <w:sz w:val="24"/>
                                </w:rPr>
                              </w:pPr>
                              <w:r>
                                <w:rPr>
                                  <w:rFonts w:hint="eastAsia" w:ascii="仿宋_GB2312" w:eastAsia="仿宋_GB2312"/>
                                  <w:sz w:val="24"/>
                                </w:rPr>
                                <w:t>控制选条</w:t>
                              </w:r>
                            </w:p>
                          </w:txbxContent>
                        </wps:txbx>
                        <wps:bodyPr rot="0" vert="horz" wrap="square" lIns="0" tIns="0" rIns="0" bIns="0" anchor="t" anchorCtr="0" upright="1">
                          <a:noAutofit/>
                        </wps:bodyPr>
                      </wps:wsp>
                      <wps:wsp>
                        <wps:cNvPr id="5" name="矩形 23"/>
                        <wps:cNvSpPr>
                          <a:spLocks noChangeArrowheads="1"/>
                        </wps:cNvSpPr>
                        <wps:spPr bwMode="auto">
                          <a:xfrm>
                            <a:off x="5946" y="11244"/>
                            <a:ext cx="1794" cy="308"/>
                          </a:xfrm>
                          <a:prstGeom prst="rect">
                            <a:avLst/>
                          </a:prstGeom>
                          <a:noFill/>
                          <a:ln>
                            <a:noFill/>
                          </a:ln>
                        </wps:spPr>
                        <wps:txbx>
                          <w:txbxContent>
                            <w:p w14:paraId="6EB2DD81">
                              <w:pPr>
                                <w:rPr>
                                  <w:rFonts w:ascii="仿宋_GB2312" w:eastAsia="仿宋_GB2312"/>
                                  <w:sz w:val="24"/>
                                </w:rPr>
                              </w:pPr>
                              <w:r>
                                <w:rPr>
                                  <w:rFonts w:hint="eastAsia" w:ascii="仿宋_GB2312" w:eastAsia="仿宋_GB2312"/>
                                  <w:sz w:val="24"/>
                                </w:rPr>
                                <w:t>控制试纸条传送</w:t>
                              </w:r>
                              <w:r>
                                <w:rPr>
                                  <w:rFonts w:ascii="仿宋_GB2312" w:eastAsia="仿宋_GB2312"/>
                                  <w:sz w:val="24"/>
                                </w:rPr>
                                <w:t xml:space="preserve">  </w:t>
                              </w:r>
                            </w:p>
                          </w:txbxContent>
                        </wps:txbx>
                        <wps:bodyPr rot="0" vert="horz" wrap="square" lIns="0" tIns="0" rIns="0" bIns="0" anchor="t" anchorCtr="0" upright="1">
                          <a:noAutofit/>
                        </wps:bodyPr>
                      </wps:wsp>
                      <wps:wsp>
                        <wps:cNvPr id="6" name="矩形 24"/>
                        <wps:cNvSpPr>
                          <a:spLocks noChangeArrowheads="1"/>
                        </wps:cNvSpPr>
                        <wps:spPr bwMode="auto">
                          <a:xfrm>
                            <a:off x="5944" y="12128"/>
                            <a:ext cx="1976" cy="308"/>
                          </a:xfrm>
                          <a:prstGeom prst="rect">
                            <a:avLst/>
                          </a:prstGeom>
                          <a:noFill/>
                          <a:ln>
                            <a:noFill/>
                          </a:ln>
                        </wps:spPr>
                        <wps:txbx>
                          <w:txbxContent>
                            <w:p w14:paraId="1AD71D04">
                              <w:pPr>
                                <w:rPr>
                                  <w:rFonts w:ascii="仿宋_GB2312" w:eastAsia="仿宋_GB2312"/>
                                  <w:sz w:val="24"/>
                                </w:rPr>
                              </w:pPr>
                              <w:r>
                                <w:rPr>
                                  <w:rFonts w:hint="eastAsia" w:ascii="仿宋_GB2312" w:eastAsia="仿宋_GB2312"/>
                                  <w:sz w:val="24"/>
                                </w:rPr>
                                <w:t>控制吸样加样清洗</w:t>
                              </w:r>
                            </w:p>
                          </w:txbxContent>
                        </wps:txbx>
                        <wps:bodyPr rot="0" vert="horz" wrap="square" lIns="0" tIns="0" rIns="0" bIns="0" anchor="t" anchorCtr="0" upright="1">
                          <a:noAutofit/>
                        </wps:bodyPr>
                      </wps:wsp>
                      <wps:wsp>
                        <wps:cNvPr id="7" name="矩形 25"/>
                        <wps:cNvSpPr>
                          <a:spLocks noChangeArrowheads="1"/>
                        </wps:cNvSpPr>
                        <wps:spPr bwMode="auto">
                          <a:xfrm>
                            <a:off x="6124" y="13044"/>
                            <a:ext cx="1590" cy="308"/>
                          </a:xfrm>
                          <a:prstGeom prst="rect">
                            <a:avLst/>
                          </a:prstGeom>
                          <a:noFill/>
                          <a:ln>
                            <a:noFill/>
                          </a:ln>
                        </wps:spPr>
                        <wps:txbx>
                          <w:txbxContent>
                            <w:p w14:paraId="6EAA3C7C">
                              <w:pPr>
                                <w:rPr>
                                  <w:rFonts w:ascii="仿宋_GB2312" w:eastAsia="仿宋_GB2312"/>
                                  <w:sz w:val="24"/>
                                </w:rPr>
                              </w:pPr>
                              <w:r>
                                <w:rPr>
                                  <w:rFonts w:hint="eastAsia" w:ascii="仿宋_GB2312" w:eastAsia="仿宋_GB2312"/>
                                  <w:sz w:val="24"/>
                                </w:rPr>
                                <w:t>控制标本供给</w:t>
                              </w:r>
                            </w:p>
                          </w:txbxContent>
                        </wps:txbx>
                        <wps:bodyPr rot="0" vert="horz" wrap="square" lIns="0" tIns="0" rIns="0" bIns="0" anchor="t" anchorCtr="0" upright="1">
                          <a:noAutofit/>
                        </wps:bodyPr>
                      </wps:wsp>
                      <wps:wsp>
                        <wps:cNvPr id="8" name="矩形 26"/>
                        <wps:cNvSpPr>
                          <a:spLocks noChangeArrowheads="1"/>
                        </wps:cNvSpPr>
                        <wps:spPr bwMode="auto">
                          <a:xfrm>
                            <a:off x="4155" y="13380"/>
                            <a:ext cx="1185" cy="308"/>
                          </a:xfrm>
                          <a:prstGeom prst="rect">
                            <a:avLst/>
                          </a:prstGeom>
                          <a:noFill/>
                          <a:ln>
                            <a:noFill/>
                          </a:ln>
                        </wps:spPr>
                        <wps:txbx>
                          <w:txbxContent>
                            <w:p w14:paraId="787AEA69">
                              <w:pPr>
                                <w:rPr>
                                  <w:rFonts w:ascii="仿宋_GB2312" w:eastAsia="仿宋_GB2312"/>
                                  <w:sz w:val="24"/>
                                </w:rPr>
                              </w:pPr>
                              <w:r>
                                <w:rPr>
                                  <w:rFonts w:ascii="仿宋_GB2312" w:eastAsia="仿宋_GB2312"/>
                                  <w:sz w:val="24"/>
                                </w:rPr>
                                <w:t xml:space="preserve">A/D </w:t>
                              </w:r>
                              <w:r>
                                <w:rPr>
                                  <w:rFonts w:hint="eastAsia" w:ascii="仿宋_GB2312" w:eastAsia="仿宋_GB2312"/>
                                  <w:sz w:val="24"/>
                                </w:rPr>
                                <w:t>转换</w:t>
                              </w:r>
                            </w:p>
                          </w:txbxContent>
                        </wps:txbx>
                        <wps:bodyPr rot="0" vert="horz" wrap="square" lIns="0" tIns="0" rIns="0" bIns="0" anchor="t" anchorCtr="0" upright="1">
                          <a:noAutofit/>
                        </wps:bodyPr>
                      </wps:wsp>
                      <wps:wsp>
                        <wps:cNvPr id="9" name="自选图形 27"/>
                        <wps:cNvCnPr>
                          <a:cxnSpLocks noChangeShapeType="1"/>
                        </wps:cNvCnPr>
                        <wps:spPr bwMode="auto">
                          <a:xfrm flipH="1">
                            <a:off x="4875" y="11687"/>
                            <a:ext cx="567" cy="0"/>
                          </a:xfrm>
                          <a:prstGeom prst="straightConnector1">
                            <a:avLst/>
                          </a:prstGeom>
                          <a:noFill/>
                          <a:ln w="9525">
                            <a:solidFill>
                              <a:srgbClr val="000000"/>
                            </a:solidFill>
                            <a:round/>
                            <a:tailEnd type="triangle" w="med" len="med"/>
                          </a:ln>
                        </wps:spPr>
                        <wps:bodyPr/>
                      </wps:wsp>
                      <wps:wsp>
                        <wps:cNvPr id="10" name="直线 28"/>
                        <wps:cNvCnPr/>
                        <wps:spPr bwMode="auto">
                          <a:xfrm>
                            <a:off x="5886" y="10864"/>
                            <a:ext cx="2041" cy="0"/>
                          </a:xfrm>
                          <a:prstGeom prst="line">
                            <a:avLst/>
                          </a:prstGeom>
                          <a:noFill/>
                          <a:ln w="9525">
                            <a:solidFill>
                              <a:srgbClr val="000000"/>
                            </a:solidFill>
                            <a:round/>
                            <a:headEnd type="triangle" w="med" len="med"/>
                            <a:tailEnd type="triangle" w="med" len="med"/>
                          </a:ln>
                        </wps:spPr>
                        <wps:bodyPr/>
                      </wps:wsp>
                      <wps:wsp>
                        <wps:cNvPr id="11" name="直线 29"/>
                        <wps:cNvCnPr/>
                        <wps:spPr bwMode="auto">
                          <a:xfrm>
                            <a:off x="5886" y="11686"/>
                            <a:ext cx="2041" cy="0"/>
                          </a:xfrm>
                          <a:prstGeom prst="line">
                            <a:avLst/>
                          </a:prstGeom>
                          <a:noFill/>
                          <a:ln w="9525">
                            <a:solidFill>
                              <a:srgbClr val="000000"/>
                            </a:solidFill>
                            <a:round/>
                            <a:headEnd type="triangle" w="med" len="med"/>
                            <a:tailEnd type="triangle" w="med" len="med"/>
                          </a:ln>
                        </wps:spPr>
                        <wps:bodyPr/>
                      </wps:wsp>
                      <wps:wsp>
                        <wps:cNvPr id="12" name="直线 30"/>
                        <wps:cNvCnPr/>
                        <wps:spPr bwMode="auto">
                          <a:xfrm>
                            <a:off x="3875" y="11244"/>
                            <a:ext cx="567" cy="0"/>
                          </a:xfrm>
                          <a:prstGeom prst="line">
                            <a:avLst/>
                          </a:prstGeom>
                          <a:noFill/>
                          <a:ln w="9525">
                            <a:solidFill>
                              <a:srgbClr val="000000"/>
                            </a:solidFill>
                            <a:round/>
                            <a:headEnd type="triangle" w="med" len="med"/>
                            <a:tailEnd type="triangle" w="med" len="med"/>
                          </a:ln>
                        </wps:spPr>
                        <wps:bodyPr/>
                      </wps:wsp>
                      <wps:wsp>
                        <wps:cNvPr id="13" name="文本框 31"/>
                        <wps:cNvSpPr txBox="1">
                          <a:spLocks noChangeArrowheads="1"/>
                        </wps:cNvSpPr>
                        <wps:spPr bwMode="auto">
                          <a:xfrm>
                            <a:off x="2159" y="11792"/>
                            <a:ext cx="1701" cy="510"/>
                          </a:xfrm>
                          <a:prstGeom prst="rect">
                            <a:avLst/>
                          </a:prstGeom>
                          <a:solidFill>
                            <a:srgbClr val="FFFFFF"/>
                          </a:solidFill>
                          <a:ln w="9525">
                            <a:solidFill>
                              <a:srgbClr val="000000"/>
                            </a:solidFill>
                            <a:miter lim="800000"/>
                          </a:ln>
                        </wps:spPr>
                        <wps:txbx>
                          <w:txbxContent>
                            <w:p w14:paraId="230CECCE">
                              <w:pPr>
                                <w:jc w:val="center"/>
                                <w:rPr>
                                  <w:rFonts w:ascii="仿宋_GB2312" w:eastAsia="仿宋_GB2312"/>
                                  <w:sz w:val="24"/>
                                </w:rPr>
                              </w:pPr>
                              <w:r>
                                <w:rPr>
                                  <w:rFonts w:hint="eastAsia" w:ascii="仿宋_GB2312" w:eastAsia="仿宋_GB2312"/>
                                  <w:sz w:val="24"/>
                                </w:rPr>
                                <w:t>打印机</w:t>
                              </w:r>
                            </w:p>
                          </w:txbxContent>
                        </wps:txbx>
                        <wps:bodyPr rot="0" vert="horz" wrap="square" lIns="36000" tIns="36000" rIns="36000" bIns="36000" anchor="t" anchorCtr="0" upright="1">
                          <a:noAutofit/>
                        </wps:bodyPr>
                      </wps:wsp>
                      <wps:wsp>
                        <wps:cNvPr id="14" name="直线 32"/>
                        <wps:cNvCnPr/>
                        <wps:spPr bwMode="auto">
                          <a:xfrm>
                            <a:off x="5871" y="12578"/>
                            <a:ext cx="2064" cy="0"/>
                          </a:xfrm>
                          <a:prstGeom prst="line">
                            <a:avLst/>
                          </a:prstGeom>
                          <a:noFill/>
                          <a:ln w="9525">
                            <a:solidFill>
                              <a:srgbClr val="000000"/>
                            </a:solidFill>
                            <a:round/>
                            <a:headEnd type="triangle" w="med" len="med"/>
                            <a:tailEnd type="triangle" w="med" len="med"/>
                          </a:ln>
                        </wps:spPr>
                        <wps:bodyPr/>
                      </wps:wsp>
                      <wps:wsp>
                        <wps:cNvPr id="15" name="文本框 33"/>
                        <wps:cNvSpPr txBox="1">
                          <a:spLocks noChangeArrowheads="1"/>
                        </wps:cNvSpPr>
                        <wps:spPr bwMode="auto">
                          <a:xfrm>
                            <a:off x="2165" y="11012"/>
                            <a:ext cx="1701" cy="510"/>
                          </a:xfrm>
                          <a:prstGeom prst="rect">
                            <a:avLst/>
                          </a:prstGeom>
                          <a:solidFill>
                            <a:srgbClr val="FFFFFF"/>
                          </a:solidFill>
                          <a:ln w="9525">
                            <a:solidFill>
                              <a:srgbClr val="000000"/>
                            </a:solidFill>
                            <a:miter lim="800000"/>
                          </a:ln>
                        </wps:spPr>
                        <wps:txbx>
                          <w:txbxContent>
                            <w:p w14:paraId="19A30F11">
                              <w:pPr>
                                <w:ind w:firstLine="480" w:firstLineChars="200"/>
                                <w:rPr>
                                  <w:sz w:val="24"/>
                                </w:rPr>
                              </w:pPr>
                              <w:r>
                                <w:rPr>
                                  <w:rFonts w:hint="eastAsia" w:ascii="仿宋_GB2312" w:eastAsia="仿宋_GB2312"/>
                                  <w:sz w:val="24"/>
                                </w:rPr>
                                <w:t>显示器</w:t>
                              </w:r>
                            </w:p>
                          </w:txbxContent>
                        </wps:txbx>
                        <wps:bodyPr rot="0" vert="horz" wrap="square" lIns="36000" tIns="36000" rIns="36000" bIns="36000" anchor="t" anchorCtr="0" upright="1">
                          <a:noAutofit/>
                        </wps:bodyPr>
                      </wps:wsp>
                      <wps:wsp>
                        <wps:cNvPr id="16" name="文本框 34"/>
                        <wps:cNvSpPr txBox="1">
                          <a:spLocks noChangeArrowheads="1"/>
                        </wps:cNvSpPr>
                        <wps:spPr bwMode="auto">
                          <a:xfrm>
                            <a:off x="2155" y="13494"/>
                            <a:ext cx="1701" cy="510"/>
                          </a:xfrm>
                          <a:prstGeom prst="rect">
                            <a:avLst/>
                          </a:prstGeom>
                          <a:solidFill>
                            <a:srgbClr val="FFFFFF"/>
                          </a:solidFill>
                          <a:ln w="9525">
                            <a:solidFill>
                              <a:srgbClr val="000000"/>
                            </a:solidFill>
                            <a:miter lim="800000"/>
                          </a:ln>
                        </wps:spPr>
                        <wps:txbx>
                          <w:txbxContent>
                            <w:p w14:paraId="697C474F">
                              <w:pPr>
                                <w:jc w:val="center"/>
                                <w:rPr>
                                  <w:rFonts w:ascii="仿宋_GB2312" w:eastAsia="仿宋_GB2312"/>
                                  <w:sz w:val="24"/>
                                </w:rPr>
                              </w:pPr>
                              <w:r>
                                <w:rPr>
                                  <w:rFonts w:hint="eastAsia" w:ascii="仿宋_GB2312" w:eastAsia="仿宋_GB2312"/>
                                  <w:sz w:val="24"/>
                                </w:rPr>
                                <w:t>光学系统</w:t>
                              </w:r>
                            </w:p>
                          </w:txbxContent>
                        </wps:txbx>
                        <wps:bodyPr rot="0" vert="horz" wrap="square" lIns="36000" tIns="36000" rIns="36000" bIns="36000" anchor="t" anchorCtr="0" upright="1">
                          <a:noAutofit/>
                        </wps:bodyPr>
                      </wps:wsp>
                      <wps:wsp>
                        <wps:cNvPr id="17" name="文本框 35"/>
                        <wps:cNvSpPr txBox="1">
                          <a:spLocks noChangeArrowheads="1"/>
                        </wps:cNvSpPr>
                        <wps:spPr bwMode="auto">
                          <a:xfrm>
                            <a:off x="7920" y="12317"/>
                            <a:ext cx="1871" cy="510"/>
                          </a:xfrm>
                          <a:prstGeom prst="rect">
                            <a:avLst/>
                          </a:prstGeom>
                          <a:solidFill>
                            <a:srgbClr val="FFFFFF"/>
                          </a:solidFill>
                          <a:ln w="9525">
                            <a:solidFill>
                              <a:srgbClr val="000000"/>
                            </a:solidFill>
                            <a:miter lim="800000"/>
                          </a:ln>
                        </wps:spPr>
                        <wps:txbx>
                          <w:txbxContent>
                            <w:p w14:paraId="2C4EAB3E">
                              <w:pPr>
                                <w:jc w:val="center"/>
                                <w:rPr>
                                  <w:rFonts w:ascii="仿宋_GB2312" w:eastAsia="仿宋_GB2312"/>
                                  <w:sz w:val="24"/>
                                </w:rPr>
                              </w:pPr>
                              <w:r>
                                <w:rPr>
                                  <w:rFonts w:hint="eastAsia" w:ascii="仿宋_GB2312" w:eastAsia="仿宋_GB2312"/>
                                  <w:sz w:val="24"/>
                                </w:rPr>
                                <w:t>液路装置</w:t>
                              </w:r>
                            </w:p>
                          </w:txbxContent>
                        </wps:txbx>
                        <wps:bodyPr rot="0" vert="horz" wrap="square" lIns="36000" tIns="36000" rIns="36000" bIns="36000" anchor="t" anchorCtr="0" upright="1">
                          <a:noAutofit/>
                        </wps:bodyPr>
                      </wps:wsp>
                      <wps:wsp>
                        <wps:cNvPr id="18" name="文本框 36"/>
                        <wps:cNvSpPr txBox="1">
                          <a:spLocks noChangeArrowheads="1"/>
                        </wps:cNvSpPr>
                        <wps:spPr bwMode="auto">
                          <a:xfrm>
                            <a:off x="7879" y="13223"/>
                            <a:ext cx="1871" cy="510"/>
                          </a:xfrm>
                          <a:prstGeom prst="rect">
                            <a:avLst/>
                          </a:prstGeom>
                          <a:solidFill>
                            <a:srgbClr val="FFFFFF"/>
                          </a:solidFill>
                          <a:ln w="9525">
                            <a:solidFill>
                              <a:srgbClr val="000000"/>
                            </a:solidFill>
                            <a:miter lim="800000"/>
                          </a:ln>
                        </wps:spPr>
                        <wps:txbx>
                          <w:txbxContent>
                            <w:p w14:paraId="2B539D0F">
                              <w:pPr>
                                <w:jc w:val="center"/>
                                <w:rPr>
                                  <w:rFonts w:ascii="仿宋_GB2312" w:eastAsia="仿宋_GB2312"/>
                                  <w:sz w:val="24"/>
                                </w:rPr>
                              </w:pPr>
                              <w:r>
                                <w:rPr>
                                  <w:rFonts w:hint="eastAsia" w:ascii="仿宋_GB2312" w:eastAsia="仿宋_GB2312"/>
                                  <w:sz w:val="24"/>
                                </w:rPr>
                                <w:t>自动进样装置</w:t>
                              </w:r>
                            </w:p>
                          </w:txbxContent>
                        </wps:txbx>
                        <wps:bodyPr rot="0" vert="horz" wrap="square" lIns="36000" tIns="36000" rIns="36000" bIns="36000" anchor="t" anchorCtr="0" upright="1">
                          <a:noAutofit/>
                        </wps:bodyPr>
                      </wps:wsp>
                      <wps:wsp>
                        <wps:cNvPr id="19" name="文本框 37"/>
                        <wps:cNvSpPr txBox="1">
                          <a:spLocks noChangeArrowheads="1"/>
                        </wps:cNvSpPr>
                        <wps:spPr bwMode="auto">
                          <a:xfrm>
                            <a:off x="5468" y="10472"/>
                            <a:ext cx="397" cy="3402"/>
                          </a:xfrm>
                          <a:prstGeom prst="rect">
                            <a:avLst/>
                          </a:prstGeom>
                          <a:solidFill>
                            <a:srgbClr val="FFFFFF"/>
                          </a:solidFill>
                          <a:ln w="9525">
                            <a:solidFill>
                              <a:srgbClr val="000000"/>
                            </a:solidFill>
                            <a:miter lim="800000"/>
                          </a:ln>
                        </wps:spPr>
                        <wps:txbx>
                          <w:txbxContent>
                            <w:p w14:paraId="0C558B0A"/>
                            <w:p w14:paraId="48C3A333"/>
                            <w:p w14:paraId="1458A795">
                              <w:pPr>
                                <w:rPr>
                                  <w:rFonts w:ascii="仿宋_GB2312" w:eastAsia="仿宋_GB2312"/>
                                  <w:sz w:val="24"/>
                                </w:rPr>
                              </w:pPr>
                              <w:r>
                                <w:rPr>
                                  <w:rFonts w:hint="eastAsia" w:ascii="仿宋_GB2312" w:eastAsia="仿宋_GB2312"/>
                                  <w:sz w:val="24"/>
                                </w:rPr>
                                <w:t>中央处理器</w:t>
                              </w:r>
                            </w:p>
                          </w:txbxContent>
                        </wps:txbx>
                        <wps:bodyPr rot="0" vert="horz" wrap="square" lIns="36000" tIns="36000" rIns="36000" bIns="36000" anchor="t" anchorCtr="0" upright="1">
                          <a:noAutofit/>
                        </wps:bodyPr>
                      </wps:wsp>
                      <wps:wsp>
                        <wps:cNvPr id="20" name="直线 38"/>
                        <wps:cNvCnPr/>
                        <wps:spPr bwMode="auto">
                          <a:xfrm>
                            <a:off x="5886" y="13463"/>
                            <a:ext cx="1984" cy="0"/>
                          </a:xfrm>
                          <a:prstGeom prst="line">
                            <a:avLst/>
                          </a:prstGeom>
                          <a:noFill/>
                          <a:ln w="9525">
                            <a:solidFill>
                              <a:srgbClr val="000000"/>
                            </a:solidFill>
                            <a:round/>
                            <a:headEnd type="triangle" w="med" len="med"/>
                            <a:tailEnd type="triangle" w="med" len="med"/>
                          </a:ln>
                        </wps:spPr>
                        <wps:bodyPr/>
                      </wps:wsp>
                      <wps:wsp>
                        <wps:cNvPr id="21" name="文本框 39"/>
                        <wps:cNvSpPr txBox="1">
                          <a:spLocks noChangeArrowheads="1"/>
                        </wps:cNvSpPr>
                        <wps:spPr bwMode="auto">
                          <a:xfrm>
                            <a:off x="7924" y="11446"/>
                            <a:ext cx="1871" cy="510"/>
                          </a:xfrm>
                          <a:prstGeom prst="rect">
                            <a:avLst/>
                          </a:prstGeom>
                          <a:solidFill>
                            <a:srgbClr val="FFFFFF"/>
                          </a:solidFill>
                          <a:ln w="9525">
                            <a:solidFill>
                              <a:srgbClr val="000000"/>
                            </a:solidFill>
                            <a:miter lim="800000"/>
                          </a:ln>
                        </wps:spPr>
                        <wps:txbx>
                          <w:txbxContent>
                            <w:p w14:paraId="31E73DCC">
                              <w:pPr>
                                <w:jc w:val="center"/>
                                <w:rPr>
                                  <w:rFonts w:ascii="仿宋_GB2312" w:eastAsia="仿宋_GB2312"/>
                                  <w:sz w:val="24"/>
                                </w:rPr>
                              </w:pPr>
                              <w:r>
                                <w:rPr>
                                  <w:rFonts w:hint="eastAsia" w:ascii="仿宋_GB2312" w:eastAsia="仿宋_GB2312"/>
                                  <w:sz w:val="24"/>
                                </w:rPr>
                                <w:t>试纸条传送装置</w:t>
                              </w:r>
                            </w:p>
                          </w:txbxContent>
                        </wps:txbx>
                        <wps:bodyPr rot="0" vert="horz" wrap="square" lIns="36000" tIns="36000" rIns="36000" bIns="36000" anchor="t" anchorCtr="0" upright="1">
                          <a:noAutofit/>
                        </wps:bodyPr>
                      </wps:wsp>
                      <wps:wsp>
                        <wps:cNvPr id="22" name="直线 40"/>
                        <wps:cNvCnPr/>
                        <wps:spPr bwMode="auto">
                          <a:xfrm>
                            <a:off x="3878" y="13733"/>
                            <a:ext cx="1590" cy="0"/>
                          </a:xfrm>
                          <a:prstGeom prst="line">
                            <a:avLst/>
                          </a:prstGeom>
                          <a:noFill/>
                          <a:ln w="9525">
                            <a:solidFill>
                              <a:srgbClr val="000000"/>
                            </a:solidFill>
                            <a:round/>
                            <a:headEnd type="triangle" w="med" len="med"/>
                            <a:tailEnd type="triangle" w="med" len="med"/>
                          </a:ln>
                        </wps:spPr>
                        <wps:bodyPr/>
                      </wps:wsp>
                      <wps:wsp>
                        <wps:cNvPr id="23" name="自选图形 42"/>
                        <wps:cNvCnPr>
                          <a:cxnSpLocks noChangeShapeType="1"/>
                        </wps:cNvCnPr>
                        <wps:spPr bwMode="auto">
                          <a:xfrm flipH="1">
                            <a:off x="3875" y="12031"/>
                            <a:ext cx="567" cy="1"/>
                          </a:xfrm>
                          <a:prstGeom prst="straightConnector1">
                            <a:avLst/>
                          </a:prstGeom>
                          <a:noFill/>
                          <a:ln w="9525">
                            <a:solidFill>
                              <a:srgbClr val="000000"/>
                            </a:solidFill>
                            <a:round/>
                            <a:tailEnd type="triangle" w="med" len="med"/>
                          </a:ln>
                        </wps:spPr>
                        <wps:bodyPr/>
                      </wps:wsp>
                      <wps:wsp>
                        <wps:cNvPr id="24" name="文本框 43"/>
                        <wps:cNvSpPr txBox="1">
                          <a:spLocks noChangeArrowheads="1"/>
                        </wps:cNvSpPr>
                        <wps:spPr bwMode="auto">
                          <a:xfrm>
                            <a:off x="2147" y="12758"/>
                            <a:ext cx="1701" cy="510"/>
                          </a:xfrm>
                          <a:prstGeom prst="rect">
                            <a:avLst/>
                          </a:prstGeom>
                          <a:solidFill>
                            <a:srgbClr val="FFFFFF"/>
                          </a:solidFill>
                          <a:ln w="9525">
                            <a:solidFill>
                              <a:srgbClr val="000000"/>
                            </a:solidFill>
                            <a:miter lim="800000"/>
                          </a:ln>
                        </wps:spPr>
                        <wps:txbx>
                          <w:txbxContent>
                            <w:p w14:paraId="54DE668B">
                              <w:pPr>
                                <w:jc w:val="center"/>
                                <w:rPr>
                                  <w:rFonts w:ascii="仿宋_GB2312" w:eastAsia="仿宋_GB2312"/>
                                  <w:sz w:val="24"/>
                                </w:rPr>
                              </w:pPr>
                              <w:r>
                                <w:rPr>
                                  <w:rFonts w:hint="eastAsia" w:ascii="仿宋_GB2312" w:eastAsia="仿宋_GB2312"/>
                                  <w:sz w:val="24"/>
                                </w:rPr>
                                <w:t>废料收集装置</w:t>
                              </w:r>
                            </w:p>
                          </w:txbxContent>
                        </wps:txbx>
                        <wps:bodyPr rot="0" vert="horz" wrap="square" lIns="36000" tIns="36000" rIns="36000" bIns="36000" anchor="t" anchorCtr="0" upright="1">
                          <a:noAutofit/>
                        </wps:bodyPr>
                      </wps:wsp>
                      <wps:wsp>
                        <wps:cNvPr id="25" name="直线 44"/>
                        <wps:cNvCnPr/>
                        <wps:spPr bwMode="auto">
                          <a:xfrm>
                            <a:off x="3878" y="13028"/>
                            <a:ext cx="1590" cy="0"/>
                          </a:xfrm>
                          <a:prstGeom prst="line">
                            <a:avLst/>
                          </a:prstGeom>
                          <a:noFill/>
                          <a:ln w="9525">
                            <a:solidFill>
                              <a:srgbClr val="000000"/>
                            </a:solidFill>
                            <a:round/>
                            <a:headEnd type="triangle" w="med" len="med"/>
                            <a:tailEnd type="triangle" w="med" len="med"/>
                          </a:ln>
                        </wps:spPr>
                        <wps:bodyPr/>
                      </wps:wsp>
                    </wpg:wgp>
                  </a:graphicData>
                </a:graphic>
              </wp:anchor>
            </w:drawing>
          </mc:Choice>
          <mc:Fallback>
            <w:pict>
              <v:group id="_x0000_s1026" o:spid="_x0000_s1026" o:spt="203" style="position:absolute;left:0pt;margin-left:36.45pt;margin-top:14.4pt;height:177.2pt;width:382.4pt;z-index:251660288;mso-width-relative:page;mso-height-relative:page;" coordorigin="2147,10460" coordsize="7648,3544" o:gfxdata="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">
                <o:lock v:ext="edit" aspectratio="f"/>
                <v:shape id="文本框 20" o:spid="_x0000_s1026" o:spt="202" type="#_x0000_t202" style="position:absolute;left:4473;top:10460;height:2418;width:397;" fillcolor="#FFFFFF" filled="t" stroked="t" coordsize="21600,21600" o:gfxdata="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A2TVr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inset="1mm,1mm,1mm,1mm">
                    <w:txbxContent>
                      <w:p w14:paraId="2B7B240F">
                        <w:pPr>
                          <w:rPr>
                            <w:rFonts w:ascii="仿宋_GB2312" w:eastAsia="仿宋_GB2312"/>
                            <w:sz w:val="24"/>
                          </w:rPr>
                        </w:pPr>
                        <w:r>
                          <w:rPr>
                            <w:rFonts w:hint="eastAsia" w:ascii="仿宋_GB2312" w:eastAsia="仿宋_GB2312"/>
                            <w:sz w:val="24"/>
                          </w:rPr>
                          <w:t>分析处理软件</w:t>
                        </w:r>
                      </w:p>
                    </w:txbxContent>
                  </v:textbox>
                </v:shape>
                <v:shape id="文本框 21" o:spid="_x0000_s1026" o:spt="202" type="#_x0000_t202" style="position:absolute;left:7924;top:10582;height:510;width:1871;" fillcolor="#FFFFFF" filled="t" stroked="t" coordsize="21600,21600" o:gfxdata="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dBNs28AAAA&#10;2g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163145B2">
                        <w:pPr>
                          <w:jc w:val="center"/>
                          <w:rPr>
                            <w:rFonts w:ascii="仿宋_GB2312" w:eastAsia="仿宋_GB2312"/>
                            <w:sz w:val="24"/>
                          </w:rPr>
                        </w:pPr>
                        <w:r>
                          <w:rPr>
                            <w:rFonts w:hint="eastAsia" w:ascii="仿宋_GB2312" w:eastAsia="仿宋_GB2312"/>
                            <w:sz w:val="24"/>
                          </w:rPr>
                          <w:t>自动选条装置</w:t>
                        </w:r>
                      </w:p>
                    </w:txbxContent>
                  </v:textbox>
                </v:shape>
                <v:rect id="矩形 22" o:spid="_x0000_s1026" o:spt="1" style="position:absolute;left:6180;top:10464;height:308;width:1185;" filled="f" stroked="f" coordsize="21600,21600" o:gfxdata="UEsDBAoAAAAAAIdO4kAAAAAAAAAAAAAAAAAEAAAAZHJzL1BLAwQUAAAACACHTuJADxz5Cr0AAADa&#10;AAAADwAAAGRycy9kb3ducmV2LnhtbEWPT4vCMBTE78J+h/AWvGmqLK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HPkK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AB2E78F">
                        <w:pPr>
                          <w:ind w:firstLine="120" w:firstLineChars="50"/>
                          <w:rPr>
                            <w:rFonts w:ascii="仿宋_GB2312" w:eastAsia="仿宋_GB2312"/>
                            <w:sz w:val="24"/>
                          </w:rPr>
                        </w:pPr>
                        <w:r>
                          <w:rPr>
                            <w:rFonts w:hint="eastAsia" w:ascii="仿宋_GB2312" w:eastAsia="仿宋_GB2312"/>
                            <w:sz w:val="24"/>
                          </w:rPr>
                          <w:t>控制选条</w:t>
                        </w:r>
                      </w:p>
                    </w:txbxContent>
                  </v:textbox>
                </v:rect>
                <v:rect id="矩形 23" o:spid="_x0000_s1026" o:spt="1" style="position:absolute;left:5946;top:11244;height:308;width:1794;" filled="f" stroked="f" coordsize="21600,21600" o:gfxdata="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FyR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EB2DD81">
                        <w:pPr>
                          <w:rPr>
                            <w:rFonts w:ascii="仿宋_GB2312" w:eastAsia="仿宋_GB2312"/>
                            <w:sz w:val="24"/>
                          </w:rPr>
                        </w:pPr>
                        <w:r>
                          <w:rPr>
                            <w:rFonts w:hint="eastAsia" w:ascii="仿宋_GB2312" w:eastAsia="仿宋_GB2312"/>
                            <w:sz w:val="24"/>
                          </w:rPr>
                          <w:t>控制试纸条传送</w:t>
                        </w:r>
                        <w:r>
                          <w:rPr>
                            <w:rFonts w:ascii="仿宋_GB2312" w:eastAsia="仿宋_GB2312"/>
                            <w:sz w:val="24"/>
                          </w:rPr>
                          <w:t xml:space="preserve">  </w:t>
                        </w:r>
                      </w:p>
                    </w:txbxContent>
                  </v:textbox>
                </v:rect>
                <v:rect id="矩形 24" o:spid="_x0000_s1026" o:spt="1" style="position:absolute;left:5944;top:12128;height:308;width:1976;" filled="f" stroked="f" coordsize="21600,21600" o:gfxdata="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LC5r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AD71D04">
                        <w:pPr>
                          <w:rPr>
                            <w:rFonts w:ascii="仿宋_GB2312" w:eastAsia="仿宋_GB2312"/>
                            <w:sz w:val="24"/>
                          </w:rPr>
                        </w:pPr>
                        <w:r>
                          <w:rPr>
                            <w:rFonts w:hint="eastAsia" w:ascii="仿宋_GB2312" w:eastAsia="仿宋_GB2312"/>
                            <w:sz w:val="24"/>
                          </w:rPr>
                          <w:t>控制吸样加样清洗</w:t>
                        </w:r>
                      </w:p>
                    </w:txbxContent>
                  </v:textbox>
                </v:rect>
                <v:rect id="矩形 25" o:spid="_x0000_s1026" o:spt="1" style="position:absolute;left:6124;top:13044;height:308;width:1590;" filled="f" stroked="f" coordsize="21600,21600" o:gfxdata="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md9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EAA3C7C">
                        <w:pPr>
                          <w:rPr>
                            <w:rFonts w:ascii="仿宋_GB2312" w:eastAsia="仿宋_GB2312"/>
                            <w:sz w:val="24"/>
                          </w:rPr>
                        </w:pPr>
                        <w:r>
                          <w:rPr>
                            <w:rFonts w:hint="eastAsia" w:ascii="仿宋_GB2312" w:eastAsia="仿宋_GB2312"/>
                            <w:sz w:val="24"/>
                          </w:rPr>
                          <w:t>控制标本供给</w:t>
                        </w:r>
                      </w:p>
                    </w:txbxContent>
                  </v:textbox>
                </v:rect>
                <v:rect id="矩形 26" o:spid="_x0000_s1026" o:spt="1" style="position:absolute;left:4155;top:13380;height:308;width:1185;" filled="f" stroked="f" coordsize="21600,21600" o:gfxdata="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5R8w+2AAAA2gAAAA8A&#10;AAAAAAAAAQAgAAAAIgAAAGRycy9kb3ducmV2LnhtbFBLAQIUABQAAAAIAIdO4kAzLwWeOwAAADkA&#10;AAAQAAAAAAAAAAEAIAAAAAUBAABkcnMvc2hhcGV4bWwueG1sUEsFBgAAAAAGAAYAWwEAAK8DAAAA&#10;AA==&#10;">
                  <v:fill on="f" focussize="0,0"/>
                  <v:stroke on="f"/>
                  <v:imagedata o:title=""/>
                  <o:lock v:ext="edit" aspectratio="f"/>
                  <v:textbox inset="0mm,0mm,0mm,0mm">
                    <w:txbxContent>
                      <w:p w14:paraId="787AEA69">
                        <w:pPr>
                          <w:rPr>
                            <w:rFonts w:ascii="仿宋_GB2312" w:eastAsia="仿宋_GB2312"/>
                            <w:sz w:val="24"/>
                          </w:rPr>
                        </w:pPr>
                        <w:r>
                          <w:rPr>
                            <w:rFonts w:ascii="仿宋_GB2312" w:eastAsia="仿宋_GB2312"/>
                            <w:sz w:val="24"/>
                          </w:rPr>
                          <w:t xml:space="preserve">A/D </w:t>
                        </w:r>
                        <w:r>
                          <w:rPr>
                            <w:rFonts w:hint="eastAsia" w:ascii="仿宋_GB2312" w:eastAsia="仿宋_GB2312"/>
                            <w:sz w:val="24"/>
                          </w:rPr>
                          <w:t>转换</w:t>
                        </w:r>
                      </w:p>
                    </w:txbxContent>
                  </v:textbox>
                </v:rect>
                <v:shape id="自选图形 27" o:spid="_x0000_s1026" o:spt="32" type="#_x0000_t32" style="position:absolute;left:4875;top:11687;flip:x;height:0;width:567;" filled="f" stroked="t" coordsize="21600,21600" o:gfxdata="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qbKV7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line id="直线 28" o:spid="_x0000_s1026" o:spt="20" style="position:absolute;left:5886;top:10864;height:0;width:2041;" filled="f" stroked="t" coordsize="21600,21600" o:gfxdata="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T2Enb4A&#10;AADbAAAADwAAAAAAAAABACAAAAAiAAAAZHJzL2Rvd25yZXYueG1sUEsBAhQAFAAAAAgAh07iQDMv&#10;BZ47AAAAOQAAABAAAAAAAAAAAQAgAAAADQEAAGRycy9zaGFwZXhtbC54bWxQSwUGAAAAAAYABgBb&#10;AQAAtwMAAAAA&#10;">
                  <v:fill on="f" focussize="0,0"/>
                  <v:stroke color="#000000" joinstyle="round" startarrow="block" endarrow="block"/>
                  <v:imagedata o:title=""/>
                  <o:lock v:ext="edit" aspectratio="f"/>
                </v:line>
                <v:line id="直线 29" o:spid="_x0000_s1026" o:spt="20" style="position:absolute;left:5886;top:11686;height:0;width:2041;" filled="f" stroked="t" coordsize="21600,21600" o:gfxdata="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nEhBrsAAADb&#10;AAAADwAAAAAAAAABACAAAAAiAAAAZHJzL2Rvd25yZXYueG1sUEsBAhQAFAAAAAgAh07iQDMvBZ47&#10;AAAAOQAAABAAAAAAAAAAAQAgAAAACgEAAGRycy9zaGFwZXhtbC54bWxQSwUGAAAAAAYABgBbAQAA&#10;tAMAAAAA&#10;">
                  <v:fill on="f" focussize="0,0"/>
                  <v:stroke color="#000000" joinstyle="round" startarrow="block" endarrow="block"/>
                  <v:imagedata o:title=""/>
                  <o:lock v:ext="edit" aspectratio="f"/>
                </v:line>
                <v:line id="直线 30" o:spid="_x0000_s1026" o:spt="20" style="position:absolute;left:3875;top:11244;height:0;width:567;" filled="f" stroked="t" coordsize="21600,21600" o:gfxdata="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o79xtwAAANsAAAAP&#10;AAAAAAAAAAEAIAAAACIAAABkcnMvZG93bnJldi54bWxQSwECFAAUAAAACACHTuJAMy8FnjsAAAA5&#10;AAAAEAAAAAAAAAABACAAAAAGAQAAZHJzL3NoYXBleG1sLnhtbFBLBQYAAAAABgAGAFsBAACwAwAA&#10;AAA=&#10;">
                  <v:fill on="f" focussize="0,0"/>
                  <v:stroke color="#000000" joinstyle="round" startarrow="block" endarrow="block"/>
                  <v:imagedata o:title=""/>
                  <o:lock v:ext="edit" aspectratio="f"/>
                </v:line>
                <v:shape id="文本框 31" o:spid="_x0000_s1026" o:spt="202" type="#_x0000_t202" style="position:absolute;left:2159;top:11792;height:510;width:1701;" fillcolor="#FFFFFF" filled="t" stroked="t" coordsize="21600,21600" o:gfxdata="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7zHA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1mm,1mm,1mm,1mm">
                    <w:txbxContent>
                      <w:p w14:paraId="230CECCE">
                        <w:pPr>
                          <w:jc w:val="center"/>
                          <w:rPr>
                            <w:rFonts w:ascii="仿宋_GB2312" w:eastAsia="仿宋_GB2312"/>
                            <w:sz w:val="24"/>
                          </w:rPr>
                        </w:pPr>
                        <w:r>
                          <w:rPr>
                            <w:rFonts w:hint="eastAsia" w:ascii="仿宋_GB2312" w:eastAsia="仿宋_GB2312"/>
                            <w:sz w:val="24"/>
                          </w:rPr>
                          <w:t>打印机</w:t>
                        </w:r>
                      </w:p>
                    </w:txbxContent>
                  </v:textbox>
                </v:shape>
                <v:line id="直线 32" o:spid="_x0000_s1026" o:spt="20" style="position:absolute;left:5871;top:12578;height:0;width:2064;" filled="f" stroked="t" coordsize="21600,21600" o:gfxdata="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gaCnrsAAADb&#10;AAAADwAAAAAAAAABACAAAAAiAAAAZHJzL2Rvd25yZXYueG1sUEsBAhQAFAAAAAgAh07iQDMvBZ47&#10;AAAAOQAAABAAAAAAAAAAAQAgAAAACgEAAGRycy9zaGFwZXhtbC54bWxQSwUGAAAAAAYABgBbAQAA&#10;tAMAAAAA&#10;">
                  <v:fill on="f" focussize="0,0"/>
                  <v:stroke color="#000000" joinstyle="round" startarrow="block" endarrow="block"/>
                  <v:imagedata o:title=""/>
                  <o:lock v:ext="edit" aspectratio="f"/>
                </v:line>
                <v:shape id="文本框 33" o:spid="_x0000_s1026" o:spt="202" type="#_x0000_t202" style="position:absolute;left:2165;top:11012;height:510;width:1701;" fillcolor="#FFFFFF" filled="t" stroked="t" coordsize="21600,21600" o:gfxdata="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Sgwv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1mm,1mm,1mm,1mm">
                    <w:txbxContent>
                      <w:p w14:paraId="19A30F11">
                        <w:pPr>
                          <w:ind w:firstLine="480" w:firstLineChars="200"/>
                          <w:rPr>
                            <w:sz w:val="24"/>
                          </w:rPr>
                        </w:pPr>
                        <w:r>
                          <w:rPr>
                            <w:rFonts w:hint="eastAsia" w:ascii="仿宋_GB2312" w:eastAsia="仿宋_GB2312"/>
                            <w:sz w:val="24"/>
                          </w:rPr>
                          <w:t>显示器</w:t>
                        </w:r>
                      </w:p>
                    </w:txbxContent>
                  </v:textbox>
                </v:shape>
                <v:shape id="文本框 34" o:spid="_x0000_s1026" o:spt="202" type="#_x0000_t202" style="position:absolute;left:2155;top:13494;height:510;width:1701;" fillcolor="#FFFFFF" filled="t" stroked="t" coordsize="21600,21600" o:gfxdata="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Ykli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697C474F">
                        <w:pPr>
                          <w:jc w:val="center"/>
                          <w:rPr>
                            <w:rFonts w:ascii="仿宋_GB2312" w:eastAsia="仿宋_GB2312"/>
                            <w:sz w:val="24"/>
                          </w:rPr>
                        </w:pPr>
                        <w:r>
                          <w:rPr>
                            <w:rFonts w:hint="eastAsia" w:ascii="仿宋_GB2312" w:eastAsia="仿宋_GB2312"/>
                            <w:sz w:val="24"/>
                          </w:rPr>
                          <w:t>光学系统</w:t>
                        </w:r>
                      </w:p>
                    </w:txbxContent>
                  </v:textbox>
                </v:shape>
                <v:shape id="文本框 35" o:spid="_x0000_s1026" o:spt="202" type="#_x0000_t202" style="position:absolute;left:7920;top:12317;height:510;width:1871;" fillcolor="#FFFFFF" filled="t" stroked="t" coordsize="21600,21600" o:gfxdata="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1DfD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inset="1mm,1mm,1mm,1mm">
                    <w:txbxContent>
                      <w:p w14:paraId="2C4EAB3E">
                        <w:pPr>
                          <w:jc w:val="center"/>
                          <w:rPr>
                            <w:rFonts w:ascii="仿宋_GB2312" w:eastAsia="仿宋_GB2312"/>
                            <w:sz w:val="24"/>
                          </w:rPr>
                        </w:pPr>
                        <w:r>
                          <w:rPr>
                            <w:rFonts w:hint="eastAsia" w:ascii="仿宋_GB2312" w:eastAsia="仿宋_GB2312"/>
                            <w:sz w:val="24"/>
                          </w:rPr>
                          <w:t>液路装置</w:t>
                        </w:r>
                      </w:p>
                    </w:txbxContent>
                  </v:textbox>
                </v:shape>
                <v:shape id="文本框 36" o:spid="_x0000_s1026" o:spt="202" type="#_x0000_t202" style="position:absolute;left:7879;top:13223;height:510;width:1871;" fillcolor="#FFFFFF" filled="t" stroked="t" coordsize="21600,21600" o:gfxdata="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hLo7G/&#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2B539D0F">
                        <w:pPr>
                          <w:jc w:val="center"/>
                          <w:rPr>
                            <w:rFonts w:ascii="仿宋_GB2312" w:eastAsia="仿宋_GB2312"/>
                            <w:sz w:val="24"/>
                          </w:rPr>
                        </w:pPr>
                        <w:r>
                          <w:rPr>
                            <w:rFonts w:hint="eastAsia" w:ascii="仿宋_GB2312" w:eastAsia="仿宋_GB2312"/>
                            <w:sz w:val="24"/>
                          </w:rPr>
                          <w:t>自动进样装置</w:t>
                        </w:r>
                      </w:p>
                    </w:txbxContent>
                  </v:textbox>
                </v:shape>
                <v:shape id="文本框 37" o:spid="_x0000_s1026" o:spt="202" type="#_x0000_t202" style="position:absolute;left:5468;top:10472;height:3402;width:397;" fillcolor="#FFFFFF" filled="t" stroked="t" coordsize="21600,21600" o:gfxdata="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HBiq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0C558B0A"/>
                      <w:p w14:paraId="48C3A333"/>
                      <w:p w14:paraId="1458A795">
                        <w:pPr>
                          <w:rPr>
                            <w:rFonts w:ascii="仿宋_GB2312" w:eastAsia="仿宋_GB2312"/>
                            <w:sz w:val="24"/>
                          </w:rPr>
                        </w:pPr>
                        <w:r>
                          <w:rPr>
                            <w:rFonts w:hint="eastAsia" w:ascii="仿宋_GB2312" w:eastAsia="仿宋_GB2312"/>
                            <w:sz w:val="24"/>
                          </w:rPr>
                          <w:t>中央处理器</w:t>
                        </w:r>
                      </w:p>
                    </w:txbxContent>
                  </v:textbox>
                </v:shape>
                <v:line id="直线 38" o:spid="_x0000_s1026" o:spt="20" style="position:absolute;left:5886;top:13463;height:0;width:1984;" filled="f" stroked="t" coordsize="21600,21600" o:gfxdata="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jUU4gtwAAANsAAAAP&#10;AAAAAAAAAAEAIAAAACIAAABkcnMvZG93bnJldi54bWxQSwECFAAUAAAACACHTuJAMy8FnjsAAAA5&#10;AAAAEAAAAAAAAAABACAAAAAGAQAAZHJzL3NoYXBleG1sLnhtbFBLBQYAAAAABgAGAFsBAACwAwAA&#10;AAA=&#10;">
                  <v:fill on="f" focussize="0,0"/>
                  <v:stroke color="#000000" joinstyle="round" startarrow="block" endarrow="block"/>
                  <v:imagedata o:title=""/>
                  <o:lock v:ext="edit" aspectratio="f"/>
                </v:line>
                <v:shape id="文本框 39" o:spid="_x0000_s1026" o:spt="202" type="#_x0000_t202" style="position:absolute;left:7924;top:11446;height:510;width:1871;" fillcolor="#FFFFFF" filled="t" stroked="t" coordsize="21600,21600" o:gfxdata="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dwJG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inset="1mm,1mm,1mm,1mm">
                    <w:txbxContent>
                      <w:p w14:paraId="31E73DCC">
                        <w:pPr>
                          <w:jc w:val="center"/>
                          <w:rPr>
                            <w:rFonts w:ascii="仿宋_GB2312" w:eastAsia="仿宋_GB2312"/>
                            <w:sz w:val="24"/>
                          </w:rPr>
                        </w:pPr>
                        <w:r>
                          <w:rPr>
                            <w:rFonts w:hint="eastAsia" w:ascii="仿宋_GB2312" w:eastAsia="仿宋_GB2312"/>
                            <w:sz w:val="24"/>
                          </w:rPr>
                          <w:t>试纸条传送装置</w:t>
                        </w:r>
                      </w:p>
                    </w:txbxContent>
                  </v:textbox>
                </v:shape>
                <v:line id="直线 40" o:spid="_x0000_s1026" o:spt="20" style="position:absolute;left:3878;top:13733;height:0;width:1590;" filled="f" stroked="t" coordsize="21600,21600" o:gfxdata="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Pdcy8AAAA&#10;2wAAAA8AAAAAAAAAAQAgAAAAIgAAAGRycy9kb3ducmV2LnhtbFBLAQIUABQAAAAIAIdO4kAzLwWe&#10;OwAAADkAAAAQAAAAAAAAAAEAIAAAAAsBAABkcnMvc2hhcGV4bWwueG1sUEsFBgAAAAAGAAYAWwEA&#10;ALUDAAAAAA==&#10;">
                  <v:fill on="f" focussize="0,0"/>
                  <v:stroke color="#000000" joinstyle="round" startarrow="block" endarrow="block"/>
                  <v:imagedata o:title=""/>
                  <o:lock v:ext="edit" aspectratio="f"/>
                </v:line>
                <v:shape id="自选图形 42" o:spid="_x0000_s1026" o:spt="32" type="#_x0000_t32" style="position:absolute;left:3875;top:12031;flip:x;height:1;width:567;" filled="f" stroked="t" coordsize="21600,21600" o:gfxdata="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Q+ie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文本框 43" o:spid="_x0000_s1026" o:spt="202" type="#_x0000_t202" style="position:absolute;left:2147;top:12758;height:510;width:1701;" fillcolor="#FFFFFF" filled="t" stroked="t" coordsize="21600,21600" o:gfxdata="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dqYwm/&#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inset="1mm,1mm,1mm,1mm">
                    <w:txbxContent>
                      <w:p w14:paraId="54DE668B">
                        <w:pPr>
                          <w:jc w:val="center"/>
                          <w:rPr>
                            <w:rFonts w:ascii="仿宋_GB2312" w:eastAsia="仿宋_GB2312"/>
                            <w:sz w:val="24"/>
                          </w:rPr>
                        </w:pPr>
                        <w:r>
                          <w:rPr>
                            <w:rFonts w:hint="eastAsia" w:ascii="仿宋_GB2312" w:eastAsia="仿宋_GB2312"/>
                            <w:sz w:val="24"/>
                          </w:rPr>
                          <w:t>废料收集装置</w:t>
                        </w:r>
                      </w:p>
                    </w:txbxContent>
                  </v:textbox>
                </v:shape>
                <v:line id="直线 44" o:spid="_x0000_s1026" o:spt="20" style="position:absolute;left:3878;top:13028;height:0;width:1590;" filled="f" stroked="t" coordsize="21600,21600" o:gfxdata="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m7bi8AAAA&#10;2wAAAA8AAAAAAAAAAQAgAAAAIgAAAGRycy9kb3ducmV2LnhtbFBLAQIUABQAAAAIAIdO4kAzLwWe&#10;OwAAADkAAAAQAAAAAAAAAAEAIAAAAAsBAABkcnMvc2hhcGV4bWwueG1sUEsFBgAAAAAGAAYAWwEA&#10;ALUDAAAAAA==&#10;">
                  <v:fill on="f" focussize="0,0"/>
                  <v:stroke color="#000000" joinstyle="round" startarrow="block" endarrow="block"/>
                  <v:imagedata o:title=""/>
                  <o:lock v:ext="edit" aspectratio="f"/>
                </v:line>
              </v:group>
            </w:pict>
          </mc:Fallback>
        </mc:AlternateContent>
      </w:r>
    </w:p>
    <w:p w14:paraId="0FB892A2">
      <w:pPr>
        <w:spacing w:line="520" w:lineRule="exact"/>
        <w:ind w:left="-142"/>
        <w:rPr>
          <w:rFonts w:eastAsia="仿宋_GB2312"/>
          <w:b/>
          <w:sz w:val="32"/>
          <w:szCs w:val="32"/>
        </w:rPr>
      </w:pPr>
    </w:p>
    <w:p w14:paraId="36DE09A6">
      <w:pPr>
        <w:spacing w:line="520" w:lineRule="exact"/>
        <w:ind w:left="-142"/>
        <w:rPr>
          <w:rFonts w:eastAsia="仿宋_GB2312"/>
          <w:b/>
          <w:sz w:val="32"/>
          <w:szCs w:val="32"/>
        </w:rPr>
      </w:pPr>
    </w:p>
    <w:p w14:paraId="7F24F300">
      <w:pPr>
        <w:spacing w:line="520" w:lineRule="exact"/>
        <w:ind w:left="-142"/>
        <w:rPr>
          <w:rFonts w:eastAsia="仿宋_GB2312"/>
          <w:b/>
          <w:sz w:val="32"/>
          <w:szCs w:val="32"/>
        </w:rPr>
      </w:pPr>
    </w:p>
    <w:p w14:paraId="478B5510">
      <w:pPr>
        <w:tabs>
          <w:tab w:val="left" w:pos="2600"/>
        </w:tabs>
        <w:spacing w:line="520" w:lineRule="exact"/>
        <w:rPr>
          <w:rFonts w:eastAsia="仿宋_GB2312"/>
          <w:b/>
          <w:sz w:val="32"/>
          <w:szCs w:val="32"/>
        </w:rPr>
      </w:pPr>
      <w:r>
        <w:rPr>
          <w:rFonts w:eastAsia="仿宋_GB2312"/>
          <w:b/>
          <w:sz w:val="32"/>
          <w:szCs w:val="32"/>
        </w:rPr>
        <w:tab/>
      </w:r>
    </w:p>
    <w:p w14:paraId="474B2FA3">
      <w:pPr>
        <w:spacing w:line="520" w:lineRule="exact"/>
        <w:ind w:left="-142"/>
        <w:rPr>
          <w:rFonts w:eastAsia="仿宋_GB2312"/>
          <w:b/>
          <w:sz w:val="32"/>
          <w:szCs w:val="32"/>
        </w:rPr>
      </w:pPr>
    </w:p>
    <w:p w14:paraId="2A6F5E7A">
      <w:pPr>
        <w:pStyle w:val="22"/>
        <w:spacing w:line="520" w:lineRule="exact"/>
        <w:ind w:firstLine="0" w:firstLineChars="0"/>
        <w:rPr>
          <w:rFonts w:eastAsia="仿宋_GB2312"/>
          <w:sz w:val="32"/>
          <w:szCs w:val="32"/>
        </w:rPr>
      </w:pPr>
    </w:p>
    <w:p w14:paraId="0D883522">
      <w:pPr>
        <w:spacing w:line="520" w:lineRule="exact"/>
        <w:ind w:firstLine="640" w:firstLineChars="200"/>
        <w:rPr>
          <w:rFonts w:eastAsia="仿宋_GB2312"/>
          <w:snapToGrid w:val="0"/>
          <w:color w:val="FF0000"/>
          <w:kern w:val="0"/>
          <w:sz w:val="32"/>
          <w:szCs w:val="32"/>
        </w:rPr>
      </w:pPr>
    </w:p>
    <w:p w14:paraId="3D6AFF6A">
      <w:pPr>
        <w:spacing w:line="520" w:lineRule="exact"/>
        <w:ind w:firstLine="640" w:firstLineChars="200"/>
        <w:rPr>
          <w:rFonts w:eastAsia="仿宋_GB2312"/>
          <w:snapToGrid w:val="0"/>
          <w:kern w:val="0"/>
          <w:sz w:val="32"/>
          <w:szCs w:val="32"/>
        </w:rPr>
      </w:pPr>
      <w:r>
        <w:rPr>
          <w:rFonts w:hint="eastAsia" w:eastAsia="仿宋_GB2312"/>
          <w:snapToGrid w:val="0"/>
          <w:kern w:val="0"/>
          <w:sz w:val="32"/>
          <w:szCs w:val="32"/>
        </w:rPr>
        <w:t>（2）</w:t>
      </w:r>
      <w:r>
        <w:rPr>
          <w:rFonts w:hint="eastAsia" w:eastAsia="仿宋_GB2312"/>
          <w:sz w:val="32"/>
          <w:szCs w:val="32"/>
        </w:rPr>
        <w:t>尿液有形成分分析模块</w:t>
      </w:r>
    </w:p>
    <w:p w14:paraId="4CD569D6">
      <w:pPr>
        <w:autoSpaceDE w:val="0"/>
        <w:autoSpaceDN w:val="0"/>
        <w:adjustRightInd w:val="0"/>
        <w:spacing w:line="520" w:lineRule="exact"/>
        <w:ind w:firstLine="640" w:firstLineChars="200"/>
        <w:jc w:val="left"/>
        <w:rPr>
          <w:rFonts w:eastAsia="仿宋_GB2312"/>
          <w:sz w:val="32"/>
          <w:szCs w:val="32"/>
        </w:rPr>
      </w:pPr>
      <w:r>
        <w:rPr>
          <w:rFonts w:hint="eastAsia" w:eastAsia="仿宋_GB2312"/>
          <w:snapToGrid w:val="0"/>
          <w:kern w:val="0"/>
          <w:sz w:val="32"/>
          <w:szCs w:val="32"/>
        </w:rPr>
        <w:t>有形成分模块核心在于显微成像与形态识别，</w:t>
      </w:r>
      <w:r>
        <w:rPr>
          <w:rFonts w:eastAsia="仿宋_GB2312"/>
          <w:sz w:val="32"/>
          <w:szCs w:val="32"/>
        </w:rPr>
        <w:t>主要分为：流动型影像分析技术和静止型影像分析技术。</w:t>
      </w:r>
    </w:p>
    <w:p w14:paraId="324A18E6">
      <w:pPr>
        <w:autoSpaceDE w:val="0"/>
        <w:autoSpaceDN w:val="0"/>
        <w:adjustRightInd w:val="0"/>
        <w:spacing w:line="520" w:lineRule="exact"/>
        <w:ind w:firstLine="640" w:firstLineChars="200"/>
        <w:jc w:val="left"/>
        <w:rPr>
          <w:rFonts w:eastAsia="仿宋_GB2312"/>
          <w:sz w:val="32"/>
          <w:szCs w:val="32"/>
        </w:rPr>
      </w:pPr>
      <w:r>
        <w:rPr>
          <w:rFonts w:eastAsia="仿宋_GB2312"/>
          <w:sz w:val="32"/>
          <w:szCs w:val="32"/>
        </w:rPr>
        <w:t>流动型影像分析技术：尿液中的各种有形成分在鞘液的包裹下单层、独立通过</w:t>
      </w:r>
      <w:r>
        <w:rPr>
          <w:rFonts w:hint="eastAsia" w:eastAsia="仿宋_GB2312"/>
          <w:sz w:val="32"/>
          <w:szCs w:val="32"/>
        </w:rPr>
        <w:t>成像区域</w:t>
      </w:r>
      <w:r>
        <w:rPr>
          <w:rFonts w:eastAsia="仿宋_GB2312"/>
          <w:sz w:val="32"/>
          <w:szCs w:val="32"/>
        </w:rPr>
        <w:t>。高速</w:t>
      </w:r>
      <w:r>
        <w:rPr>
          <w:rFonts w:hint="eastAsia" w:eastAsia="仿宋_GB2312"/>
          <w:sz w:val="32"/>
          <w:szCs w:val="32"/>
        </w:rPr>
        <w:t>相</w:t>
      </w:r>
      <w:r>
        <w:rPr>
          <w:rFonts w:eastAsia="仿宋_GB2312"/>
          <w:sz w:val="32"/>
          <w:szCs w:val="32"/>
        </w:rPr>
        <w:t>机对被高速频闪光源照亮后的每个拍摄视野中流动的有形成分进行拍摄。</w:t>
      </w:r>
      <w:r>
        <w:rPr>
          <w:rFonts w:hint="eastAsia" w:eastAsia="仿宋_GB2312"/>
          <w:sz w:val="32"/>
          <w:szCs w:val="32"/>
        </w:rPr>
        <w:t>数据处理模块对</w:t>
      </w:r>
      <w:r>
        <w:rPr>
          <w:rFonts w:eastAsia="仿宋_GB2312"/>
          <w:sz w:val="32"/>
          <w:szCs w:val="32"/>
        </w:rPr>
        <w:t>数字</w:t>
      </w:r>
      <w:r>
        <w:rPr>
          <w:rFonts w:hint="eastAsia" w:eastAsia="仿宋_GB2312"/>
          <w:sz w:val="32"/>
          <w:szCs w:val="32"/>
        </w:rPr>
        <w:t>图像</w:t>
      </w:r>
      <w:r>
        <w:rPr>
          <w:rFonts w:eastAsia="仿宋_GB2312"/>
          <w:sz w:val="32"/>
          <w:szCs w:val="32"/>
        </w:rPr>
        <w:t>进行</w:t>
      </w:r>
      <w:r>
        <w:rPr>
          <w:rFonts w:hint="eastAsia" w:eastAsia="仿宋_GB2312"/>
          <w:sz w:val="32"/>
          <w:szCs w:val="32"/>
        </w:rPr>
        <w:t>分析计数</w:t>
      </w:r>
      <w:r>
        <w:rPr>
          <w:rFonts w:eastAsia="仿宋_GB2312"/>
          <w:sz w:val="32"/>
          <w:szCs w:val="32"/>
        </w:rPr>
        <w:t>或人工辅助鉴别。</w:t>
      </w:r>
    </w:p>
    <w:p w14:paraId="5FAA0772">
      <w:pPr>
        <w:spacing w:line="520" w:lineRule="exact"/>
        <w:ind w:firstLine="640" w:firstLineChars="200"/>
        <w:rPr>
          <w:rFonts w:eastAsia="仿宋_GB2312"/>
          <w:snapToGrid w:val="0"/>
          <w:color w:val="FF0000"/>
          <w:kern w:val="0"/>
          <w:sz w:val="32"/>
          <w:szCs w:val="32"/>
        </w:rPr>
      </w:pPr>
      <w:r>
        <w:rPr>
          <w:rFonts w:eastAsia="仿宋_GB2312"/>
          <w:sz w:val="32"/>
          <w:szCs w:val="32"/>
        </w:rPr>
        <w:t>静止型影像分析技术：将尿液标本注入专用计数板（固定流动式板或一次性计数板），计数板固定在按程序要求自动定位扫描位置的载物台上。与传统光学显微镜或相</w:t>
      </w:r>
      <w:r>
        <w:rPr>
          <w:rFonts w:hint="eastAsia" w:eastAsia="仿宋_GB2312"/>
          <w:sz w:val="32"/>
          <w:szCs w:val="32"/>
        </w:rPr>
        <w:t>位</w:t>
      </w:r>
      <w:r>
        <w:rPr>
          <w:rFonts w:eastAsia="仿宋_GB2312"/>
          <w:sz w:val="32"/>
          <w:szCs w:val="32"/>
        </w:rPr>
        <w:t>差显微镜连接的数字相机在计数板不同的部位对经一定时间静止沉淀</w:t>
      </w:r>
      <w:r>
        <w:rPr>
          <w:rFonts w:hint="eastAsia" w:eastAsia="仿宋_GB2312"/>
          <w:sz w:val="32"/>
          <w:szCs w:val="32"/>
        </w:rPr>
        <w:t>或离心</w:t>
      </w:r>
      <w:r>
        <w:rPr>
          <w:rFonts w:eastAsia="仿宋_GB2312"/>
          <w:sz w:val="32"/>
          <w:szCs w:val="32"/>
        </w:rPr>
        <w:t>后的尿液中的有形成分拍摄一定数量的数字</w:t>
      </w:r>
      <w:r>
        <w:rPr>
          <w:rFonts w:hint="eastAsia" w:eastAsia="仿宋_GB2312"/>
          <w:sz w:val="32"/>
          <w:szCs w:val="32"/>
        </w:rPr>
        <w:t>图像</w:t>
      </w:r>
      <w:r>
        <w:rPr>
          <w:rFonts w:eastAsia="仿宋_GB2312"/>
          <w:sz w:val="32"/>
          <w:szCs w:val="32"/>
        </w:rPr>
        <w:t>，</w:t>
      </w:r>
      <w:r>
        <w:rPr>
          <w:rFonts w:hint="eastAsia" w:eastAsia="仿宋_GB2312"/>
          <w:sz w:val="32"/>
          <w:szCs w:val="32"/>
        </w:rPr>
        <w:t>数据处理模块对</w:t>
      </w:r>
      <w:r>
        <w:rPr>
          <w:rFonts w:eastAsia="仿宋_GB2312"/>
          <w:sz w:val="32"/>
          <w:szCs w:val="32"/>
        </w:rPr>
        <w:t>数字</w:t>
      </w:r>
      <w:r>
        <w:rPr>
          <w:rFonts w:hint="eastAsia" w:eastAsia="仿宋_GB2312"/>
          <w:sz w:val="32"/>
          <w:szCs w:val="32"/>
        </w:rPr>
        <w:t>图像</w:t>
      </w:r>
      <w:r>
        <w:rPr>
          <w:rFonts w:eastAsia="仿宋_GB2312"/>
          <w:sz w:val="32"/>
          <w:szCs w:val="32"/>
        </w:rPr>
        <w:t>进行</w:t>
      </w:r>
      <w:r>
        <w:rPr>
          <w:rFonts w:hint="eastAsia" w:eastAsia="仿宋_GB2312"/>
          <w:sz w:val="32"/>
          <w:szCs w:val="32"/>
        </w:rPr>
        <w:t>分析计数</w:t>
      </w:r>
      <w:r>
        <w:rPr>
          <w:rFonts w:eastAsia="仿宋_GB2312"/>
          <w:sz w:val="32"/>
          <w:szCs w:val="32"/>
        </w:rPr>
        <w:t>或人工辅助鉴别。</w:t>
      </w:r>
    </w:p>
    <w:p w14:paraId="18EC7CBA">
      <w:pPr>
        <w:spacing w:line="520" w:lineRule="exact"/>
        <w:ind w:firstLine="640" w:firstLineChars="200"/>
        <w:rPr>
          <w:rFonts w:eastAsia="仿宋_GB2312"/>
          <w:sz w:val="32"/>
          <w:szCs w:val="32"/>
        </w:rPr>
      </w:pPr>
      <w:r>
        <w:rPr>
          <w:rFonts w:hint="eastAsia" w:eastAsia="仿宋_GB2312"/>
          <w:sz w:val="32"/>
          <w:szCs w:val="32"/>
        </w:rPr>
        <w:t>1.1.2结构组成</w:t>
      </w:r>
    </w:p>
    <w:p w14:paraId="4379BD04">
      <w:pPr>
        <w:spacing w:line="520" w:lineRule="exact"/>
        <w:ind w:firstLine="640" w:firstLineChars="200"/>
        <w:rPr>
          <w:rFonts w:eastAsia="仿宋_GB2312"/>
          <w:sz w:val="32"/>
          <w:szCs w:val="32"/>
        </w:rPr>
      </w:pPr>
      <w:r>
        <w:rPr>
          <w:rFonts w:hint="eastAsia" w:eastAsia="仿宋_GB2312"/>
          <w:sz w:val="32"/>
          <w:szCs w:val="32"/>
        </w:rPr>
        <w:t>尿液分析系统通常</w:t>
      </w:r>
      <w:r>
        <w:rPr>
          <w:rFonts w:hint="eastAsia" w:eastAsia="仿宋_GB2312"/>
          <w:sz w:val="32"/>
          <w:szCs w:val="28"/>
        </w:rPr>
        <w:t>由</w:t>
      </w:r>
      <w:r>
        <w:rPr>
          <w:rFonts w:hint="eastAsia" w:eastAsia="仿宋_GB2312"/>
          <w:sz w:val="32"/>
          <w:szCs w:val="32"/>
        </w:rPr>
        <w:t>标本处理模块</w:t>
      </w:r>
      <w:r>
        <w:rPr>
          <w:rFonts w:eastAsia="仿宋_GB2312"/>
          <w:sz w:val="32"/>
          <w:szCs w:val="32"/>
        </w:rPr>
        <w:t>、机械</w:t>
      </w:r>
      <w:r>
        <w:rPr>
          <w:rFonts w:hint="eastAsia" w:eastAsia="仿宋_GB2312"/>
          <w:sz w:val="32"/>
          <w:szCs w:val="32"/>
        </w:rPr>
        <w:t>模块</w:t>
      </w:r>
      <w:r>
        <w:rPr>
          <w:rFonts w:eastAsia="仿宋_GB2312"/>
          <w:sz w:val="32"/>
          <w:szCs w:val="32"/>
        </w:rPr>
        <w:t>、光学</w:t>
      </w:r>
      <w:r>
        <w:rPr>
          <w:rFonts w:hint="eastAsia" w:eastAsia="仿宋_GB2312"/>
          <w:sz w:val="32"/>
          <w:szCs w:val="32"/>
        </w:rPr>
        <w:t>模块</w:t>
      </w:r>
      <w:r>
        <w:rPr>
          <w:rFonts w:eastAsia="仿宋_GB2312"/>
          <w:sz w:val="32"/>
          <w:szCs w:val="32"/>
        </w:rPr>
        <w:t>、电路</w:t>
      </w:r>
      <w:r>
        <w:rPr>
          <w:rFonts w:hint="eastAsia" w:eastAsia="仿宋_GB2312"/>
          <w:sz w:val="32"/>
          <w:szCs w:val="32"/>
        </w:rPr>
        <w:t>模块</w:t>
      </w:r>
      <w:r>
        <w:rPr>
          <w:rFonts w:eastAsia="仿宋_GB2312"/>
          <w:sz w:val="32"/>
          <w:szCs w:val="32"/>
        </w:rPr>
        <w:t>、</w:t>
      </w:r>
      <w:r>
        <w:rPr>
          <w:rFonts w:hint="eastAsia" w:eastAsia="仿宋_GB2312"/>
          <w:sz w:val="32"/>
          <w:szCs w:val="32"/>
        </w:rPr>
        <w:t>数据处理模块及软件等</w:t>
      </w:r>
      <w:r>
        <w:rPr>
          <w:rFonts w:eastAsia="仿宋_GB2312"/>
          <w:sz w:val="32"/>
          <w:szCs w:val="32"/>
        </w:rPr>
        <w:t>组成</w:t>
      </w:r>
      <w:r>
        <w:rPr>
          <w:rFonts w:hint="eastAsia" w:eastAsia="仿宋_GB2312"/>
          <w:sz w:val="32"/>
          <w:szCs w:val="32"/>
        </w:rPr>
        <w:t>，不同生产企业产品结构存在差异，应结合产品实际准确描述。</w:t>
      </w:r>
    </w:p>
    <w:p w14:paraId="30552D4D">
      <w:pPr>
        <w:spacing w:line="520" w:lineRule="exact"/>
        <w:ind w:firstLine="640" w:firstLineChars="200"/>
        <w:rPr>
          <w:rFonts w:eastAsia="仿宋_GB2312"/>
          <w:sz w:val="32"/>
          <w:szCs w:val="32"/>
        </w:rPr>
      </w:pPr>
      <w:r>
        <w:rPr>
          <w:rFonts w:hint="eastAsia" w:eastAsia="仿宋_GB2312"/>
          <w:sz w:val="32"/>
          <w:szCs w:val="32"/>
        </w:rPr>
        <w:t>标本处理模块：主要完成标本传送、混匀、吸样、加样、离心、清洗、排样等操作，可根据产品设计配置部分或全部功能。</w:t>
      </w:r>
    </w:p>
    <w:p w14:paraId="4EB7BD8F">
      <w:pPr>
        <w:spacing w:line="520" w:lineRule="exact"/>
        <w:ind w:firstLine="640" w:firstLineChars="200"/>
        <w:rPr>
          <w:rFonts w:eastAsia="仿宋_GB2312"/>
          <w:sz w:val="32"/>
          <w:szCs w:val="32"/>
        </w:rPr>
      </w:pPr>
      <w:r>
        <w:rPr>
          <w:rFonts w:hint="eastAsia" w:eastAsia="仿宋_GB2312"/>
          <w:sz w:val="32"/>
          <w:szCs w:val="32"/>
        </w:rPr>
        <w:t>机械模块：通常包括自动选条装置、试纸条传送装置、自动进样装置、液路装置、废料收集装置等，实现样本输送、加样、试纸条转运及废料收集。</w:t>
      </w:r>
    </w:p>
    <w:p w14:paraId="79F007F0">
      <w:pPr>
        <w:spacing w:line="520" w:lineRule="exact"/>
        <w:ind w:firstLine="640" w:firstLineChars="200"/>
        <w:rPr>
          <w:rFonts w:eastAsia="仿宋_GB2312"/>
          <w:sz w:val="32"/>
          <w:szCs w:val="32"/>
        </w:rPr>
      </w:pPr>
      <w:r>
        <w:rPr>
          <w:rFonts w:hint="eastAsia" w:eastAsia="仿宋_GB2312"/>
          <w:sz w:val="32"/>
          <w:szCs w:val="32"/>
        </w:rPr>
        <w:t>光学模块：光学检测模块通过光源照射反应后试剂块，接收反射光信号，反射光强度与试剂块颜色深浅相关；显微成像模块分为流动型与静止型，流动型采用高速相机对流动有形成分进行成像，静止型通过显微镜及数字相机对计数池/计数板有形成分进行定位拍摄。</w:t>
      </w:r>
    </w:p>
    <w:p w14:paraId="086D7F19">
      <w:pPr>
        <w:spacing w:line="520" w:lineRule="exact"/>
        <w:ind w:firstLine="640" w:firstLineChars="200"/>
        <w:rPr>
          <w:rFonts w:eastAsia="仿宋_GB2312"/>
          <w:sz w:val="32"/>
          <w:szCs w:val="32"/>
        </w:rPr>
      </w:pPr>
      <w:r>
        <w:rPr>
          <w:rFonts w:hint="eastAsia" w:eastAsia="仿宋_GB2312"/>
          <w:sz w:val="32"/>
          <w:szCs w:val="32"/>
        </w:rPr>
        <w:t>电路模块：实现光信号转换、放大及A/D转换，传输至中央处理器进行结果计算；同时控制标本处理流程及载物台自动定位，包括电源及线路控制板。</w:t>
      </w:r>
    </w:p>
    <w:p w14:paraId="6BB18DC3">
      <w:pPr>
        <w:spacing w:line="520" w:lineRule="exact"/>
        <w:ind w:firstLine="640" w:firstLineChars="200"/>
        <w:rPr>
          <w:rFonts w:eastAsia="仿宋_GB2312"/>
          <w:sz w:val="32"/>
          <w:szCs w:val="32"/>
        </w:rPr>
      </w:pPr>
      <w:r>
        <w:rPr>
          <w:rFonts w:hint="eastAsia" w:eastAsia="仿宋_GB2312"/>
          <w:sz w:val="32"/>
          <w:szCs w:val="32"/>
        </w:rPr>
        <w:t>数据处理模块：用于图像及检测数据的分析、处理、显示、存储、管理与输出。</w:t>
      </w:r>
    </w:p>
    <w:p w14:paraId="15986E13">
      <w:pPr>
        <w:spacing w:line="520" w:lineRule="exact"/>
        <w:ind w:firstLine="640" w:firstLineChars="200"/>
        <w:rPr>
          <w:rFonts w:eastAsia="仿宋_GB2312"/>
          <w:sz w:val="32"/>
          <w:szCs w:val="32"/>
        </w:rPr>
      </w:pPr>
      <w:r>
        <w:rPr>
          <w:rFonts w:hint="eastAsia" w:eastAsia="仿宋_GB2312"/>
          <w:sz w:val="32"/>
          <w:szCs w:val="32"/>
        </w:rPr>
        <w:t>软件功能主要实现仪器程控操作、样本检测、故障提示、数据查询、存储管理、用户权限管理及结果判定等功能。</w:t>
      </w:r>
    </w:p>
    <w:p w14:paraId="13C388AD">
      <w:pPr>
        <w:spacing w:line="520" w:lineRule="exact"/>
        <w:ind w:firstLine="640" w:firstLineChars="200"/>
        <w:rPr>
          <w:rFonts w:eastAsia="仿宋_GB2312"/>
          <w:sz w:val="32"/>
          <w:szCs w:val="32"/>
        </w:rPr>
      </w:pPr>
      <w:r>
        <w:rPr>
          <w:rFonts w:hint="eastAsia" w:eastAsia="仿宋_GB2312"/>
          <w:sz w:val="32"/>
          <w:szCs w:val="32"/>
        </w:rPr>
        <w:t>申请人应结合申报产品具体特征，详细描述各模块组成、关键元器件/部件信息及功能，可采用图示与文字相结合的方式进行说明。</w:t>
      </w:r>
    </w:p>
    <w:p w14:paraId="4F5F0A0C">
      <w:pPr>
        <w:spacing w:line="520" w:lineRule="exact"/>
        <w:ind w:firstLine="640" w:firstLineChars="200"/>
        <w:rPr>
          <w:rFonts w:eastAsia="仿宋_GB2312"/>
          <w:sz w:val="32"/>
          <w:szCs w:val="32"/>
        </w:rPr>
      </w:pPr>
      <w:r>
        <w:rPr>
          <w:rFonts w:hint="eastAsia" w:eastAsia="仿宋_GB2312"/>
          <w:snapToGrid w:val="0"/>
          <w:kern w:val="0"/>
          <w:sz w:val="32"/>
          <w:szCs w:val="32"/>
        </w:rPr>
        <w:t>1.2</w:t>
      </w:r>
      <w:r>
        <w:rPr>
          <w:rFonts w:hint="eastAsia" w:eastAsia="仿宋_GB2312"/>
          <w:sz w:val="32"/>
          <w:szCs w:val="32"/>
        </w:rPr>
        <w:t>型号规格</w:t>
      </w:r>
    </w:p>
    <w:p w14:paraId="0C1146DA">
      <w:pPr>
        <w:spacing w:line="520" w:lineRule="exact"/>
        <w:ind w:firstLine="640" w:firstLineChars="200"/>
        <w:rPr>
          <w:rFonts w:eastAsia="仿宋_GB2312"/>
          <w:sz w:val="32"/>
          <w:szCs w:val="32"/>
        </w:rPr>
      </w:pPr>
      <w:r>
        <w:rPr>
          <w:rFonts w:eastAsia="仿宋_GB2312"/>
          <w:kern w:val="0"/>
          <w:sz w:val="32"/>
          <w:szCs w:val="32"/>
        </w:rPr>
        <w:t>对于同一注册单元申报产品存在多种型号规格的，应当明确各型号规格之间的区别，应当采用表格加说明性文字的图片、图表，对各型号规格的结构组成</w:t>
      </w:r>
      <w:r>
        <w:rPr>
          <w:rFonts w:eastAsia="仿宋_GB2312"/>
          <w:sz w:val="32"/>
          <w:szCs w:val="32"/>
        </w:rPr>
        <w:t>（或配置）</w:t>
      </w:r>
      <w:r>
        <w:rPr>
          <w:rFonts w:eastAsia="仿宋_GB2312"/>
          <w:kern w:val="0"/>
          <w:sz w:val="32"/>
          <w:szCs w:val="32"/>
        </w:rPr>
        <w:t>、功能、</w:t>
      </w:r>
      <w:r>
        <w:rPr>
          <w:rFonts w:eastAsia="仿宋_GB2312"/>
          <w:sz w:val="32"/>
          <w:szCs w:val="32"/>
        </w:rPr>
        <w:t>产品特征和运行模式、技术参数、</w:t>
      </w:r>
      <w:r>
        <w:rPr>
          <w:rFonts w:eastAsia="仿宋_GB2312"/>
          <w:kern w:val="0"/>
          <w:sz w:val="32"/>
          <w:szCs w:val="32"/>
        </w:rPr>
        <w:t>性能指标等方面的差异进行描述。</w:t>
      </w:r>
    </w:p>
    <w:p w14:paraId="0DD7E088">
      <w:pPr>
        <w:spacing w:line="520" w:lineRule="exact"/>
        <w:ind w:firstLine="640" w:firstLineChars="200"/>
        <w:outlineLvl w:val="2"/>
        <w:rPr>
          <w:rFonts w:eastAsia="仿宋_GB2312"/>
          <w:color w:val="000000"/>
          <w:sz w:val="32"/>
          <w:szCs w:val="32"/>
        </w:rPr>
      </w:pPr>
      <w:r>
        <w:rPr>
          <w:rFonts w:hint="eastAsia" w:eastAsia="仿宋_GB2312"/>
          <w:color w:val="000000"/>
          <w:sz w:val="32"/>
          <w:szCs w:val="32"/>
        </w:rPr>
        <w:t>2.适用范围和禁忌证</w:t>
      </w:r>
    </w:p>
    <w:p w14:paraId="2DCD71E3">
      <w:pPr>
        <w:spacing w:line="520" w:lineRule="exact"/>
        <w:ind w:firstLine="640" w:firstLineChars="200"/>
        <w:rPr>
          <w:rFonts w:eastAsia="仿宋_GB2312"/>
          <w:sz w:val="32"/>
          <w:szCs w:val="32"/>
        </w:rPr>
      </w:pPr>
      <w:r>
        <w:rPr>
          <w:rFonts w:hint="eastAsia" w:eastAsia="仿宋_GB2312"/>
          <w:sz w:val="32"/>
          <w:szCs w:val="32"/>
        </w:rPr>
        <w:t>2.1适用范围</w:t>
      </w:r>
    </w:p>
    <w:p w14:paraId="3D96D8F2">
      <w:pPr>
        <w:spacing w:line="520" w:lineRule="exact"/>
        <w:ind w:right="-67" w:rightChars="-32" w:firstLine="640" w:firstLineChars="200"/>
        <w:rPr>
          <w:rFonts w:eastAsia="仿宋_GB2312"/>
          <w:sz w:val="32"/>
          <w:szCs w:val="32"/>
        </w:rPr>
      </w:pPr>
      <w:r>
        <w:rPr>
          <w:rFonts w:hint="eastAsia" w:eastAsia="仿宋_GB2312"/>
          <w:sz w:val="32"/>
          <w:szCs w:val="32"/>
        </w:rPr>
        <w:t>尿液分析系统主要用于对人体尿液或体液样本中的有形成分（如红细胞、白细胞、细菌等）进行定性、定量分析，以及对尿液理化指标（如尿糖、尿蛋白、隐血、酸碱度、比重、胆红素、尿胆原、酮体、亚硝酸盐等）进行定性或半定量检测，检测结果供临床检验参考。</w:t>
      </w:r>
      <w:r>
        <w:rPr>
          <w:rFonts w:eastAsia="仿宋_GB2312"/>
          <w:spacing w:val="-1"/>
          <w:sz w:val="32"/>
          <w:szCs w:val="32"/>
        </w:rPr>
        <w:t>产品适用范围</w:t>
      </w:r>
      <w:r>
        <w:rPr>
          <w:rFonts w:hint="eastAsia" w:eastAsia="仿宋_GB2312"/>
          <w:spacing w:val="-1"/>
          <w:sz w:val="32"/>
          <w:szCs w:val="32"/>
        </w:rPr>
        <w:t>中</w:t>
      </w:r>
      <w:r>
        <w:rPr>
          <w:rFonts w:eastAsia="仿宋_GB2312"/>
          <w:spacing w:val="-1"/>
          <w:sz w:val="32"/>
          <w:szCs w:val="32"/>
        </w:rPr>
        <w:t>应明确所有临床检测项目</w:t>
      </w:r>
      <w:r>
        <w:rPr>
          <w:rFonts w:hint="eastAsia" w:eastAsia="仿宋_GB2312"/>
          <w:spacing w:val="-1"/>
          <w:sz w:val="32"/>
          <w:szCs w:val="32"/>
        </w:rPr>
        <w:t>。</w:t>
      </w:r>
    </w:p>
    <w:p w14:paraId="5F0DA0B1">
      <w:pPr>
        <w:spacing w:line="520" w:lineRule="exact"/>
        <w:ind w:firstLine="640" w:firstLineChars="200"/>
        <w:rPr>
          <w:rFonts w:eastAsia="仿宋_GB2312"/>
          <w:sz w:val="32"/>
          <w:szCs w:val="32"/>
        </w:rPr>
      </w:pPr>
      <w:r>
        <w:rPr>
          <w:rFonts w:eastAsia="仿宋_GB2312"/>
          <w:sz w:val="32"/>
          <w:szCs w:val="32"/>
        </w:rPr>
        <w:t>注：具体的检测项目应体现在产品说明书中。</w:t>
      </w:r>
    </w:p>
    <w:p w14:paraId="28DA8BE8">
      <w:pPr>
        <w:spacing w:line="520" w:lineRule="exact"/>
        <w:ind w:firstLine="640" w:firstLineChars="200"/>
        <w:rPr>
          <w:rFonts w:eastAsia="仿宋_GB2312"/>
          <w:sz w:val="32"/>
          <w:szCs w:val="32"/>
        </w:rPr>
      </w:pPr>
      <w:r>
        <w:rPr>
          <w:rFonts w:hint="eastAsia" w:eastAsia="仿宋_GB2312"/>
          <w:sz w:val="32"/>
          <w:szCs w:val="32"/>
        </w:rPr>
        <w:t>2.2预期使用环境</w:t>
      </w:r>
    </w:p>
    <w:p w14:paraId="63360272">
      <w:pPr>
        <w:spacing w:line="520" w:lineRule="exact"/>
        <w:ind w:firstLine="640" w:firstLineChars="200"/>
        <w:rPr>
          <w:rFonts w:eastAsia="仿宋_GB2312"/>
          <w:sz w:val="32"/>
          <w:szCs w:val="32"/>
        </w:rPr>
      </w:pPr>
      <w:r>
        <w:rPr>
          <w:rFonts w:hint="eastAsia" w:eastAsia="仿宋_GB2312"/>
          <w:sz w:val="32"/>
          <w:szCs w:val="32"/>
        </w:rPr>
        <w:t>应明确申报产品的预期使用地点为医疗机构、检验科等场所，并详细说明可能影响产品安全性和有效性的正常工作条件，具体包括使用环境要求、工作电压、环境温度、相对湿度、大气压力等，对上述每项环境条件均需给出明确具体的指标范围，同时说明产品配套使用设备的相关要求，确保使用场所与环境条件清晰规范。</w:t>
      </w:r>
    </w:p>
    <w:p w14:paraId="2A08ADFA">
      <w:pPr>
        <w:spacing w:line="520" w:lineRule="exact"/>
        <w:ind w:firstLine="640" w:firstLineChars="200"/>
        <w:rPr>
          <w:rFonts w:eastAsia="仿宋_GB2312"/>
          <w:sz w:val="32"/>
          <w:szCs w:val="32"/>
        </w:rPr>
      </w:pPr>
      <w:r>
        <w:rPr>
          <w:rFonts w:hint="eastAsia" w:eastAsia="仿宋_GB2312"/>
          <w:sz w:val="32"/>
          <w:szCs w:val="32"/>
        </w:rPr>
        <w:t>2.3禁忌证</w:t>
      </w:r>
    </w:p>
    <w:p w14:paraId="2A070C24">
      <w:pPr>
        <w:spacing w:line="520" w:lineRule="exact"/>
        <w:ind w:firstLine="640" w:firstLineChars="200"/>
        <w:rPr>
          <w:rFonts w:hint="eastAsia" w:eastAsia="仿宋_GB2312"/>
          <w:sz w:val="32"/>
          <w:szCs w:val="32"/>
        </w:rPr>
      </w:pPr>
      <w:r>
        <w:rPr>
          <w:rFonts w:hint="eastAsia" w:eastAsia="仿宋_GB2312"/>
          <w:sz w:val="32"/>
          <w:szCs w:val="32"/>
        </w:rPr>
        <w:t>无绝对禁忌证。</w:t>
      </w:r>
    </w:p>
    <w:p w14:paraId="6B697D05">
      <w:pPr>
        <w:spacing w:line="52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.不良事件情况（如适用）</w:t>
      </w:r>
    </w:p>
    <w:p w14:paraId="48EE0EA5">
      <w:pPr>
        <w:spacing w:line="520" w:lineRule="exact"/>
        <w:ind w:firstLine="640" w:firstLineChars="200"/>
        <w:rPr>
          <w:rFonts w:eastAsia="仿宋_GB2312"/>
          <w:sz w:val="32"/>
          <w:szCs w:val="32"/>
        </w:rPr>
      </w:pPr>
      <w:r>
        <w:rPr>
          <w:rFonts w:eastAsia="仿宋_GB2312"/>
          <w:sz w:val="32"/>
          <w:szCs w:val="32"/>
        </w:rPr>
        <w:t>应当提交申报产品的</w:t>
      </w:r>
      <w:r>
        <w:rPr>
          <w:rFonts w:eastAsia="仿宋_GB2312"/>
          <w:bCs/>
          <w:sz w:val="32"/>
          <w:szCs w:val="32"/>
          <w:lang w:val="en-CA"/>
        </w:rPr>
        <w:t>上市、</w:t>
      </w:r>
      <w:r>
        <w:rPr>
          <w:rFonts w:eastAsia="仿宋_GB2312"/>
          <w:bCs/>
          <w:sz w:val="32"/>
          <w:szCs w:val="32"/>
        </w:rPr>
        <w:t>销售、</w:t>
      </w:r>
      <w:r>
        <w:rPr>
          <w:rFonts w:eastAsia="仿宋_GB2312"/>
          <w:bCs/>
          <w:sz w:val="32"/>
          <w:szCs w:val="32"/>
          <w:lang w:val="en-CA"/>
        </w:rPr>
        <w:t>不良事件和召回</w:t>
      </w:r>
      <w:r>
        <w:rPr>
          <w:rFonts w:eastAsia="仿宋_GB2312"/>
          <w:bCs/>
          <w:sz w:val="32"/>
          <w:szCs w:val="32"/>
        </w:rPr>
        <w:t>等相关情况分析资料。</w:t>
      </w:r>
    </w:p>
    <w:p w14:paraId="6FB4A415">
      <w:pPr>
        <w:spacing w:line="520" w:lineRule="exact"/>
        <w:ind w:left="640"/>
        <w:outlineLvl w:val="2"/>
        <w:rPr>
          <w:rFonts w:eastAsia="仿宋_GB2312"/>
          <w:sz w:val="32"/>
          <w:szCs w:val="32"/>
        </w:rPr>
      </w:pPr>
      <w:bookmarkStart w:id="0" w:name="_Toc112680023"/>
      <w:r>
        <w:rPr>
          <w:rFonts w:hint="eastAsia" w:eastAsia="仿宋_GB2312"/>
          <w:sz w:val="32"/>
          <w:szCs w:val="32"/>
        </w:rPr>
        <w:t>4.其他需说明的内容</w:t>
      </w:r>
      <w:bookmarkEnd w:id="0"/>
    </w:p>
    <w:p w14:paraId="0007B929">
      <w:pPr>
        <w:spacing w:line="520" w:lineRule="exact"/>
        <w:ind w:firstLine="640"/>
        <w:rPr>
          <w:rFonts w:eastAsia="仿宋_GB2312"/>
          <w:bCs/>
          <w:sz w:val="32"/>
          <w:szCs w:val="32"/>
        </w:rPr>
      </w:pPr>
      <w:r>
        <w:rPr>
          <w:rFonts w:hint="eastAsia" w:eastAsia="仿宋_GB2312"/>
          <w:bCs/>
          <w:sz w:val="32"/>
          <w:szCs w:val="32"/>
        </w:rPr>
        <w:t>如适用，申请人应明确与申报产品联合使用实现预期用途的其他产品的详细信息。</w:t>
      </w:r>
    </w:p>
    <w:p w14:paraId="4357135D">
      <w:pPr>
        <w:spacing w:line="520" w:lineRule="exact"/>
        <w:ind w:firstLine="640" w:firstLineChars="200"/>
        <w:rPr>
          <w:rFonts w:eastAsia="仿宋_GB2312"/>
          <w:sz w:val="32"/>
          <w:szCs w:val="32"/>
        </w:rPr>
      </w:pPr>
      <w:r>
        <w:rPr>
          <w:rFonts w:hint="eastAsia" w:eastAsia="仿宋_GB2312"/>
          <w:bCs/>
          <w:sz w:val="32"/>
          <w:szCs w:val="32"/>
        </w:rPr>
        <w:t>对于已获得批准的部件或配合使用的附件，申请人应提供注册证编号和国家药监局官方网站公布的注册证信息。</w:t>
      </w:r>
    </w:p>
    <w:p w14:paraId="7E8EBCD6">
      <w:pPr>
        <w:spacing w:line="520" w:lineRule="exact"/>
        <w:ind w:firstLine="640" w:firstLineChars="200"/>
        <w:rPr>
          <w:rFonts w:eastAsia="仿宋_GB2312"/>
          <w:sz w:val="32"/>
          <w:szCs w:val="32"/>
        </w:rPr>
      </w:pPr>
      <w:r>
        <w:rPr>
          <w:rFonts w:hint="eastAsia" w:eastAsia="仿宋_GB2312"/>
          <w:sz w:val="32"/>
          <w:szCs w:val="32"/>
        </w:rPr>
        <w:t>（三）非临床资料</w:t>
      </w:r>
    </w:p>
    <w:p w14:paraId="44EF545B">
      <w:pPr>
        <w:spacing w:line="520" w:lineRule="exact"/>
        <w:ind w:firstLine="640" w:firstLineChars="200"/>
        <w:rPr>
          <w:rFonts w:eastAsia="仿宋_GB2312"/>
          <w:sz w:val="32"/>
          <w:szCs w:val="32"/>
        </w:rPr>
      </w:pPr>
      <w:r>
        <w:rPr>
          <w:rFonts w:hint="eastAsia" w:eastAsia="仿宋_GB2312"/>
          <w:sz w:val="32"/>
          <w:szCs w:val="32"/>
        </w:rPr>
        <w:t>1.产品风险管理资料</w:t>
      </w:r>
    </w:p>
    <w:p w14:paraId="2C83EF37">
      <w:pPr>
        <w:spacing w:line="520" w:lineRule="exact"/>
        <w:ind w:firstLine="640" w:firstLineChars="200"/>
        <w:rPr>
          <w:rFonts w:eastAsia="仿宋_GB2312"/>
          <w:kern w:val="0"/>
          <w:sz w:val="32"/>
          <w:szCs w:val="32"/>
        </w:rPr>
      </w:pPr>
      <w:r>
        <w:rPr>
          <w:rFonts w:eastAsia="仿宋_GB2312"/>
          <w:kern w:val="0"/>
          <w:sz w:val="32"/>
          <w:szCs w:val="32"/>
        </w:rPr>
        <w:t>申请人应参考GB/T 42062《医疗器械 风险管理对医疗器械的应用》规定的过程和方法，在产品生命周期内对申报产品可能造成的危险进行判定（YY/T 1437），对每一危险处境的风险进行判定和评价，形成风险管理报告，控制这些风险并监视控制的有效性，充分保证产品的安全性和有效性。</w:t>
      </w:r>
    </w:p>
    <w:p w14:paraId="5C7CE7BF">
      <w:pPr>
        <w:spacing w:line="520" w:lineRule="exact"/>
        <w:ind w:firstLine="640" w:firstLineChars="200"/>
        <w:rPr>
          <w:rFonts w:eastAsia="仿宋_GB2312"/>
          <w:kern w:val="0"/>
          <w:sz w:val="32"/>
          <w:szCs w:val="32"/>
        </w:rPr>
      </w:pPr>
      <w:r>
        <w:rPr>
          <w:rFonts w:eastAsia="仿宋_GB2312"/>
          <w:kern w:val="0"/>
          <w:sz w:val="32"/>
          <w:szCs w:val="32"/>
        </w:rPr>
        <w:t>1.1产品的主要危险</w:t>
      </w:r>
    </w:p>
    <w:p w14:paraId="3ED37143">
      <w:pPr>
        <w:spacing w:line="520" w:lineRule="exact"/>
        <w:ind w:firstLine="640" w:firstLineChars="200"/>
        <w:rPr>
          <w:rFonts w:eastAsia="仿宋_GB2312"/>
          <w:kern w:val="0"/>
          <w:sz w:val="32"/>
          <w:szCs w:val="32"/>
        </w:rPr>
      </w:pPr>
      <w:r>
        <w:rPr>
          <w:rFonts w:eastAsia="仿宋_GB2312"/>
          <w:kern w:val="0"/>
          <w:sz w:val="32"/>
          <w:szCs w:val="32"/>
        </w:rPr>
        <w:t>主要危险大致可包括四个方面，即：能量危险、生物学和化学危险、性能有关的危险。</w:t>
      </w:r>
    </w:p>
    <w:p w14:paraId="50AD003D">
      <w:pPr>
        <w:spacing w:line="520" w:lineRule="exact"/>
        <w:ind w:firstLine="640" w:firstLineChars="200"/>
        <w:rPr>
          <w:rFonts w:eastAsia="仿宋_GB2312"/>
          <w:kern w:val="0"/>
          <w:sz w:val="32"/>
          <w:szCs w:val="32"/>
        </w:rPr>
      </w:pPr>
      <w:r>
        <w:rPr>
          <w:rFonts w:eastAsia="仿宋_GB2312"/>
          <w:kern w:val="0"/>
          <w:sz w:val="32"/>
          <w:szCs w:val="32"/>
        </w:rPr>
        <w:t>1.1.1能量危险</w:t>
      </w:r>
    </w:p>
    <w:p w14:paraId="17EF0964">
      <w:pPr>
        <w:spacing w:line="520" w:lineRule="exact"/>
        <w:ind w:firstLine="640" w:firstLineChars="200"/>
        <w:rPr>
          <w:rFonts w:eastAsia="仿宋_GB2312"/>
          <w:kern w:val="0"/>
          <w:sz w:val="32"/>
          <w:szCs w:val="32"/>
        </w:rPr>
      </w:pPr>
      <w:r>
        <w:rPr>
          <w:rFonts w:eastAsia="仿宋_GB2312"/>
          <w:kern w:val="0"/>
          <w:sz w:val="32"/>
          <w:szCs w:val="32"/>
        </w:rPr>
        <w:t>电磁能：漏电流，可能共同使用的设备（移动电话、离心机等）对申报产品的电磁干扰，静电放电对申报产品产生的干扰，申报产品正常工作中产生的电磁场对可能共同使用的其他设备的影响等引发的危险。</w:t>
      </w:r>
    </w:p>
    <w:p w14:paraId="48480404">
      <w:pPr>
        <w:spacing w:line="520" w:lineRule="exact"/>
        <w:ind w:firstLine="640" w:firstLineChars="200"/>
        <w:rPr>
          <w:rFonts w:eastAsia="仿宋_GB2312"/>
          <w:kern w:val="0"/>
          <w:sz w:val="32"/>
          <w:szCs w:val="32"/>
        </w:rPr>
      </w:pPr>
      <w:r>
        <w:rPr>
          <w:rFonts w:eastAsia="仿宋_GB2312"/>
          <w:kern w:val="0"/>
          <w:sz w:val="32"/>
          <w:szCs w:val="32"/>
        </w:rPr>
        <w:t xml:space="preserve">坠落：坠落导致机械部件松动，导致测量错误、误差过大或显示异常。 </w:t>
      </w:r>
    </w:p>
    <w:p w14:paraId="0DCEDA42">
      <w:pPr>
        <w:spacing w:line="520" w:lineRule="exact"/>
        <w:ind w:firstLine="640" w:firstLineChars="200"/>
        <w:rPr>
          <w:rFonts w:eastAsia="仿宋_GB2312"/>
          <w:kern w:val="0"/>
          <w:sz w:val="32"/>
          <w:szCs w:val="32"/>
        </w:rPr>
      </w:pPr>
      <w:r>
        <w:rPr>
          <w:rFonts w:eastAsia="仿宋_GB2312"/>
          <w:kern w:val="0"/>
          <w:sz w:val="32"/>
          <w:szCs w:val="32"/>
        </w:rPr>
        <w:t>1.1.2生物学和化学危险</w:t>
      </w:r>
    </w:p>
    <w:p w14:paraId="5397D06B">
      <w:pPr>
        <w:spacing w:line="520" w:lineRule="exact"/>
        <w:ind w:firstLine="640" w:firstLineChars="200"/>
        <w:rPr>
          <w:rFonts w:eastAsia="仿宋_GB2312"/>
          <w:kern w:val="0"/>
          <w:sz w:val="32"/>
          <w:szCs w:val="32"/>
        </w:rPr>
      </w:pPr>
      <w:r>
        <w:rPr>
          <w:rFonts w:eastAsia="仿宋_GB2312"/>
          <w:kern w:val="0"/>
          <w:sz w:val="32"/>
          <w:szCs w:val="32"/>
        </w:rPr>
        <w:t>生物学：公共场所未经清洗、消毒的与人体接触的部件引起的交叉感染、申报产品的原材料有毒有害对人体造成的危险、检测完成后剩余样本、试剂和废弃物处理不当引起的交叉感染。</w:t>
      </w:r>
    </w:p>
    <w:p w14:paraId="02238CCA">
      <w:pPr>
        <w:spacing w:line="520" w:lineRule="exact"/>
        <w:ind w:firstLine="640" w:firstLineChars="200"/>
        <w:rPr>
          <w:rFonts w:eastAsia="仿宋_GB2312"/>
          <w:kern w:val="0"/>
          <w:sz w:val="32"/>
          <w:szCs w:val="32"/>
        </w:rPr>
      </w:pPr>
      <w:r>
        <w:rPr>
          <w:rFonts w:eastAsia="仿宋_GB2312"/>
          <w:kern w:val="0"/>
          <w:sz w:val="32"/>
          <w:szCs w:val="32"/>
        </w:rPr>
        <w:t>化学：使用的清洁剂、消毒剂残留引发的危险。</w:t>
      </w:r>
    </w:p>
    <w:p w14:paraId="28DCD4C9">
      <w:pPr>
        <w:spacing w:line="520" w:lineRule="exact"/>
        <w:ind w:firstLine="640" w:firstLineChars="200"/>
        <w:rPr>
          <w:rFonts w:eastAsia="仿宋_GB2312"/>
          <w:kern w:val="0"/>
          <w:sz w:val="32"/>
          <w:szCs w:val="32"/>
        </w:rPr>
      </w:pPr>
      <w:r>
        <w:rPr>
          <w:rFonts w:eastAsia="仿宋_GB2312"/>
          <w:kern w:val="0"/>
          <w:sz w:val="32"/>
          <w:szCs w:val="32"/>
        </w:rPr>
        <w:t>1.1.3性能有关的危险</w:t>
      </w:r>
    </w:p>
    <w:p w14:paraId="3ADBEDBA">
      <w:pPr>
        <w:spacing w:line="520" w:lineRule="exact"/>
        <w:ind w:firstLine="640" w:firstLineChars="200"/>
        <w:rPr>
          <w:rFonts w:eastAsia="仿宋_GB2312"/>
          <w:kern w:val="0"/>
          <w:sz w:val="32"/>
          <w:szCs w:val="32"/>
        </w:rPr>
      </w:pPr>
      <w:r>
        <w:rPr>
          <w:rFonts w:eastAsia="仿宋_GB2312"/>
          <w:kern w:val="0"/>
          <w:sz w:val="32"/>
          <w:szCs w:val="32"/>
        </w:rPr>
        <w:t>不正确的测量：产品的检测装置超过寿命或长时间未经校准，导致误差过大。</w:t>
      </w:r>
    </w:p>
    <w:p w14:paraId="223BC6B9">
      <w:pPr>
        <w:spacing w:line="520" w:lineRule="exact"/>
        <w:ind w:firstLine="640" w:firstLineChars="200"/>
        <w:rPr>
          <w:rFonts w:eastAsia="仿宋_GB2312"/>
          <w:kern w:val="0"/>
          <w:sz w:val="32"/>
          <w:szCs w:val="32"/>
        </w:rPr>
      </w:pPr>
      <w:r>
        <w:rPr>
          <w:rFonts w:eastAsia="仿宋_GB2312"/>
          <w:kern w:val="0"/>
          <w:sz w:val="32"/>
          <w:szCs w:val="32"/>
        </w:rPr>
        <w:t>未按使用说明书中的要求进行测量，</w:t>
      </w:r>
      <w:r>
        <w:rPr>
          <w:rFonts w:hint="eastAsia" w:eastAsia="仿宋_GB2312"/>
          <w:kern w:val="0"/>
          <w:sz w:val="32"/>
          <w:szCs w:val="32"/>
          <w:lang w:val="en-US" w:eastAsia="zh-CN"/>
        </w:rPr>
        <w:t>会造成</w:t>
      </w:r>
      <w:r>
        <w:rPr>
          <w:rFonts w:eastAsia="仿宋_GB2312"/>
          <w:kern w:val="0"/>
          <w:sz w:val="32"/>
          <w:szCs w:val="32"/>
        </w:rPr>
        <w:t>测量失败、测量误差过大。</w:t>
      </w:r>
    </w:p>
    <w:p w14:paraId="6A436BFD">
      <w:pPr>
        <w:spacing w:line="520" w:lineRule="exact"/>
        <w:ind w:firstLine="640" w:firstLineChars="200"/>
        <w:rPr>
          <w:rFonts w:eastAsia="仿宋_GB2312"/>
          <w:kern w:val="0"/>
          <w:sz w:val="32"/>
          <w:szCs w:val="32"/>
        </w:rPr>
      </w:pPr>
      <w:r>
        <w:rPr>
          <w:rFonts w:eastAsia="仿宋_GB2312"/>
          <w:kern w:val="0"/>
          <w:sz w:val="32"/>
          <w:szCs w:val="32"/>
        </w:rPr>
        <w:t>使用不同厂家的或与分析</w:t>
      </w:r>
      <w:r>
        <w:rPr>
          <w:rFonts w:hint="eastAsia" w:eastAsia="仿宋_GB2312"/>
          <w:kern w:val="0"/>
          <w:sz w:val="32"/>
          <w:szCs w:val="32"/>
        </w:rPr>
        <w:t>系统</w:t>
      </w:r>
      <w:r>
        <w:rPr>
          <w:rFonts w:eastAsia="仿宋_GB2312"/>
          <w:kern w:val="0"/>
          <w:sz w:val="32"/>
          <w:szCs w:val="32"/>
        </w:rPr>
        <w:t>不相匹配的试剂，造成的测量失败、测量误差过大。</w:t>
      </w:r>
    </w:p>
    <w:p w14:paraId="3792BF5F">
      <w:pPr>
        <w:spacing w:line="520" w:lineRule="exact"/>
        <w:ind w:firstLine="640" w:firstLineChars="200"/>
        <w:rPr>
          <w:rFonts w:eastAsia="仿宋_GB2312"/>
          <w:kern w:val="0"/>
          <w:sz w:val="32"/>
          <w:szCs w:val="32"/>
        </w:rPr>
      </w:pPr>
      <w:r>
        <w:rPr>
          <w:rFonts w:eastAsia="仿宋_GB2312"/>
          <w:kern w:val="0"/>
          <w:sz w:val="32"/>
          <w:szCs w:val="32"/>
        </w:rPr>
        <w:t>在制造商规定的使用环境条件外使用产品，可能造成测量误差过大，产品寿命降低。</w:t>
      </w:r>
    </w:p>
    <w:p w14:paraId="13C48006">
      <w:pPr>
        <w:spacing w:line="520" w:lineRule="exact"/>
        <w:ind w:firstLine="640" w:firstLineChars="200"/>
        <w:rPr>
          <w:rFonts w:eastAsia="仿宋_GB2312"/>
          <w:kern w:val="0"/>
          <w:sz w:val="32"/>
          <w:szCs w:val="32"/>
        </w:rPr>
      </w:pPr>
      <w:r>
        <w:rPr>
          <w:rFonts w:eastAsia="仿宋_GB2312"/>
          <w:kern w:val="0"/>
          <w:sz w:val="32"/>
          <w:szCs w:val="32"/>
        </w:rPr>
        <w:t>未按产品说明书的规定对申报产品进行保养、未按产品说明书的规定更换具有使用寿命的元器件，造成的产品工作不正常。</w:t>
      </w:r>
    </w:p>
    <w:p w14:paraId="747017DB">
      <w:pPr>
        <w:spacing w:line="520" w:lineRule="exact"/>
        <w:ind w:firstLine="640" w:firstLineChars="200"/>
        <w:rPr>
          <w:rFonts w:eastAsia="仿宋_GB2312"/>
          <w:kern w:val="0"/>
          <w:sz w:val="32"/>
          <w:szCs w:val="32"/>
        </w:rPr>
      </w:pPr>
      <w:r>
        <w:rPr>
          <w:rFonts w:eastAsia="仿宋_GB2312"/>
          <w:kern w:val="0"/>
          <w:sz w:val="32"/>
          <w:szCs w:val="32"/>
        </w:rPr>
        <w:t>说明书未对限制充分告知，未对不正确的操作、与其他设备共同使用时易产生的危险进行警告，未正确标示储存条件、消毒方法、维护信息，未对因长期使用产生功能丧失而可能引发的危险进行警告，未对合理可预见的误用进行警告等引发的危险。</w:t>
      </w:r>
    </w:p>
    <w:p w14:paraId="0B5016CF">
      <w:pPr>
        <w:spacing w:line="520" w:lineRule="exact"/>
        <w:ind w:firstLine="640" w:firstLineChars="200"/>
        <w:rPr>
          <w:rFonts w:eastAsia="仿宋_GB2312"/>
          <w:kern w:val="0"/>
          <w:sz w:val="32"/>
          <w:szCs w:val="32"/>
        </w:rPr>
      </w:pPr>
      <w:r>
        <w:rPr>
          <w:rFonts w:eastAsia="仿宋_GB2312"/>
          <w:kern w:val="0"/>
          <w:sz w:val="32"/>
          <w:szCs w:val="32"/>
        </w:rPr>
        <w:t>1.2可参考的附件</w:t>
      </w:r>
    </w:p>
    <w:p w14:paraId="1A87CC8E">
      <w:pPr>
        <w:spacing w:line="520" w:lineRule="exact"/>
        <w:ind w:firstLine="640" w:firstLineChars="200"/>
        <w:rPr>
          <w:rFonts w:eastAsia="仿宋_GB2312"/>
          <w:kern w:val="0"/>
          <w:sz w:val="32"/>
          <w:szCs w:val="32"/>
        </w:rPr>
      </w:pPr>
      <w:r>
        <w:rPr>
          <w:rFonts w:eastAsia="仿宋_GB2312"/>
          <w:kern w:val="0"/>
          <w:sz w:val="32"/>
          <w:szCs w:val="32"/>
        </w:rPr>
        <w:t>1.2.1与产品有关的安全性特征判定可参考YY/T 1437。</w:t>
      </w:r>
    </w:p>
    <w:p w14:paraId="66BF36C1">
      <w:pPr>
        <w:spacing w:line="520" w:lineRule="exact"/>
        <w:ind w:firstLine="640" w:firstLineChars="200"/>
        <w:rPr>
          <w:rFonts w:eastAsia="仿宋_GB2312"/>
          <w:kern w:val="0"/>
          <w:sz w:val="32"/>
          <w:szCs w:val="32"/>
        </w:rPr>
      </w:pPr>
      <w:r>
        <w:rPr>
          <w:rFonts w:eastAsia="仿宋_GB2312"/>
          <w:kern w:val="0"/>
          <w:sz w:val="32"/>
          <w:szCs w:val="32"/>
        </w:rPr>
        <w:t>1.2.2危险、可预见的事件序列和危险处境判断可参考GB/T 42062的附件C。</w:t>
      </w:r>
    </w:p>
    <w:p w14:paraId="50A47BC7">
      <w:pPr>
        <w:spacing w:line="520" w:lineRule="exact"/>
        <w:ind w:firstLine="640" w:firstLineChars="200"/>
        <w:rPr>
          <w:rFonts w:eastAsia="仿宋_GB2312"/>
          <w:kern w:val="0"/>
          <w:sz w:val="32"/>
          <w:szCs w:val="32"/>
        </w:rPr>
      </w:pPr>
      <w:r>
        <w:rPr>
          <w:rFonts w:eastAsia="仿宋_GB2312"/>
          <w:kern w:val="0"/>
          <w:sz w:val="32"/>
          <w:szCs w:val="32"/>
        </w:rPr>
        <w:t>1.2.3风险控制的方案与实施、综合剩余风险的可接受性评价及生产和生产后监视相关方法可参考YY/T 1437。</w:t>
      </w:r>
    </w:p>
    <w:p w14:paraId="512D7030">
      <w:pPr>
        <w:spacing w:line="520" w:lineRule="exact"/>
        <w:ind w:firstLine="640" w:firstLineChars="200"/>
        <w:rPr>
          <w:rFonts w:eastAsia="仿宋_GB2312"/>
          <w:sz w:val="32"/>
          <w:szCs w:val="32"/>
        </w:rPr>
      </w:pPr>
      <w:r>
        <w:rPr>
          <w:rFonts w:hint="eastAsia" w:eastAsia="仿宋_GB2312"/>
          <w:sz w:val="32"/>
          <w:szCs w:val="32"/>
        </w:rPr>
        <w:t>2.医疗器械安全和性能基本原则清单</w:t>
      </w:r>
    </w:p>
    <w:p w14:paraId="5735B4AF">
      <w:pPr>
        <w:spacing w:line="520" w:lineRule="exact"/>
        <w:ind w:firstLine="640" w:firstLineChars="200"/>
        <w:outlineLvl w:val="1"/>
        <w:rPr>
          <w:rFonts w:eastAsia="仿宋_GB2312"/>
          <w:sz w:val="32"/>
          <w:szCs w:val="32"/>
        </w:rPr>
      </w:pPr>
      <w:r>
        <w:rPr>
          <w:rFonts w:hint="eastAsia" w:eastAsia="仿宋_GB2312"/>
          <w:sz w:val="32"/>
          <w:szCs w:val="32"/>
        </w:rPr>
        <w:t>说明产品</w:t>
      </w:r>
      <w:r>
        <w:rPr>
          <w:rFonts w:eastAsia="仿宋_GB2312"/>
          <w:sz w:val="32"/>
          <w:szCs w:val="32"/>
        </w:rPr>
        <w:t>符合</w:t>
      </w:r>
      <w:r>
        <w:rPr>
          <w:rFonts w:hint="eastAsia" w:eastAsia="仿宋_GB2312"/>
          <w:sz w:val="32"/>
          <w:szCs w:val="32"/>
        </w:rPr>
        <w:t>《医疗器械安全和性能基本原则清单》各项适用要求所采用的方法，以及证明其符合性的文件。对于不适用的各项要求，应当说明理由。</w:t>
      </w:r>
    </w:p>
    <w:p w14:paraId="42616FD8">
      <w:pPr>
        <w:spacing w:line="520" w:lineRule="exact"/>
        <w:ind w:firstLine="640" w:firstLineChars="200"/>
        <w:rPr>
          <w:rFonts w:eastAsia="仿宋_GB2312"/>
          <w:sz w:val="32"/>
          <w:szCs w:val="32"/>
        </w:rPr>
      </w:pPr>
      <w:r>
        <w:rPr>
          <w:rFonts w:eastAsia="仿宋_GB2312"/>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14:paraId="2F0C9C3E">
      <w:pPr>
        <w:spacing w:line="520" w:lineRule="exact"/>
        <w:ind w:firstLine="640" w:firstLineChars="200"/>
        <w:rPr>
          <w:rFonts w:eastAsia="仿宋_GB2312"/>
          <w:color w:val="000000"/>
          <w:sz w:val="32"/>
          <w:szCs w:val="32"/>
        </w:rPr>
      </w:pPr>
      <w:r>
        <w:rPr>
          <w:rFonts w:hint="eastAsia" w:eastAsia="仿宋_GB2312"/>
          <w:sz w:val="32"/>
          <w:szCs w:val="32"/>
        </w:rPr>
        <w:t>3.</w:t>
      </w:r>
      <w:r>
        <w:rPr>
          <w:rFonts w:hint="eastAsia" w:eastAsia="仿宋_GB2312"/>
          <w:color w:val="000000"/>
          <w:sz w:val="32"/>
          <w:szCs w:val="32"/>
        </w:rPr>
        <w:t>产品技术要求及检验报告</w:t>
      </w:r>
    </w:p>
    <w:p w14:paraId="11D2CA26">
      <w:pPr>
        <w:spacing w:line="520" w:lineRule="exact"/>
        <w:ind w:firstLine="640" w:firstLineChars="200"/>
        <w:outlineLvl w:val="2"/>
        <w:rPr>
          <w:rFonts w:eastAsia="仿宋_GB2312"/>
          <w:sz w:val="32"/>
          <w:szCs w:val="32"/>
        </w:rPr>
      </w:pPr>
      <w:r>
        <w:rPr>
          <w:rFonts w:hint="eastAsia" w:eastAsia="仿宋_GB2312"/>
          <w:sz w:val="32"/>
          <w:szCs w:val="32"/>
        </w:rPr>
        <w:t>3.1</w:t>
      </w:r>
      <w:r>
        <w:rPr>
          <w:rFonts w:eastAsia="仿宋_GB2312"/>
          <w:sz w:val="32"/>
          <w:szCs w:val="32"/>
        </w:rPr>
        <w:t>申报产品适用标准情况</w:t>
      </w:r>
    </w:p>
    <w:p w14:paraId="5EA1BC31">
      <w:pPr>
        <w:spacing w:line="520" w:lineRule="exact"/>
        <w:ind w:firstLine="640" w:firstLineChars="200"/>
        <w:outlineLvl w:val="2"/>
      </w:pPr>
      <w:r>
        <w:rPr>
          <w:rFonts w:eastAsia="仿宋_GB2312"/>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14:paraId="7DBD79F7">
      <w:pPr>
        <w:adjustRightInd w:val="0"/>
        <w:snapToGrid w:val="0"/>
        <w:spacing w:line="520" w:lineRule="exact"/>
        <w:ind w:firstLine="640" w:firstLineChars="200"/>
        <w:rPr>
          <w:rFonts w:eastAsia="仿宋_GB2312"/>
          <w:spacing w:val="-1"/>
          <w:sz w:val="32"/>
          <w:szCs w:val="32"/>
        </w:rPr>
      </w:pPr>
      <w:r>
        <w:rPr>
          <w:rFonts w:hint="eastAsia" w:eastAsia="仿宋_GB2312"/>
          <w:sz w:val="32"/>
          <w:szCs w:val="32"/>
        </w:rPr>
        <w:t>3</w:t>
      </w:r>
      <w:r>
        <w:rPr>
          <w:rFonts w:eastAsia="仿宋_GB2312"/>
          <w:sz w:val="32"/>
          <w:szCs w:val="32"/>
        </w:rPr>
        <w:t>.</w:t>
      </w:r>
      <w:r>
        <w:rPr>
          <w:rFonts w:hint="eastAsia" w:eastAsia="仿宋_GB2312"/>
          <w:sz w:val="32"/>
          <w:szCs w:val="32"/>
        </w:rPr>
        <w:t>2</w:t>
      </w:r>
      <w:r>
        <w:rPr>
          <w:rFonts w:eastAsia="仿宋_GB2312"/>
          <w:spacing w:val="-1"/>
          <w:sz w:val="32"/>
          <w:szCs w:val="32"/>
        </w:rPr>
        <w:t>产品技术要求</w:t>
      </w:r>
    </w:p>
    <w:p w14:paraId="68FCF496">
      <w:pPr>
        <w:spacing w:line="520" w:lineRule="exact"/>
        <w:ind w:firstLine="640" w:firstLineChars="200"/>
        <w:outlineLvl w:val="2"/>
        <w:rPr>
          <w:rFonts w:eastAsia="仿宋_GB2312"/>
          <w:sz w:val="32"/>
          <w:szCs w:val="32"/>
        </w:rPr>
      </w:pPr>
      <w:r>
        <w:rPr>
          <w:rFonts w:hint="eastAsia" w:eastAsia="仿宋_GB2312"/>
          <w:sz w:val="32"/>
          <w:szCs w:val="32"/>
        </w:rPr>
        <w:t>产品技术要求应按照《医疗器械产品技术要求编写指导原则》</w:t>
      </w:r>
      <w:r>
        <w:rPr>
          <w:rFonts w:eastAsia="仿宋_GB2312"/>
          <w:sz w:val="32"/>
          <w:szCs w:val="32"/>
        </w:rPr>
        <w:t>等规范性文件进行编制</w:t>
      </w:r>
      <w:r>
        <w:rPr>
          <w:rFonts w:hint="eastAsia" w:eastAsia="仿宋_GB2312"/>
          <w:sz w:val="32"/>
          <w:szCs w:val="32"/>
        </w:rPr>
        <w:t>。</w:t>
      </w:r>
    </w:p>
    <w:p w14:paraId="4B400212">
      <w:pPr>
        <w:spacing w:line="520" w:lineRule="exact"/>
        <w:ind w:firstLine="640" w:firstLineChars="200"/>
        <w:outlineLvl w:val="2"/>
        <w:rPr>
          <w:rFonts w:eastAsia="仿宋_GB2312"/>
          <w:sz w:val="32"/>
          <w:szCs w:val="32"/>
        </w:rPr>
      </w:pPr>
      <w:r>
        <w:rPr>
          <w:rFonts w:hint="eastAsia" w:eastAsia="仿宋_GB2312"/>
          <w:sz w:val="32"/>
          <w:szCs w:val="32"/>
        </w:rPr>
        <w:t>不同的产品其结构根据设计要求会有所区别。本指导原则列出此类产品可能涉及的重要性能参数，注册申请人可根据自身产品的技术特点制定性能指标的具体要求。</w:t>
      </w:r>
    </w:p>
    <w:p w14:paraId="719C55BC">
      <w:pPr>
        <w:tabs>
          <w:tab w:val="left" w:pos="1440"/>
        </w:tabs>
        <w:spacing w:line="520" w:lineRule="exact"/>
        <w:ind w:firstLine="640"/>
        <w:rPr>
          <w:rFonts w:eastAsia="仿宋_GB2312"/>
          <w:sz w:val="32"/>
          <w:szCs w:val="32"/>
        </w:rPr>
      </w:pPr>
      <w:r>
        <w:rPr>
          <w:rFonts w:hint="eastAsia" w:eastAsia="仿宋_GB2312"/>
          <w:sz w:val="32"/>
          <w:szCs w:val="32"/>
        </w:rPr>
        <w:t>3.2.1产品型号规格及其划分说明</w:t>
      </w:r>
    </w:p>
    <w:p w14:paraId="15920E67">
      <w:pPr>
        <w:spacing w:line="520" w:lineRule="exact"/>
        <w:ind w:firstLine="640" w:firstLineChars="200"/>
        <w:outlineLvl w:val="1"/>
        <w:rPr>
          <w:rFonts w:eastAsia="仿宋_GB2312"/>
          <w:sz w:val="32"/>
          <w:szCs w:val="32"/>
        </w:rPr>
      </w:pPr>
      <w:r>
        <w:rPr>
          <w:rFonts w:hint="eastAsia" w:eastAsia="仿宋_GB2312"/>
          <w:sz w:val="32"/>
          <w:szCs w:val="32"/>
        </w:rPr>
        <w:t>应明确各规格型号划分依据及说明。若有多个型号，应提供型号间主要差异对比表。</w:t>
      </w:r>
    </w:p>
    <w:p w14:paraId="1F3F37B2">
      <w:pPr>
        <w:spacing w:line="520" w:lineRule="exact"/>
        <w:ind w:firstLine="640" w:firstLineChars="200"/>
        <w:outlineLvl w:val="2"/>
        <w:rPr>
          <w:rFonts w:eastAsia="仿宋_GB2312"/>
          <w:sz w:val="32"/>
          <w:szCs w:val="32"/>
        </w:rPr>
      </w:pPr>
      <w:r>
        <w:rPr>
          <w:rFonts w:hint="eastAsia" w:eastAsia="仿宋_GB2312"/>
          <w:sz w:val="32"/>
          <w:szCs w:val="32"/>
        </w:rPr>
        <w:t>应按照《医疗器械软件注册审查指导原则（2022年修订版）》的要求，明确软件名称、型号规格、发布版本、版本命名规则。软件版本命名应能区分重大软件更新和轻微软件更新。</w:t>
      </w:r>
    </w:p>
    <w:p w14:paraId="57487CEE">
      <w:pPr>
        <w:tabs>
          <w:tab w:val="left" w:pos="1440"/>
        </w:tabs>
        <w:spacing w:line="520" w:lineRule="exact"/>
        <w:ind w:firstLine="640"/>
        <w:rPr>
          <w:rFonts w:eastAsia="仿宋_GB2312"/>
          <w:sz w:val="32"/>
          <w:szCs w:val="32"/>
        </w:rPr>
      </w:pPr>
      <w:r>
        <w:rPr>
          <w:rFonts w:hint="eastAsia" w:eastAsia="仿宋_GB2312"/>
          <w:sz w:val="32"/>
          <w:szCs w:val="32"/>
        </w:rPr>
        <w:t>3.</w:t>
      </w:r>
      <w:r>
        <w:rPr>
          <w:rFonts w:eastAsia="仿宋_GB2312"/>
          <w:sz w:val="32"/>
          <w:szCs w:val="32"/>
        </w:rPr>
        <w:t>2</w:t>
      </w:r>
      <w:r>
        <w:rPr>
          <w:rFonts w:hint="eastAsia" w:eastAsia="仿宋_GB2312"/>
          <w:sz w:val="32"/>
          <w:szCs w:val="32"/>
        </w:rPr>
        <w:t>.2</w:t>
      </w:r>
      <w:r>
        <w:rPr>
          <w:rFonts w:eastAsia="仿宋_GB2312"/>
          <w:sz w:val="32"/>
          <w:szCs w:val="32"/>
        </w:rPr>
        <w:t>性能指标</w:t>
      </w:r>
    </w:p>
    <w:p w14:paraId="12EDAB6D">
      <w:pPr>
        <w:adjustRightInd w:val="0"/>
        <w:snapToGrid w:val="0"/>
        <w:spacing w:line="520" w:lineRule="exact"/>
        <w:ind w:firstLine="640" w:firstLineChars="200"/>
        <w:rPr>
          <w:rFonts w:eastAsia="仿宋_GB2312"/>
          <w:sz w:val="32"/>
          <w:szCs w:val="32"/>
        </w:rPr>
      </w:pPr>
      <w:r>
        <w:rPr>
          <w:rFonts w:hint="eastAsia" w:eastAsia="仿宋_GB2312"/>
          <w:sz w:val="32"/>
          <w:szCs w:val="32"/>
        </w:rPr>
        <w:t>3.2.2.1一般性能</w:t>
      </w:r>
    </w:p>
    <w:p w14:paraId="42D63CD4">
      <w:pPr>
        <w:adjustRightInd w:val="0"/>
        <w:snapToGrid w:val="0"/>
        <w:spacing w:line="520" w:lineRule="exact"/>
        <w:ind w:firstLine="640" w:firstLineChars="200"/>
        <w:rPr>
          <w:rFonts w:eastAsia="仿宋_GB2312"/>
          <w:sz w:val="32"/>
          <w:szCs w:val="32"/>
        </w:rPr>
      </w:pPr>
      <w:r>
        <w:rPr>
          <w:rFonts w:hint="eastAsia" w:eastAsia="仿宋_GB2312"/>
          <w:sz w:val="32"/>
          <w:szCs w:val="32"/>
        </w:rPr>
        <w:t>尿液干化学模块的</w:t>
      </w:r>
      <w:r>
        <w:rPr>
          <w:rFonts w:eastAsia="仿宋_GB2312"/>
          <w:sz w:val="32"/>
          <w:szCs w:val="32"/>
        </w:rPr>
        <w:t>性能指标、检验方法的内容</w:t>
      </w:r>
      <w:r>
        <w:rPr>
          <w:rFonts w:hint="eastAsia" w:eastAsia="仿宋_GB2312"/>
          <w:sz w:val="32"/>
          <w:szCs w:val="32"/>
        </w:rPr>
        <w:t>应不低于</w:t>
      </w:r>
      <w:r>
        <w:rPr>
          <w:rFonts w:eastAsia="仿宋_GB2312"/>
          <w:sz w:val="32"/>
          <w:szCs w:val="32"/>
        </w:rPr>
        <w:t>YY/T 0475《</w:t>
      </w:r>
      <w:r>
        <w:rPr>
          <w:rFonts w:hint="eastAsia" w:eastAsia="仿宋_GB2312"/>
          <w:sz w:val="32"/>
          <w:szCs w:val="32"/>
        </w:rPr>
        <w:t>干化学尿液分析仪</w:t>
      </w:r>
      <w:r>
        <w:rPr>
          <w:rFonts w:eastAsia="仿宋_GB2312"/>
          <w:sz w:val="32"/>
          <w:szCs w:val="32"/>
        </w:rPr>
        <w:t>》</w:t>
      </w:r>
      <w:r>
        <w:rPr>
          <w:rFonts w:hint="eastAsia" w:eastAsia="仿宋_GB2312"/>
          <w:sz w:val="32"/>
          <w:szCs w:val="32"/>
        </w:rPr>
        <w:t>，尿液有形成分分析模块的</w:t>
      </w:r>
      <w:r>
        <w:rPr>
          <w:rFonts w:eastAsia="仿宋_GB2312"/>
          <w:sz w:val="32"/>
          <w:szCs w:val="32"/>
        </w:rPr>
        <w:t>性能指标、检验方法的内容</w:t>
      </w:r>
      <w:r>
        <w:rPr>
          <w:rFonts w:hint="eastAsia" w:eastAsia="仿宋_GB2312"/>
          <w:sz w:val="32"/>
          <w:szCs w:val="32"/>
        </w:rPr>
        <w:t>应不低于YY</w:t>
      </w:r>
      <w:r>
        <w:rPr>
          <w:rFonts w:eastAsia="仿宋_GB2312"/>
          <w:sz w:val="32"/>
          <w:szCs w:val="32"/>
        </w:rPr>
        <w:t>/</w:t>
      </w:r>
      <w:r>
        <w:rPr>
          <w:rFonts w:hint="eastAsia" w:eastAsia="仿宋_GB2312"/>
          <w:sz w:val="32"/>
          <w:szCs w:val="32"/>
        </w:rPr>
        <w:t>T 0996</w:t>
      </w:r>
      <w:r>
        <w:rPr>
          <w:rFonts w:eastAsia="仿宋_GB2312"/>
          <w:sz w:val="32"/>
          <w:szCs w:val="32"/>
        </w:rPr>
        <w:t>《</w:t>
      </w:r>
      <w:r>
        <w:rPr>
          <w:rFonts w:hint="eastAsia" w:eastAsia="仿宋_GB2312"/>
          <w:sz w:val="32"/>
          <w:szCs w:val="32"/>
        </w:rPr>
        <w:t>尿液有形成分分析仪（数字成像自动识别）</w:t>
      </w:r>
      <w:r>
        <w:rPr>
          <w:rFonts w:eastAsia="仿宋_GB2312"/>
          <w:sz w:val="32"/>
          <w:szCs w:val="32"/>
        </w:rPr>
        <w:t>》</w:t>
      </w:r>
      <w:r>
        <w:rPr>
          <w:rFonts w:hint="eastAsia" w:eastAsia="仿宋_GB2312"/>
          <w:sz w:val="32"/>
          <w:szCs w:val="32"/>
        </w:rPr>
        <w:t>。</w:t>
      </w:r>
    </w:p>
    <w:p w14:paraId="2FE86EC1">
      <w:pPr>
        <w:adjustRightInd w:val="0"/>
        <w:snapToGrid w:val="0"/>
        <w:spacing w:line="520" w:lineRule="exact"/>
        <w:ind w:firstLine="640" w:firstLineChars="200"/>
        <w:rPr>
          <w:rFonts w:eastAsia="仿宋_GB2312"/>
          <w:sz w:val="32"/>
          <w:szCs w:val="32"/>
        </w:rPr>
      </w:pPr>
      <w:r>
        <w:rPr>
          <w:rFonts w:eastAsia="仿宋_GB2312"/>
          <w:sz w:val="32"/>
          <w:szCs w:val="32"/>
        </w:rPr>
        <w:t>若申报产品除YY/T 0475</w:t>
      </w:r>
      <w:r>
        <w:rPr>
          <w:rFonts w:hint="eastAsia" w:eastAsia="仿宋_GB2312"/>
          <w:sz w:val="32"/>
          <w:szCs w:val="32"/>
        </w:rPr>
        <w:t>、YY</w:t>
      </w:r>
      <w:r>
        <w:rPr>
          <w:rFonts w:eastAsia="仿宋_GB2312"/>
          <w:sz w:val="32"/>
          <w:szCs w:val="32"/>
        </w:rPr>
        <w:t>/</w:t>
      </w:r>
      <w:r>
        <w:rPr>
          <w:rFonts w:hint="eastAsia" w:eastAsia="仿宋_GB2312"/>
          <w:sz w:val="32"/>
          <w:szCs w:val="32"/>
        </w:rPr>
        <w:t>T 0996</w:t>
      </w:r>
      <w:r>
        <w:rPr>
          <w:rFonts w:eastAsia="仿宋_GB2312"/>
          <w:sz w:val="32"/>
          <w:szCs w:val="32"/>
        </w:rPr>
        <w:t>提及功能外还具有其他检验或分析功能，还应对每一检验或分析功能提出相应的性能指标及检验方法。</w:t>
      </w:r>
    </w:p>
    <w:p w14:paraId="02ED9E82">
      <w:pPr>
        <w:spacing w:line="520" w:lineRule="exact"/>
        <w:ind w:firstLine="640" w:firstLineChars="200"/>
        <w:rPr>
          <w:rFonts w:eastAsia="仿宋_GB2312"/>
          <w:sz w:val="32"/>
          <w:szCs w:val="32"/>
        </w:rPr>
      </w:pPr>
      <w:r>
        <w:rPr>
          <w:rFonts w:eastAsia="仿宋_GB2312"/>
          <w:sz w:val="32"/>
          <w:szCs w:val="32"/>
        </w:rPr>
        <w:t>注册申请人应结合产品自身功能、工作原理特点、技术水平予以考虑适用的标准。产品技术要求中性能指标项目的具体要求应与性能研究资料保持一致，并具有确定的研究资料依据。</w:t>
      </w:r>
    </w:p>
    <w:p w14:paraId="70E6A423">
      <w:pPr>
        <w:adjustRightInd w:val="0"/>
        <w:snapToGrid w:val="0"/>
        <w:spacing w:line="520" w:lineRule="exact"/>
        <w:ind w:firstLine="640" w:firstLineChars="200"/>
        <w:jc w:val="left"/>
        <w:rPr>
          <w:rFonts w:hint="eastAsia" w:eastAsia="仿宋_GB2312"/>
          <w:sz w:val="32"/>
          <w:szCs w:val="28"/>
        </w:rPr>
      </w:pPr>
      <w:r>
        <w:rPr>
          <w:rFonts w:hint="eastAsia" w:eastAsia="仿宋_GB2312"/>
          <w:sz w:val="32"/>
          <w:szCs w:val="28"/>
        </w:rPr>
        <w:t>3.2.2.2软件功能</w:t>
      </w:r>
    </w:p>
    <w:p w14:paraId="5B33B46C">
      <w:pPr>
        <w:spacing w:line="520" w:lineRule="exact"/>
        <w:ind w:firstLine="640" w:firstLineChars="200"/>
        <w:outlineLvl w:val="2"/>
        <w:rPr>
          <w:rFonts w:eastAsia="仿宋_GB2312"/>
          <w:sz w:val="32"/>
          <w:szCs w:val="32"/>
        </w:rPr>
      </w:pPr>
      <w:r>
        <w:rPr>
          <w:rFonts w:hint="eastAsia" w:eastAsia="仿宋_GB2312"/>
          <w:sz w:val="32"/>
          <w:szCs w:val="28"/>
        </w:rPr>
        <w:t>应符合《医疗器械软件注册审查指导原则（2022年修订版）》的要求，明确软件的功能（核心功能（含安全功能）纲要）、使用限制、接口（如适用）、访问控制（如适用）、运行环境（如适用）、性能效率（如适用）</w:t>
      </w:r>
      <w:r>
        <w:rPr>
          <w:rFonts w:hint="eastAsia" w:eastAsia="仿宋_GB2312"/>
          <w:sz w:val="32"/>
          <w:szCs w:val="32"/>
        </w:rPr>
        <w:t>等</w:t>
      </w:r>
      <w:r>
        <w:rPr>
          <w:rFonts w:hint="eastAsia" w:eastAsia="仿宋_GB2312"/>
          <w:sz w:val="32"/>
          <w:szCs w:val="28"/>
        </w:rPr>
        <w:t>。</w:t>
      </w:r>
    </w:p>
    <w:p w14:paraId="699D7EC1">
      <w:pPr>
        <w:adjustRightInd w:val="0"/>
        <w:snapToGrid w:val="0"/>
        <w:spacing w:line="520" w:lineRule="exact"/>
        <w:ind w:firstLine="640" w:firstLineChars="200"/>
        <w:rPr>
          <w:rFonts w:eastAsia="仿宋_GB2312"/>
          <w:sz w:val="32"/>
          <w:szCs w:val="32"/>
        </w:rPr>
      </w:pPr>
      <w:r>
        <w:rPr>
          <w:rFonts w:hint="eastAsia" w:eastAsia="仿宋_GB2312"/>
          <w:sz w:val="32"/>
          <w:szCs w:val="32"/>
        </w:rPr>
        <w:t>3.2.2.3</w:t>
      </w:r>
      <w:r>
        <w:rPr>
          <w:rFonts w:eastAsia="仿宋_GB2312"/>
          <w:sz w:val="32"/>
          <w:szCs w:val="32"/>
        </w:rPr>
        <w:t>安全</w:t>
      </w:r>
      <w:r>
        <w:rPr>
          <w:rFonts w:hint="eastAsia" w:eastAsia="仿宋_GB2312"/>
          <w:sz w:val="32"/>
          <w:szCs w:val="32"/>
        </w:rPr>
        <w:t>性能</w:t>
      </w:r>
    </w:p>
    <w:p w14:paraId="5A14A50D">
      <w:pPr>
        <w:adjustRightInd w:val="0"/>
        <w:snapToGrid w:val="0"/>
        <w:spacing w:line="520" w:lineRule="exact"/>
        <w:ind w:firstLine="640" w:firstLineChars="200"/>
        <w:jc w:val="left"/>
        <w:rPr>
          <w:rFonts w:eastAsia="仿宋_GB2312"/>
          <w:sz w:val="32"/>
          <w:szCs w:val="32"/>
        </w:rPr>
      </w:pPr>
      <w:r>
        <w:rPr>
          <w:rFonts w:hint="eastAsia" w:eastAsia="仿宋_GB2312"/>
          <w:sz w:val="32"/>
          <w:szCs w:val="32"/>
        </w:rPr>
        <w:t>符合GB 4793、YY/T 0648、</w:t>
      </w:r>
      <w:r>
        <w:rPr>
          <w:rFonts w:hint="eastAsia" w:eastAsia="仿宋_GB2312"/>
          <w:sz w:val="32"/>
          <w:szCs w:val="28"/>
        </w:rPr>
        <w:t>GB/T 42125</w:t>
      </w:r>
      <w:r>
        <w:rPr>
          <w:rFonts w:hint="eastAsia" w:eastAsia="仿宋_GB2312"/>
          <w:sz w:val="32"/>
          <w:szCs w:val="32"/>
        </w:rPr>
        <w:t>系列标准中适用条款要求。</w:t>
      </w:r>
    </w:p>
    <w:p w14:paraId="650CD5FD">
      <w:pPr>
        <w:adjustRightInd w:val="0"/>
        <w:snapToGrid w:val="0"/>
        <w:spacing w:line="520" w:lineRule="exact"/>
        <w:ind w:firstLine="640" w:firstLineChars="200"/>
        <w:rPr>
          <w:rFonts w:eastAsia="仿宋_GB2312"/>
          <w:sz w:val="32"/>
          <w:szCs w:val="32"/>
        </w:rPr>
      </w:pPr>
      <w:r>
        <w:rPr>
          <w:rFonts w:hint="eastAsia" w:eastAsia="仿宋_GB2312"/>
          <w:sz w:val="32"/>
          <w:szCs w:val="32"/>
        </w:rPr>
        <w:t>3.2.2.4</w:t>
      </w:r>
      <w:r>
        <w:rPr>
          <w:rFonts w:eastAsia="仿宋_GB2312"/>
          <w:sz w:val="32"/>
          <w:szCs w:val="32"/>
        </w:rPr>
        <w:t>电磁兼容要求</w:t>
      </w:r>
    </w:p>
    <w:p w14:paraId="387A24D3">
      <w:pPr>
        <w:adjustRightInd w:val="0"/>
        <w:snapToGrid w:val="0"/>
        <w:spacing w:line="520" w:lineRule="exact"/>
        <w:ind w:firstLine="640" w:firstLineChars="200"/>
        <w:rPr>
          <w:rFonts w:eastAsia="仿宋_GB2312"/>
          <w:sz w:val="32"/>
          <w:szCs w:val="32"/>
        </w:rPr>
      </w:pPr>
      <w:r>
        <w:rPr>
          <w:rFonts w:eastAsia="仿宋_GB2312"/>
          <w:sz w:val="32"/>
          <w:szCs w:val="32"/>
        </w:rPr>
        <w:t>符合GB/T 18268.1、GB/T 18268.26中适用条款的要求。</w:t>
      </w:r>
    </w:p>
    <w:p w14:paraId="40E38B4B">
      <w:pPr>
        <w:adjustRightInd w:val="0"/>
        <w:snapToGrid w:val="0"/>
        <w:spacing w:line="520" w:lineRule="exact"/>
        <w:ind w:firstLine="640" w:firstLineChars="200"/>
        <w:rPr>
          <w:rFonts w:eastAsia="仿宋_GB2312"/>
          <w:sz w:val="32"/>
          <w:szCs w:val="32"/>
        </w:rPr>
      </w:pPr>
      <w:r>
        <w:rPr>
          <w:rFonts w:hint="eastAsia" w:eastAsia="仿宋_GB2312"/>
          <w:sz w:val="32"/>
          <w:szCs w:val="32"/>
        </w:rPr>
        <w:t>3</w:t>
      </w:r>
      <w:r>
        <w:rPr>
          <w:rFonts w:eastAsia="仿宋_GB2312"/>
          <w:sz w:val="32"/>
          <w:szCs w:val="32"/>
        </w:rPr>
        <w:t>.</w:t>
      </w:r>
      <w:r>
        <w:rPr>
          <w:rFonts w:hint="eastAsia" w:eastAsia="仿宋_GB2312"/>
          <w:sz w:val="32"/>
          <w:szCs w:val="32"/>
        </w:rPr>
        <w:t>2</w:t>
      </w:r>
      <w:r>
        <w:rPr>
          <w:rFonts w:eastAsia="仿宋_GB2312"/>
          <w:sz w:val="32"/>
          <w:szCs w:val="32"/>
        </w:rPr>
        <w:t>.</w:t>
      </w:r>
      <w:r>
        <w:rPr>
          <w:rFonts w:hint="eastAsia" w:eastAsia="仿宋_GB2312"/>
          <w:sz w:val="32"/>
          <w:szCs w:val="32"/>
        </w:rPr>
        <w:t>2.5</w:t>
      </w:r>
      <w:r>
        <w:rPr>
          <w:rFonts w:eastAsia="仿宋_GB2312"/>
          <w:sz w:val="32"/>
          <w:szCs w:val="32"/>
        </w:rPr>
        <w:t>网络安全</w:t>
      </w:r>
    </w:p>
    <w:p w14:paraId="74639183">
      <w:pPr>
        <w:spacing w:line="520" w:lineRule="exact"/>
        <w:ind w:right="-67" w:rightChars="-32" w:firstLine="640" w:firstLineChars="200"/>
        <w:rPr>
          <w:rFonts w:eastAsia="仿宋_GB2312"/>
          <w:bCs/>
          <w:sz w:val="32"/>
          <w:szCs w:val="32"/>
        </w:rPr>
      </w:pPr>
      <w:r>
        <w:rPr>
          <w:rFonts w:eastAsia="仿宋_GB2312"/>
          <w:sz w:val="32"/>
          <w:szCs w:val="32"/>
        </w:rPr>
        <w:t>网络安全应参照《</w:t>
      </w:r>
      <w:r>
        <w:rPr>
          <w:rFonts w:hint="eastAsia" w:eastAsia="仿宋_GB2312"/>
          <w:sz w:val="32"/>
          <w:szCs w:val="32"/>
        </w:rPr>
        <w:t>医疗器械网络安全注册审查指导原则（2022年修订版）</w:t>
      </w:r>
      <w:r>
        <w:rPr>
          <w:rFonts w:eastAsia="仿宋_GB2312"/>
          <w:sz w:val="32"/>
          <w:szCs w:val="32"/>
        </w:rPr>
        <w:t>》</w:t>
      </w:r>
      <w:r>
        <w:rPr>
          <w:rFonts w:eastAsia="仿宋_GB2312"/>
          <w:bCs/>
          <w:sz w:val="32"/>
          <w:szCs w:val="32"/>
        </w:rPr>
        <w:t>的相关要求。</w:t>
      </w:r>
    </w:p>
    <w:p w14:paraId="2AD2438E">
      <w:pPr>
        <w:spacing w:line="520" w:lineRule="exact"/>
        <w:ind w:right="-67" w:rightChars="-32" w:firstLine="640" w:firstLineChars="200"/>
        <w:rPr>
          <w:rFonts w:eastAsia="仿宋_GB2312"/>
          <w:spacing w:val="-1"/>
          <w:sz w:val="32"/>
          <w:szCs w:val="32"/>
        </w:rPr>
      </w:pPr>
      <w:r>
        <w:rPr>
          <w:rFonts w:hint="eastAsia" w:eastAsia="仿宋_GB2312"/>
          <w:sz w:val="32"/>
          <w:szCs w:val="32"/>
        </w:rPr>
        <w:t>注：环境试验要求不建议纳入产品技术要求性能指标中。</w:t>
      </w:r>
    </w:p>
    <w:p w14:paraId="5F7666E4">
      <w:pPr>
        <w:spacing w:line="520" w:lineRule="exact"/>
        <w:ind w:right="-67" w:rightChars="-32" w:firstLine="640" w:firstLineChars="200"/>
        <w:rPr>
          <w:rFonts w:eastAsia="仿宋_GB2312"/>
          <w:sz w:val="32"/>
          <w:szCs w:val="32"/>
        </w:rPr>
      </w:pPr>
      <w:r>
        <w:rPr>
          <w:rFonts w:hint="eastAsia" w:eastAsia="仿宋_GB2312"/>
          <w:sz w:val="32"/>
          <w:szCs w:val="32"/>
        </w:rPr>
        <w:t>3</w:t>
      </w:r>
      <w:r>
        <w:rPr>
          <w:rFonts w:eastAsia="仿宋_GB2312"/>
          <w:sz w:val="32"/>
          <w:szCs w:val="32"/>
        </w:rPr>
        <w:t>.</w:t>
      </w:r>
      <w:r>
        <w:rPr>
          <w:rFonts w:hint="eastAsia" w:eastAsia="仿宋_GB2312"/>
          <w:sz w:val="32"/>
          <w:szCs w:val="32"/>
        </w:rPr>
        <w:t>3产品</w:t>
      </w:r>
      <w:r>
        <w:rPr>
          <w:rFonts w:eastAsia="仿宋_GB2312"/>
          <w:spacing w:val="-1"/>
          <w:sz w:val="32"/>
          <w:szCs w:val="32"/>
        </w:rPr>
        <w:t>检验报告</w:t>
      </w:r>
    </w:p>
    <w:p w14:paraId="5C561D88">
      <w:pPr>
        <w:autoSpaceDE w:val="0"/>
        <w:autoSpaceDN w:val="0"/>
        <w:spacing w:line="520" w:lineRule="exact"/>
        <w:ind w:firstLine="640" w:firstLineChars="200"/>
        <w:rPr>
          <w:rFonts w:hint="eastAsia" w:eastAsia="仿宋_GB2312"/>
          <w:kern w:val="0"/>
          <w:sz w:val="32"/>
          <w:szCs w:val="32"/>
        </w:rPr>
      </w:pPr>
      <w:r>
        <w:rPr>
          <w:rFonts w:hint="eastAsia" w:eastAsia="仿宋_GB2312"/>
          <w:kern w:val="0"/>
          <w:sz w:val="32"/>
          <w:szCs w:val="32"/>
        </w:rPr>
        <w:t>注册申报时可提交注册申请人按《医疗器械自检管理规定》出具的自检报告，或委托有资质的医疗器械检验机构出具的检验报告；典型型号产品原则上应选取同一注册单元内功能最齐全、结构组成最复杂、风险最高，且能代表本单元其他产品安全性和有效性的产品，若单元内各型号性能指标无法被典型型号全部涵盖，应针对差异部分分别进行检验。</w:t>
      </w:r>
    </w:p>
    <w:p w14:paraId="6EB7C90A">
      <w:pPr>
        <w:autoSpaceDE w:val="0"/>
        <w:autoSpaceDN w:val="0"/>
        <w:spacing w:line="520" w:lineRule="exact"/>
        <w:ind w:firstLine="640" w:firstLineChars="200"/>
        <w:rPr>
          <w:rFonts w:eastAsia="仿宋_GB2312"/>
          <w:kern w:val="0"/>
          <w:sz w:val="32"/>
          <w:szCs w:val="32"/>
        </w:rPr>
      </w:pPr>
      <w:r>
        <w:rPr>
          <w:rFonts w:hint="eastAsia" w:eastAsia="仿宋_GB2312"/>
          <w:kern w:val="0"/>
          <w:sz w:val="32"/>
          <w:szCs w:val="32"/>
        </w:rPr>
        <w:t>选取代表产品时应综合考虑预期用途、性能指标、安全指标、结构组成等：性能、安全、结构一致但预期用途不同，选预期用途最多的型号；预期用途一致、主要设计差异未显著影响安全有效性，选性能指标标称值最高的型号，电气安全无法互相覆盖时需逐台检测；含多个或多版本软件组件的产品，除非可完整覆盖，否则每个软件组件/版本均应作为独立检测单元。</w:t>
      </w:r>
    </w:p>
    <w:p w14:paraId="1BA86E49">
      <w:pPr>
        <w:autoSpaceDE w:val="0"/>
        <w:autoSpaceDN w:val="0"/>
        <w:spacing w:line="520" w:lineRule="exact"/>
        <w:ind w:firstLine="640" w:firstLineChars="200"/>
        <w:rPr>
          <w:rFonts w:eastAsia="仿宋_GB2312"/>
          <w:kern w:val="0"/>
          <w:sz w:val="32"/>
          <w:szCs w:val="32"/>
        </w:rPr>
      </w:pPr>
      <w:r>
        <w:rPr>
          <w:rFonts w:hint="eastAsia" w:eastAsia="仿宋_GB2312"/>
          <w:kern w:val="0"/>
          <w:sz w:val="32"/>
          <w:szCs w:val="32"/>
        </w:rPr>
        <w:t>若无充足证据证明注册单元内不同型号规格的电磁兼容性能可互相覆盖，需对每一型号规格单独开展电磁兼容检测；申请人应提交资料证明代表产品选择的合理性，若主张不同型号电磁兼容性能可覆盖，需由出具检验报告的医疗器械检验机构提供相关覆盖说明。</w:t>
      </w:r>
    </w:p>
    <w:p w14:paraId="279B9E7E">
      <w:pPr>
        <w:numPr>
          <w:ilvl w:val="0"/>
          <w:numId w:val="1"/>
        </w:numPr>
        <w:spacing w:line="520" w:lineRule="exact"/>
        <w:ind w:firstLine="640" w:firstLineChars="200"/>
        <w:rPr>
          <w:highlight w:val="none"/>
        </w:rPr>
      </w:pPr>
      <w:r>
        <w:rPr>
          <w:rFonts w:hint="eastAsia" w:eastAsia="仿宋_GB2312"/>
          <w:sz w:val="32"/>
          <w:szCs w:val="32"/>
          <w:highlight w:val="none"/>
        </w:rPr>
        <w:t>研究资料</w:t>
      </w:r>
    </w:p>
    <w:p w14:paraId="3B05E8CC">
      <w:pPr>
        <w:autoSpaceDE w:val="0"/>
        <w:autoSpaceDN w:val="0"/>
        <w:spacing w:line="520" w:lineRule="exact"/>
        <w:ind w:firstLine="640" w:firstLineChars="200"/>
        <w:rPr>
          <w:rFonts w:hint="eastAsia" w:eastAsia="仿宋_GB2312"/>
          <w:kern w:val="0"/>
          <w:sz w:val="32"/>
          <w:szCs w:val="32"/>
        </w:rPr>
      </w:pPr>
      <w:r>
        <w:rPr>
          <w:rFonts w:hint="eastAsia" w:eastAsia="仿宋_GB2312"/>
          <w:kern w:val="0"/>
          <w:sz w:val="32"/>
          <w:szCs w:val="32"/>
        </w:rPr>
        <w:t>申请人应根据申报产品类型（模块化尿液分析系统或尿液分析一体机）的结构组成、工作原理及风险特点开展相应研究。对于模块化产品，应重点开展模块联动、样本传输、数据交互及联机运行等相关研究；对于一体机产品，应重点开展整机集成性能、自动化运行流程及整体功能验证等研究。申请人应根据产品特点提交相应研究资料。</w:t>
      </w:r>
    </w:p>
    <w:p w14:paraId="2CE01D7B">
      <w:pPr>
        <w:autoSpaceDE w:val="0"/>
        <w:autoSpaceDN w:val="0"/>
        <w:spacing w:line="520" w:lineRule="exact"/>
        <w:ind w:firstLine="640" w:firstLineChars="200"/>
        <w:rPr>
          <w:rFonts w:hint="eastAsia" w:eastAsia="仿宋_GB2312"/>
          <w:kern w:val="0"/>
          <w:sz w:val="32"/>
          <w:szCs w:val="32"/>
        </w:rPr>
      </w:pPr>
      <w:r>
        <w:rPr>
          <w:rFonts w:hint="eastAsia" w:eastAsia="仿宋_GB2312"/>
          <w:kern w:val="0"/>
          <w:sz w:val="32"/>
          <w:szCs w:val="32"/>
        </w:rPr>
        <w:t>申请人应结合产品使用流程、目标用户及预期使用环境开展可用性研究，识别关键操作任务及使用错误风险，并提供相应研究资料（如适用）。</w:t>
      </w:r>
    </w:p>
    <w:p w14:paraId="181C158D">
      <w:pPr>
        <w:spacing w:line="520" w:lineRule="exact"/>
        <w:ind w:firstLine="640" w:firstLineChars="200"/>
        <w:rPr>
          <w:rFonts w:eastAsia="仿宋_GB2312"/>
          <w:sz w:val="32"/>
          <w:szCs w:val="32"/>
        </w:rPr>
      </w:pPr>
      <w:r>
        <w:rPr>
          <w:rFonts w:hint="eastAsia" w:eastAsia="仿宋_GB2312"/>
          <w:sz w:val="32"/>
          <w:szCs w:val="32"/>
        </w:rPr>
        <w:t>4.1化学和物理性能研究</w:t>
      </w:r>
    </w:p>
    <w:p w14:paraId="08738A88">
      <w:pPr>
        <w:spacing w:line="520" w:lineRule="exact"/>
        <w:ind w:firstLine="640" w:firstLineChars="200"/>
        <w:rPr>
          <w:rFonts w:eastAsia="仿宋_GB2312"/>
          <w:color w:val="000000"/>
          <w:sz w:val="32"/>
          <w:szCs w:val="32"/>
        </w:rPr>
      </w:pPr>
      <w:r>
        <w:rPr>
          <w:rFonts w:hint="eastAsia" w:eastAsia="仿宋_GB2312"/>
          <w:color w:val="000000"/>
          <w:sz w:val="32"/>
          <w:szCs w:val="32"/>
        </w:rPr>
        <w:t>提供产品化学/材料表征、物理和/或机械性能指标的确定依据、设计输入来源以及临床意义，所采用的标准或方法、采用的原因及理论基础。</w:t>
      </w:r>
    </w:p>
    <w:p w14:paraId="539641BF">
      <w:pPr>
        <w:spacing w:line="520" w:lineRule="exact"/>
        <w:ind w:firstLine="640" w:firstLineChars="200"/>
        <w:rPr>
          <w:rFonts w:eastAsia="仿宋_GB2312"/>
          <w:color w:val="FF0000"/>
          <w:kern w:val="0"/>
          <w:sz w:val="32"/>
          <w:szCs w:val="32"/>
        </w:rPr>
      </w:pPr>
      <w:r>
        <w:rPr>
          <w:rFonts w:hint="eastAsia" w:eastAsia="仿宋_GB2312"/>
          <w:color w:val="000000"/>
          <w:sz w:val="32"/>
          <w:szCs w:val="32"/>
        </w:rPr>
        <w:t>如申报产品预期与其他医疗器械、药品、非医疗器械产品联合使用实现同一预期用途，应当提供证明联合使用安全有效的研究资料，包括互联基本信息（连接类型、接口、协议、最低性能）、联合使用风险及控制措施、联合使用上的限制，兼容性研究等。</w:t>
      </w:r>
    </w:p>
    <w:p w14:paraId="46651B05">
      <w:pPr>
        <w:pStyle w:val="22"/>
        <w:snapToGrid w:val="0"/>
        <w:spacing w:line="520" w:lineRule="exact"/>
        <w:ind w:firstLine="640"/>
        <w:rPr>
          <w:rFonts w:hint="eastAsia" w:eastAsia="仿宋_GB2312"/>
          <w:kern w:val="0"/>
          <w:sz w:val="32"/>
          <w:szCs w:val="32"/>
        </w:rPr>
      </w:pPr>
      <w:r>
        <w:rPr>
          <w:rFonts w:hint="eastAsia" w:eastAsia="仿宋_GB2312"/>
          <w:kern w:val="0"/>
          <w:sz w:val="32"/>
          <w:szCs w:val="32"/>
        </w:rPr>
        <w:t>建议申请人根据配套尿液检测试剂分析性能评估的基础研究结果，综合考虑全自动尿液分析系统的检测原理、反应模式及可检测尿液被分析物情况，按照对申报产品评价最不利原则，对每一适用被分析物类别，采用临床尿液样本开展研究，并提供详细的分析性能研究资料，包括准确度、重复性、精密度、检出限、线性（如适用）、分析测量范围（如适用）、抗干扰能力、携带污染、样本稳定性等。</w:t>
      </w:r>
    </w:p>
    <w:p w14:paraId="6045B068">
      <w:pPr>
        <w:pStyle w:val="22"/>
        <w:snapToGrid w:val="0"/>
        <w:spacing w:line="520" w:lineRule="exact"/>
        <w:ind w:firstLine="640"/>
        <w:rPr>
          <w:rFonts w:hint="eastAsia" w:eastAsia="仿宋_GB2312"/>
          <w:kern w:val="0"/>
          <w:sz w:val="32"/>
          <w:szCs w:val="32"/>
        </w:rPr>
      </w:pPr>
      <w:r>
        <w:rPr>
          <w:rFonts w:hint="eastAsia" w:eastAsia="仿宋_GB2312"/>
          <w:kern w:val="0"/>
          <w:sz w:val="32"/>
          <w:szCs w:val="32"/>
        </w:rPr>
        <w:t>申请人应根据产品结构组成及各主要组成模块的功能特点，提交各组成模块性能研究资料。通常应包括样本处理/进样模块、试纸条传输模块、光学检测模块、显微图像采集模块、图像识别模块及其他关键组成模块的功能性指标、关键元器件性能指标及质量控制指标等研究资料，并说明其对整机性能的影响。</w:t>
      </w:r>
    </w:p>
    <w:p w14:paraId="2FCA7877">
      <w:pPr>
        <w:spacing w:line="520" w:lineRule="exact"/>
        <w:ind w:firstLine="640" w:firstLineChars="200"/>
        <w:rPr>
          <w:rFonts w:eastAsia="仿宋_GB2312"/>
          <w:sz w:val="32"/>
          <w:szCs w:val="32"/>
        </w:rPr>
      </w:pPr>
      <w:r>
        <w:rPr>
          <w:rFonts w:hint="eastAsia" w:eastAsia="仿宋_GB2312"/>
          <w:sz w:val="32"/>
          <w:szCs w:val="32"/>
        </w:rPr>
        <w:t>4.2电气系统安全性研究</w:t>
      </w:r>
    </w:p>
    <w:p w14:paraId="057C4B6B">
      <w:pPr>
        <w:pStyle w:val="22"/>
        <w:snapToGrid w:val="0"/>
        <w:spacing w:line="520" w:lineRule="exact"/>
        <w:ind w:firstLine="640"/>
        <w:rPr>
          <w:rFonts w:eastAsia="仿宋_GB2312"/>
          <w:kern w:val="0"/>
          <w:sz w:val="32"/>
          <w:szCs w:val="32"/>
        </w:rPr>
      </w:pPr>
      <w:r>
        <w:rPr>
          <w:rFonts w:eastAsia="仿宋_GB2312"/>
          <w:kern w:val="0"/>
          <w:sz w:val="32"/>
          <w:szCs w:val="32"/>
        </w:rPr>
        <w:t>包括电气安全指标和电磁兼容指标两大类。电气安全指标应当包括</w:t>
      </w:r>
      <w:r>
        <w:rPr>
          <w:rFonts w:hint="eastAsia" w:eastAsia="仿宋_GB2312"/>
          <w:sz w:val="32"/>
          <w:szCs w:val="32"/>
        </w:rPr>
        <w:t>GB 4793、YY/T 0648、</w:t>
      </w:r>
      <w:r>
        <w:rPr>
          <w:rFonts w:eastAsia="仿宋_GB2312"/>
          <w:sz w:val="32"/>
          <w:szCs w:val="32"/>
        </w:rPr>
        <w:t>GBT 42125</w:t>
      </w:r>
      <w:r>
        <w:rPr>
          <w:rFonts w:hint="eastAsia" w:eastAsia="仿宋_GB2312"/>
          <w:sz w:val="32"/>
          <w:szCs w:val="32"/>
        </w:rPr>
        <w:t>系列</w:t>
      </w:r>
      <w:r>
        <w:rPr>
          <w:rFonts w:eastAsia="仿宋_GB2312"/>
          <w:kern w:val="0"/>
          <w:sz w:val="32"/>
          <w:szCs w:val="32"/>
        </w:rPr>
        <w:t>及其他适用的国家标准和行业标准中</w:t>
      </w:r>
      <w:r>
        <w:rPr>
          <w:rFonts w:eastAsia="仿宋_GB2312"/>
          <w:sz w:val="32"/>
          <w:szCs w:val="32"/>
        </w:rPr>
        <w:t>的</w:t>
      </w:r>
      <w:r>
        <w:rPr>
          <w:rFonts w:hint="eastAsia" w:eastAsia="仿宋_GB2312"/>
          <w:sz w:val="32"/>
          <w:szCs w:val="32"/>
        </w:rPr>
        <w:t>适用</w:t>
      </w:r>
      <w:r>
        <w:rPr>
          <w:rFonts w:eastAsia="仿宋_GB2312"/>
          <w:sz w:val="32"/>
          <w:szCs w:val="32"/>
        </w:rPr>
        <w:t>指标</w:t>
      </w:r>
      <w:r>
        <w:rPr>
          <w:rFonts w:eastAsia="仿宋_GB2312"/>
          <w:kern w:val="0"/>
          <w:sz w:val="32"/>
          <w:szCs w:val="32"/>
        </w:rPr>
        <w:t>。电磁兼容指标应当包括GB/T 18268.1和GB/T 18268.26及其他适用的国家标准和行业标准中</w:t>
      </w:r>
      <w:r>
        <w:rPr>
          <w:rFonts w:eastAsia="仿宋_GB2312"/>
          <w:sz w:val="32"/>
          <w:szCs w:val="32"/>
        </w:rPr>
        <w:t>的</w:t>
      </w:r>
      <w:r>
        <w:rPr>
          <w:rFonts w:hint="eastAsia" w:eastAsia="仿宋_GB2312"/>
          <w:sz w:val="32"/>
          <w:szCs w:val="32"/>
        </w:rPr>
        <w:t>适用</w:t>
      </w:r>
      <w:r>
        <w:rPr>
          <w:rFonts w:eastAsia="仿宋_GB2312"/>
          <w:sz w:val="32"/>
          <w:szCs w:val="32"/>
        </w:rPr>
        <w:t>指标</w:t>
      </w:r>
      <w:r>
        <w:rPr>
          <w:rFonts w:eastAsia="仿宋_GB2312"/>
          <w:kern w:val="0"/>
          <w:sz w:val="32"/>
          <w:szCs w:val="32"/>
        </w:rPr>
        <w:t>，应说明针对适用的标准开展的研究。</w:t>
      </w:r>
    </w:p>
    <w:p w14:paraId="0C6607B7">
      <w:pPr>
        <w:pStyle w:val="22"/>
        <w:snapToGrid w:val="0"/>
        <w:spacing w:line="520" w:lineRule="exact"/>
        <w:ind w:firstLine="640"/>
        <w:rPr>
          <w:rFonts w:eastAsia="仿宋_GB2312"/>
          <w:kern w:val="0"/>
          <w:sz w:val="32"/>
          <w:szCs w:val="32"/>
        </w:rPr>
      </w:pPr>
      <w:r>
        <w:rPr>
          <w:rFonts w:eastAsia="仿宋_GB2312"/>
          <w:kern w:val="0"/>
          <w:sz w:val="32"/>
          <w:szCs w:val="32"/>
        </w:rPr>
        <w:t>对于不适用的标准、标准中不适用的条款及指导原则中的不适用项，需给出不适用的合理</w:t>
      </w:r>
      <w:r>
        <w:rPr>
          <w:rFonts w:hint="eastAsia" w:eastAsia="仿宋_GB2312"/>
          <w:kern w:val="0"/>
          <w:sz w:val="32"/>
          <w:szCs w:val="32"/>
        </w:rPr>
        <w:t>性</w:t>
      </w:r>
      <w:r>
        <w:rPr>
          <w:rFonts w:eastAsia="仿宋_GB2312"/>
          <w:kern w:val="0"/>
          <w:sz w:val="32"/>
          <w:szCs w:val="32"/>
        </w:rPr>
        <w:t>理由。</w:t>
      </w:r>
    </w:p>
    <w:p w14:paraId="0E34ED83">
      <w:pPr>
        <w:adjustRightInd w:val="0"/>
        <w:snapToGrid w:val="0"/>
        <w:spacing w:line="520" w:lineRule="exact"/>
        <w:ind w:firstLine="480" w:firstLineChars="200"/>
        <w:rPr>
          <w:rFonts w:ascii="Times New Roman" w:hAnsi="Times New Roman" w:eastAsia="仿宋_GB2312" w:cs="Times New Roman"/>
          <w:kern w:val="0"/>
          <w:sz w:val="32"/>
          <w:szCs w:val="32"/>
          <w:lang w:val="en-US" w:eastAsia="zh-CN" w:bidi="ar-SA"/>
        </w:rPr>
      </w:pPr>
      <w:r>
        <w:rPr>
          <w:rFonts w:ascii="宋体" w:hAnsi="宋体" w:eastAsia="宋体" w:cs="宋体"/>
          <w:sz w:val="24"/>
          <w:szCs w:val="24"/>
        </w:rPr>
        <w:t>对于申报产品与其他上市产品不同的特殊设计，应提供能证明该特殊设计产品安全有效的验证资料。</w:t>
      </w:r>
      <w:r>
        <w:rPr>
          <w:rFonts w:ascii="Times New Roman" w:hAnsi="Times New Roman" w:eastAsia="仿宋_GB2312" w:cs="Times New Roman"/>
          <w:kern w:val="0"/>
          <w:sz w:val="32"/>
          <w:szCs w:val="32"/>
          <w:lang w:val="en-US" w:eastAsia="zh-CN" w:bidi="ar-SA"/>
        </w:rPr>
        <w:t>模块化尿液分析系统应重点开展模块联动性能、样本流转、数据通信及异常工况等研究；尿液分析一体机应重点开展整机集成性能、自动化运行流程及整体安全有效性研究，并根据产品类型提交相应验证资料。</w:t>
      </w:r>
    </w:p>
    <w:p w14:paraId="3440DAB7">
      <w:pPr>
        <w:adjustRightInd w:val="0"/>
        <w:snapToGrid w:val="0"/>
        <w:spacing w:line="520" w:lineRule="exact"/>
        <w:ind w:firstLine="640" w:firstLineChars="200"/>
        <w:rPr>
          <w:rFonts w:eastAsia="仿宋_GB2312"/>
          <w:kern w:val="0"/>
          <w:sz w:val="32"/>
          <w:szCs w:val="32"/>
        </w:rPr>
      </w:pPr>
      <w:r>
        <w:rPr>
          <w:rFonts w:hint="eastAsia" w:eastAsia="仿宋_GB2312"/>
          <w:kern w:val="0"/>
          <w:sz w:val="32"/>
          <w:szCs w:val="32"/>
        </w:rPr>
        <w:t>4</w:t>
      </w:r>
      <w:r>
        <w:rPr>
          <w:rFonts w:eastAsia="仿宋_GB2312"/>
          <w:kern w:val="0"/>
          <w:sz w:val="32"/>
          <w:szCs w:val="32"/>
        </w:rPr>
        <w:t>.</w:t>
      </w:r>
      <w:r>
        <w:rPr>
          <w:rFonts w:hint="eastAsia" w:eastAsia="仿宋_GB2312"/>
          <w:kern w:val="0"/>
          <w:sz w:val="32"/>
          <w:szCs w:val="32"/>
        </w:rPr>
        <w:t>3</w:t>
      </w:r>
      <w:r>
        <w:rPr>
          <w:rFonts w:eastAsia="仿宋_GB2312"/>
          <w:kern w:val="0"/>
          <w:sz w:val="32"/>
          <w:szCs w:val="32"/>
        </w:rPr>
        <w:t>软件研究</w:t>
      </w:r>
    </w:p>
    <w:p w14:paraId="37135DCC">
      <w:pPr>
        <w:spacing w:line="520" w:lineRule="exact"/>
        <w:ind w:firstLine="640" w:firstLineChars="200"/>
        <w:rPr>
          <w:rFonts w:eastAsia="仿宋_GB2312"/>
          <w:color w:val="FF0000"/>
          <w:kern w:val="0"/>
          <w:sz w:val="32"/>
          <w:szCs w:val="32"/>
        </w:rPr>
      </w:pPr>
      <w:r>
        <w:rPr>
          <w:rFonts w:eastAsia="仿宋_GB2312"/>
          <w:sz w:val="32"/>
          <w:szCs w:val="32"/>
        </w:rPr>
        <w:t>应参照《医疗器械软件注册技术审查指导原则</w:t>
      </w:r>
      <w:r>
        <w:rPr>
          <w:rFonts w:hint="eastAsia" w:eastAsia="仿宋_GB2312"/>
          <w:sz w:val="32"/>
          <w:szCs w:val="32"/>
        </w:rPr>
        <w:t>（2022年修订版）</w:t>
      </w:r>
      <w:r>
        <w:rPr>
          <w:rFonts w:eastAsia="仿宋_GB2312"/>
          <w:sz w:val="32"/>
          <w:szCs w:val="32"/>
        </w:rPr>
        <w:t>》的相关要求。提供一份</w:t>
      </w:r>
      <w:r>
        <w:rPr>
          <w:rFonts w:hint="eastAsia" w:eastAsia="仿宋_GB2312"/>
          <w:sz w:val="32"/>
          <w:szCs w:val="32"/>
        </w:rPr>
        <w:t>软件研究资料（包括自研软件和现成软件）</w:t>
      </w:r>
      <w:r>
        <w:rPr>
          <w:rFonts w:eastAsia="仿宋_GB2312"/>
          <w:sz w:val="32"/>
          <w:szCs w:val="32"/>
        </w:rPr>
        <w:t>，内容包括基本信息、实现过程和核心</w:t>
      </w:r>
      <w:r>
        <w:rPr>
          <w:rFonts w:hint="eastAsia" w:eastAsia="仿宋_GB2312"/>
          <w:sz w:val="32"/>
          <w:szCs w:val="32"/>
        </w:rPr>
        <w:t>功能、结论</w:t>
      </w:r>
      <w:r>
        <w:rPr>
          <w:rFonts w:eastAsia="仿宋_GB2312"/>
          <w:sz w:val="32"/>
          <w:szCs w:val="32"/>
        </w:rPr>
        <w:t>，详尽程度取决于软件的安全性级别和复杂程度。同时，应出具关于软件版本命名规则的声明，并明确软件完整版本的全部字段及字段含义，确定软件的完整版本和软件发布版本。</w:t>
      </w:r>
      <w:r>
        <w:rPr>
          <w:rFonts w:hint="eastAsia" w:eastAsia="仿宋_GB2312"/>
          <w:sz w:val="32"/>
          <w:szCs w:val="32"/>
        </w:rPr>
        <w:t>如涉及网络安全（例如远程控制、电子数据交换、用户访问功能），应按照《医疗器械网络安全注册审查指导原则（2022修订版）》相关要求提供网络安全研究资料。</w:t>
      </w:r>
    </w:p>
    <w:p w14:paraId="7D02213D">
      <w:pPr>
        <w:spacing w:line="520" w:lineRule="exact"/>
        <w:ind w:firstLine="640" w:firstLineChars="200"/>
        <w:rPr>
          <w:rFonts w:eastAsia="仿宋_GB2312"/>
          <w:sz w:val="32"/>
          <w:szCs w:val="32"/>
        </w:rPr>
      </w:pPr>
      <w:r>
        <w:rPr>
          <w:rFonts w:hint="eastAsia" w:eastAsia="仿宋_GB2312"/>
          <w:sz w:val="32"/>
          <w:szCs w:val="32"/>
        </w:rPr>
        <w:t>4.4清洁、消毒研究</w:t>
      </w:r>
    </w:p>
    <w:p w14:paraId="55C221F6">
      <w:pPr>
        <w:adjustRightInd w:val="0"/>
        <w:snapToGrid w:val="0"/>
        <w:spacing w:line="520" w:lineRule="exact"/>
        <w:ind w:firstLine="640" w:firstLineChars="200"/>
        <w:rPr>
          <w:rFonts w:eastAsia="仿宋_GB2312"/>
          <w:sz w:val="32"/>
          <w:szCs w:val="32"/>
        </w:rPr>
      </w:pPr>
      <w:r>
        <w:rPr>
          <w:rFonts w:hint="eastAsia" w:eastAsia="仿宋_GB2312"/>
          <w:sz w:val="32"/>
          <w:szCs w:val="32"/>
        </w:rPr>
        <w:t>申请人应提供产品的清洁消毒工艺研究资料。</w:t>
      </w:r>
    </w:p>
    <w:p w14:paraId="139DBD80">
      <w:pPr>
        <w:spacing w:line="520" w:lineRule="exact"/>
        <w:ind w:firstLine="640"/>
        <w:jc w:val="left"/>
        <w:rPr>
          <w:rFonts w:hint="eastAsia" w:eastAsia="仿宋_GB2312"/>
          <w:sz w:val="32"/>
          <w:szCs w:val="32"/>
        </w:rPr>
      </w:pPr>
      <w:r>
        <w:rPr>
          <w:rFonts w:hint="eastAsia" w:eastAsia="仿宋_GB2312"/>
          <w:sz w:val="32"/>
          <w:szCs w:val="32"/>
        </w:rPr>
        <w:t>5.稳定性研究</w:t>
      </w:r>
    </w:p>
    <w:p w14:paraId="257B96E4">
      <w:pPr>
        <w:spacing w:line="520" w:lineRule="exact"/>
        <w:ind w:firstLine="640"/>
        <w:jc w:val="left"/>
        <w:rPr>
          <w:rFonts w:eastAsia="仿宋_GB2312"/>
          <w:sz w:val="32"/>
          <w:szCs w:val="32"/>
        </w:rPr>
      </w:pPr>
      <w:r>
        <w:rPr>
          <w:rFonts w:hint="eastAsia" w:eastAsia="仿宋_GB2312"/>
          <w:sz w:val="32"/>
          <w:szCs w:val="32"/>
        </w:rPr>
        <w:t>参考《有源医疗器械使用期限技术审查指导原则》的要求开展研究。提供产品的使用稳定性研究资料，证明在规定的使用期限内，</w:t>
      </w:r>
      <w:r>
        <w:rPr>
          <w:rFonts w:hint="eastAsia" w:eastAsia="仿宋_GB2312"/>
          <w:bCs/>
          <w:sz w:val="32"/>
          <w:szCs w:val="32"/>
        </w:rPr>
        <w:t>在正常使用、维护和校准（如适用）情况下，</w:t>
      </w:r>
      <w:r>
        <w:rPr>
          <w:rFonts w:hint="eastAsia" w:eastAsia="仿宋_GB2312"/>
          <w:sz w:val="32"/>
          <w:szCs w:val="32"/>
        </w:rPr>
        <w:t>产品的性能功能可以满足临床使用要求。可以考虑从以下几个方面的影响因素：关键部件的寿命、清洗/消毒方法、部件维护维修情况、经验数据以及商业因素等。</w:t>
      </w:r>
    </w:p>
    <w:p w14:paraId="115875EF">
      <w:pPr>
        <w:spacing w:line="520" w:lineRule="exact"/>
        <w:ind w:firstLine="640"/>
        <w:rPr>
          <w:rFonts w:eastAsia="仿宋_GB2312"/>
          <w:bCs/>
          <w:sz w:val="32"/>
          <w:szCs w:val="32"/>
        </w:rPr>
      </w:pPr>
      <w:r>
        <w:rPr>
          <w:rFonts w:hint="eastAsia" w:eastAsia="仿宋_GB2312"/>
          <w:bCs/>
          <w:sz w:val="32"/>
          <w:szCs w:val="32"/>
        </w:rPr>
        <w:t>提</w:t>
      </w:r>
      <w:r>
        <w:rPr>
          <w:rFonts w:eastAsia="仿宋_GB2312"/>
          <w:bCs/>
          <w:sz w:val="32"/>
          <w:szCs w:val="32"/>
        </w:rPr>
        <w:t>供运输稳定性和包装研究资料，证明在生产企业规定的运输条件下，运输过程中的环境条件（例如：振动、温度和湿度的波动）不会对医疗器械的特性和性能，包括完整性和清洁度，造成不利影响。环境试验可参考GB/T 14710的要求</w:t>
      </w:r>
      <w:r>
        <w:rPr>
          <w:rFonts w:hint="eastAsia" w:eastAsia="仿宋_GB2312"/>
          <w:bCs/>
          <w:sz w:val="32"/>
          <w:szCs w:val="32"/>
        </w:rPr>
        <w:t>，包装要求可参考GB/T 4857系列标准</w:t>
      </w:r>
      <w:r>
        <w:rPr>
          <w:rFonts w:eastAsia="仿宋_GB2312"/>
          <w:bCs/>
          <w:sz w:val="32"/>
          <w:szCs w:val="32"/>
        </w:rPr>
        <w:t>。</w:t>
      </w:r>
    </w:p>
    <w:p w14:paraId="1574882F">
      <w:pPr>
        <w:spacing w:line="520" w:lineRule="exact"/>
        <w:ind w:firstLine="640"/>
        <w:rPr>
          <w:rFonts w:hint="default" w:eastAsia="仿宋_GB2312"/>
          <w:sz w:val="32"/>
          <w:szCs w:val="32"/>
          <w:lang w:val="en-US" w:eastAsia="zh-CN"/>
        </w:rPr>
      </w:pPr>
      <w:r>
        <w:rPr>
          <w:rFonts w:hint="eastAsia" w:eastAsia="仿宋_GB2312"/>
          <w:sz w:val="32"/>
          <w:szCs w:val="32"/>
          <w:lang w:val="en-US" w:eastAsia="zh-CN"/>
        </w:rPr>
        <w:t>6</w:t>
      </w:r>
      <w:r>
        <w:rPr>
          <w:rFonts w:hint="eastAsia" w:eastAsia="仿宋_GB2312"/>
          <w:sz w:val="32"/>
          <w:szCs w:val="32"/>
        </w:rPr>
        <w:t>.</w:t>
      </w:r>
      <w:r>
        <w:rPr>
          <w:rFonts w:hint="eastAsia" w:eastAsia="仿宋_GB2312"/>
          <w:sz w:val="32"/>
          <w:szCs w:val="32"/>
          <w:lang w:val="en-US" w:eastAsia="zh-CN"/>
        </w:rPr>
        <w:t>可用性研究</w:t>
      </w:r>
    </w:p>
    <w:p w14:paraId="1196E5BB">
      <w:pPr>
        <w:spacing w:line="520" w:lineRule="exact"/>
        <w:ind w:firstLine="640"/>
        <w:rPr>
          <w:rFonts w:hint="eastAsia" w:eastAsia="仿宋_GB2312"/>
          <w:bCs/>
          <w:sz w:val="32"/>
          <w:szCs w:val="32"/>
          <w:lang w:val="en-US" w:eastAsia="zh-CN"/>
        </w:rPr>
      </w:pPr>
      <w:r>
        <w:rPr>
          <w:rFonts w:eastAsia="仿宋_GB2312"/>
          <w:bCs/>
          <w:sz w:val="32"/>
          <w:szCs w:val="32"/>
        </w:rPr>
        <w:t>申请人应参照《医疗器械可用性工程注册审查指导原则》开展可用性研究，结合产品预期用途、目标用户、使用环境及操作流程，对可能导致使用错误的关键任务进行分析和评价，并提交使用错误评估报告及相关研究资料。</w:t>
      </w:r>
    </w:p>
    <w:p w14:paraId="09B101C8">
      <w:pPr>
        <w:spacing w:line="520" w:lineRule="exact"/>
        <w:ind w:firstLine="640" w:firstLineChars="200"/>
        <w:rPr>
          <w:rFonts w:eastAsia="仿宋_GB2312"/>
          <w:sz w:val="32"/>
          <w:szCs w:val="32"/>
        </w:rPr>
      </w:pPr>
      <w:r>
        <w:rPr>
          <w:rFonts w:hint="eastAsia" w:eastAsia="仿宋_GB2312"/>
          <w:sz w:val="32"/>
          <w:szCs w:val="32"/>
          <w:lang w:val="en-US" w:eastAsia="zh-CN"/>
        </w:rPr>
        <w:t>7</w:t>
      </w:r>
      <w:r>
        <w:rPr>
          <w:rFonts w:hint="eastAsia" w:eastAsia="仿宋_GB2312"/>
          <w:sz w:val="32"/>
          <w:szCs w:val="32"/>
        </w:rPr>
        <w:t>.其他资料</w:t>
      </w:r>
    </w:p>
    <w:p w14:paraId="669E12B9">
      <w:pPr>
        <w:spacing w:line="520" w:lineRule="exact"/>
        <w:ind w:firstLine="640" w:firstLineChars="200"/>
        <w:rPr>
          <w:rFonts w:eastAsia="仿宋_GB2312"/>
          <w:kern w:val="0"/>
          <w:sz w:val="32"/>
          <w:szCs w:val="32"/>
        </w:rPr>
      </w:pPr>
      <w:r>
        <w:rPr>
          <w:rFonts w:hint="eastAsia" w:eastAsia="仿宋_GB2312"/>
          <w:kern w:val="0"/>
          <w:sz w:val="32"/>
          <w:szCs w:val="32"/>
        </w:rPr>
        <w:t>尿液分析系统属于</w:t>
      </w:r>
      <w:r>
        <w:rPr>
          <w:rFonts w:eastAsia="仿宋_GB2312"/>
          <w:kern w:val="0"/>
          <w:sz w:val="32"/>
          <w:szCs w:val="32"/>
        </w:rPr>
        <w:t>列入《</w:t>
      </w:r>
      <w:r>
        <w:rPr>
          <w:rFonts w:eastAsia="仿宋_GB2312"/>
          <w:sz w:val="32"/>
          <w:szCs w:val="32"/>
        </w:rPr>
        <w:t>免于临床评价医疗器械目录</w:t>
      </w:r>
      <w:r>
        <w:rPr>
          <w:rFonts w:eastAsia="仿宋_GB2312"/>
          <w:kern w:val="0"/>
          <w:sz w:val="32"/>
          <w:szCs w:val="32"/>
        </w:rPr>
        <w:t>》（以下简称“目录”）</w:t>
      </w:r>
      <w:r>
        <w:rPr>
          <w:rFonts w:hint="eastAsia" w:eastAsia="仿宋_GB2312"/>
          <w:kern w:val="0"/>
          <w:sz w:val="32"/>
          <w:szCs w:val="32"/>
        </w:rPr>
        <w:t>中的产品</w:t>
      </w:r>
      <w:r>
        <w:rPr>
          <w:rFonts w:eastAsia="仿宋_GB2312"/>
          <w:kern w:val="0"/>
          <w:sz w:val="32"/>
          <w:szCs w:val="32"/>
        </w:rPr>
        <w:t>，一般情况下可免于进行临床评价。应按照《列入免于临床评价医疗器械目录产品对比说明技术指导原则》的要求提交对比资料，并明确以下内容。</w:t>
      </w:r>
    </w:p>
    <w:p w14:paraId="59411E78">
      <w:pPr>
        <w:spacing w:line="520" w:lineRule="exact"/>
        <w:ind w:right="-67" w:rightChars="-32" w:firstLine="640" w:firstLineChars="200"/>
        <w:rPr>
          <w:rFonts w:eastAsia="仿宋_GB2312"/>
          <w:bCs/>
          <w:sz w:val="32"/>
          <w:szCs w:val="32"/>
        </w:rPr>
      </w:pPr>
      <w:r>
        <w:rPr>
          <w:rFonts w:hint="eastAsia" w:eastAsia="仿宋_GB2312"/>
          <w:bCs/>
          <w:sz w:val="32"/>
          <w:szCs w:val="32"/>
        </w:rPr>
        <w:t>6.1提交申报产品相关信息与《目录》所述内容的对比资料；</w:t>
      </w:r>
      <w:bookmarkStart w:id="1" w:name="_GoBack"/>
      <w:bookmarkEnd w:id="1"/>
    </w:p>
    <w:p w14:paraId="323AC493">
      <w:pPr>
        <w:spacing w:line="520" w:lineRule="exact"/>
        <w:ind w:firstLine="640" w:firstLineChars="200"/>
        <w:rPr>
          <w:rFonts w:eastAsia="仿宋_GB2312"/>
          <w:sz w:val="32"/>
          <w:szCs w:val="32"/>
        </w:rPr>
      </w:pPr>
      <w:r>
        <w:rPr>
          <w:rFonts w:hint="eastAsia" w:eastAsia="仿宋_GB2312"/>
          <w:bCs/>
          <w:sz w:val="32"/>
          <w:szCs w:val="32"/>
        </w:rPr>
        <w:t>6.2提交申报产品与《目录》中已获准境内注册医疗器械的对比说明，对比说明应当包括《申报产品与目录中已获准境内注册医疗器械对比表》和相应支持性资料。</w:t>
      </w:r>
      <w:r>
        <w:rPr>
          <w:rFonts w:hint="eastAsia" w:eastAsia="仿宋_GB2312"/>
          <w:kern w:val="0"/>
          <w:sz w:val="32"/>
          <w:szCs w:val="32"/>
        </w:rPr>
        <w:t>应从工作原理、结构组成、主要性能要求、适用范围、使用方法等方面进行对比</w:t>
      </w:r>
      <w:r>
        <w:rPr>
          <w:rFonts w:eastAsia="仿宋_GB2312"/>
          <w:sz w:val="32"/>
          <w:szCs w:val="32"/>
        </w:rPr>
        <w:t>。申报产品与对比产品存在差异的，还应提交差异部分对安全有效性影响的分析研究资料。</w:t>
      </w:r>
    </w:p>
    <w:p w14:paraId="32B220B0">
      <w:pPr>
        <w:spacing w:line="520" w:lineRule="exact"/>
        <w:ind w:firstLine="640" w:firstLineChars="200"/>
        <w:rPr>
          <w:rFonts w:hint="eastAsia" w:eastAsia="仿宋_GB2312"/>
          <w:sz w:val="32"/>
          <w:szCs w:val="32"/>
        </w:rPr>
      </w:pPr>
      <w:r>
        <w:rPr>
          <w:rFonts w:hint="eastAsia" w:eastAsia="仿宋_GB2312"/>
          <w:kern w:val="0"/>
          <w:sz w:val="32"/>
          <w:szCs w:val="32"/>
        </w:rPr>
        <w:t>上述适用范围</w:t>
      </w:r>
      <w:r>
        <w:rPr>
          <w:rFonts w:eastAsia="仿宋_GB2312"/>
          <w:sz w:val="32"/>
          <w:szCs w:val="32"/>
        </w:rPr>
        <w:t>建议从如下方面收集相关信息</w:t>
      </w:r>
      <w:r>
        <w:rPr>
          <w:rFonts w:hint="eastAsia" w:eastAsia="仿宋_GB2312"/>
          <w:sz w:val="32"/>
          <w:szCs w:val="32"/>
        </w:rPr>
        <w:t>，</w:t>
      </w:r>
      <w:r>
        <w:rPr>
          <w:rFonts w:eastAsia="仿宋_GB2312"/>
          <w:sz w:val="32"/>
          <w:szCs w:val="32"/>
        </w:rPr>
        <w:t>若对于申报产品不适用，可说明不适用的理由。</w:t>
      </w:r>
    </w:p>
    <w:p w14:paraId="486AF8E0">
      <w:pPr>
        <w:spacing w:line="560" w:lineRule="exact"/>
        <w:ind w:firstLine="640" w:firstLineChars="200"/>
        <w:rPr>
          <w:rFonts w:hint="eastAsia" w:eastAsia="仿宋_GB2312"/>
          <w:sz w:val="32"/>
          <w:szCs w:val="32"/>
        </w:rPr>
      </w:pPr>
      <w:r>
        <w:rPr>
          <w:rFonts w:eastAsia="仿宋_GB2312"/>
          <w:sz w:val="32"/>
          <w:szCs w:val="32"/>
        </w:rPr>
        <w:t>（</w:t>
      </w:r>
      <w:r>
        <w:rPr>
          <w:rFonts w:hint="eastAsia" w:eastAsia="仿宋_GB2312"/>
          <w:sz w:val="32"/>
          <w:szCs w:val="32"/>
          <w:lang w:val="en-US" w:eastAsia="zh-CN"/>
        </w:rPr>
        <w:t>1</w:t>
      </w:r>
      <w:r>
        <w:rPr>
          <w:rFonts w:eastAsia="仿宋_GB2312"/>
          <w:sz w:val="32"/>
          <w:szCs w:val="32"/>
        </w:rPr>
        <w:t>）适用部位：如临床应用的具体人体部位、器官、组织、体液等；</w:t>
      </w:r>
    </w:p>
    <w:p w14:paraId="3B8F8AA9">
      <w:pPr>
        <w:spacing w:line="560" w:lineRule="exact"/>
        <w:ind w:firstLine="640" w:firstLineChars="200"/>
        <w:rPr>
          <w:rFonts w:hint="eastAsia" w:eastAsia="仿宋_GB2312"/>
          <w:sz w:val="32"/>
          <w:szCs w:val="32"/>
        </w:rPr>
      </w:pPr>
      <w:r>
        <w:rPr>
          <w:rFonts w:eastAsia="仿宋_GB2312"/>
          <w:sz w:val="32"/>
          <w:szCs w:val="32"/>
        </w:rPr>
        <w:t>（</w:t>
      </w:r>
      <w:r>
        <w:rPr>
          <w:rFonts w:hint="eastAsia" w:eastAsia="仿宋_GB2312"/>
          <w:sz w:val="32"/>
          <w:szCs w:val="32"/>
          <w:lang w:val="en-US" w:eastAsia="zh-CN"/>
        </w:rPr>
        <w:t>2</w:t>
      </w:r>
      <w:r>
        <w:rPr>
          <w:rFonts w:eastAsia="仿宋_GB2312"/>
          <w:sz w:val="32"/>
          <w:szCs w:val="32"/>
        </w:rPr>
        <w:t>）使用条件：如使用环境（家用、医院、具体科室、手术室、救护车等）</w:t>
      </w:r>
      <w:r>
        <w:rPr>
          <w:rFonts w:hint="eastAsia" w:eastAsia="仿宋_GB2312"/>
          <w:sz w:val="32"/>
          <w:szCs w:val="32"/>
        </w:rPr>
        <w:t>、</w:t>
      </w:r>
      <w:r>
        <w:rPr>
          <w:rFonts w:eastAsia="仿宋_GB2312"/>
          <w:sz w:val="32"/>
          <w:szCs w:val="32"/>
        </w:rPr>
        <w:t>配合使用的器械或药品</w:t>
      </w:r>
      <w:r>
        <w:rPr>
          <w:rFonts w:hint="eastAsia" w:eastAsia="仿宋_GB2312"/>
          <w:sz w:val="32"/>
          <w:szCs w:val="32"/>
        </w:rPr>
        <w:t>、</w:t>
      </w:r>
      <w:r>
        <w:rPr>
          <w:rFonts w:eastAsia="仿宋_GB2312"/>
          <w:sz w:val="32"/>
          <w:szCs w:val="32"/>
        </w:rPr>
        <w:t>使用者要求等；</w:t>
      </w:r>
    </w:p>
    <w:p w14:paraId="570C0D63">
      <w:pPr>
        <w:spacing w:line="560" w:lineRule="exact"/>
        <w:ind w:firstLine="640" w:firstLineChars="200"/>
        <w:rPr>
          <w:rFonts w:hint="eastAsia" w:eastAsia="仿宋_GB2312"/>
          <w:sz w:val="32"/>
          <w:szCs w:val="32"/>
        </w:rPr>
      </w:pPr>
      <w:r>
        <w:rPr>
          <w:rFonts w:eastAsia="仿宋_GB2312"/>
          <w:sz w:val="32"/>
          <w:szCs w:val="32"/>
        </w:rPr>
        <w:t>（</w:t>
      </w:r>
      <w:r>
        <w:rPr>
          <w:rFonts w:hint="eastAsia" w:eastAsia="仿宋_GB2312"/>
          <w:sz w:val="32"/>
          <w:szCs w:val="32"/>
          <w:lang w:val="en-US" w:eastAsia="zh-CN"/>
        </w:rPr>
        <w:t>3</w:t>
      </w:r>
      <w:r>
        <w:rPr>
          <w:rFonts w:eastAsia="仿宋_GB2312"/>
          <w:sz w:val="32"/>
          <w:szCs w:val="32"/>
        </w:rPr>
        <w:t>）使用方法；</w:t>
      </w:r>
    </w:p>
    <w:p w14:paraId="046A7B2A">
      <w:pPr>
        <w:spacing w:line="560" w:lineRule="exact"/>
        <w:ind w:firstLine="640" w:firstLineChars="200"/>
        <w:rPr>
          <w:rFonts w:eastAsia="仿宋_GB2312"/>
          <w:sz w:val="32"/>
          <w:szCs w:val="32"/>
        </w:rPr>
      </w:pPr>
      <w:r>
        <w:rPr>
          <w:rFonts w:eastAsia="仿宋_GB2312"/>
          <w:sz w:val="32"/>
          <w:szCs w:val="32"/>
        </w:rPr>
        <w:t>（</w:t>
      </w:r>
      <w:r>
        <w:rPr>
          <w:rFonts w:hint="eastAsia" w:eastAsia="仿宋_GB2312"/>
          <w:sz w:val="32"/>
          <w:szCs w:val="32"/>
          <w:lang w:val="en-US" w:eastAsia="zh-CN"/>
        </w:rPr>
        <w:t>4</w:t>
      </w:r>
      <w:r>
        <w:rPr>
          <w:rFonts w:eastAsia="仿宋_GB2312"/>
          <w:sz w:val="32"/>
          <w:szCs w:val="32"/>
        </w:rPr>
        <w:t>）警告及预防措施；</w:t>
      </w:r>
    </w:p>
    <w:p w14:paraId="0403B8D4">
      <w:pPr>
        <w:spacing w:line="560" w:lineRule="exact"/>
        <w:ind w:firstLine="640" w:firstLineChars="200"/>
        <w:rPr>
          <w:rFonts w:eastAsia="仿宋_GB2312"/>
          <w:sz w:val="32"/>
          <w:szCs w:val="32"/>
        </w:rPr>
      </w:pPr>
      <w:r>
        <w:rPr>
          <w:rFonts w:eastAsia="仿宋_GB2312"/>
          <w:sz w:val="32"/>
          <w:szCs w:val="32"/>
        </w:rPr>
        <w:t>（</w:t>
      </w:r>
      <w:r>
        <w:rPr>
          <w:rFonts w:hint="eastAsia" w:eastAsia="仿宋_GB2312"/>
          <w:sz w:val="32"/>
          <w:szCs w:val="32"/>
          <w:lang w:val="en-US" w:eastAsia="zh-CN"/>
        </w:rPr>
        <w:t>5</w:t>
      </w:r>
      <w:r>
        <w:rPr>
          <w:rFonts w:eastAsia="仿宋_GB2312"/>
          <w:sz w:val="32"/>
          <w:szCs w:val="32"/>
        </w:rPr>
        <w:t>）其他。</w:t>
      </w:r>
    </w:p>
    <w:p w14:paraId="1DD643D5">
      <w:pPr>
        <w:spacing w:line="520" w:lineRule="exact"/>
        <w:ind w:firstLine="640" w:firstLineChars="200"/>
        <w:rPr>
          <w:rFonts w:eastAsia="仿宋_GB2312"/>
          <w:sz w:val="32"/>
          <w:szCs w:val="32"/>
        </w:rPr>
      </w:pPr>
      <w:r>
        <w:rPr>
          <w:rFonts w:hint="eastAsia" w:eastAsia="仿宋_GB2312"/>
          <w:sz w:val="32"/>
          <w:szCs w:val="32"/>
        </w:rPr>
        <w:t>（四）临床评价资料</w:t>
      </w:r>
    </w:p>
    <w:p w14:paraId="3FF4F94D">
      <w:pPr>
        <w:spacing w:line="520" w:lineRule="exact"/>
        <w:ind w:firstLine="640" w:firstLineChars="200"/>
        <w:rPr>
          <w:rFonts w:eastAsia="仿宋_GB2312"/>
          <w:sz w:val="32"/>
          <w:szCs w:val="32"/>
        </w:rPr>
      </w:pPr>
      <w:r>
        <w:rPr>
          <w:rFonts w:hint="eastAsia" w:eastAsia="仿宋_GB2312"/>
          <w:sz w:val="32"/>
          <w:szCs w:val="32"/>
        </w:rPr>
        <w:t>该产品已列入《免于临床评价医疗器械目录》（以下简称“目录”），申请人无需提交临床评价资料。</w:t>
      </w:r>
    </w:p>
    <w:p w14:paraId="340CDE48">
      <w:pPr>
        <w:spacing w:line="520" w:lineRule="exact"/>
        <w:ind w:firstLine="640" w:firstLineChars="200"/>
        <w:rPr>
          <w:rFonts w:eastAsia="仿宋_GB2312"/>
          <w:sz w:val="32"/>
          <w:szCs w:val="32"/>
        </w:rPr>
      </w:pPr>
      <w:r>
        <w:rPr>
          <w:rFonts w:hint="eastAsia" w:eastAsia="仿宋_GB2312"/>
          <w:sz w:val="32"/>
          <w:szCs w:val="32"/>
        </w:rPr>
        <w:t>若无法证明申报产品在《目录》中“尿液分析系统”的描述范围之内，或不能证明其与《目录》所述的产品具有基本等同性，则应开展临床评价。</w:t>
      </w:r>
    </w:p>
    <w:p w14:paraId="6CB84BCB">
      <w:pPr>
        <w:spacing w:line="520" w:lineRule="exact"/>
        <w:ind w:firstLine="640" w:firstLineChars="200"/>
        <w:rPr>
          <w:rFonts w:eastAsia="仿宋_GB2312"/>
          <w:sz w:val="32"/>
          <w:szCs w:val="32"/>
        </w:rPr>
      </w:pPr>
      <w:r>
        <w:rPr>
          <w:rFonts w:hint="eastAsia" w:eastAsia="仿宋_GB2312"/>
          <w:sz w:val="32"/>
          <w:szCs w:val="32"/>
        </w:rPr>
        <w:t>（五）产品说明书和标签样稿</w:t>
      </w:r>
    </w:p>
    <w:p w14:paraId="75408A34">
      <w:pPr>
        <w:spacing w:line="520" w:lineRule="exact"/>
        <w:ind w:firstLine="640" w:firstLineChars="200"/>
        <w:rPr>
          <w:rFonts w:eastAsia="仿宋_GB2312"/>
          <w:kern w:val="0"/>
          <w:sz w:val="32"/>
          <w:szCs w:val="32"/>
        </w:rPr>
      </w:pPr>
      <w:r>
        <w:rPr>
          <w:rFonts w:eastAsia="仿宋_GB2312"/>
          <w:kern w:val="0"/>
          <w:sz w:val="32"/>
          <w:szCs w:val="32"/>
        </w:rPr>
        <w:t>1.产品说明书</w:t>
      </w:r>
    </w:p>
    <w:p w14:paraId="4802D69D">
      <w:pPr>
        <w:spacing w:line="520" w:lineRule="exact"/>
        <w:ind w:firstLine="640" w:firstLineChars="200"/>
        <w:rPr>
          <w:rFonts w:eastAsia="仿宋_GB2312"/>
          <w:kern w:val="0"/>
          <w:sz w:val="32"/>
          <w:szCs w:val="32"/>
        </w:rPr>
      </w:pPr>
      <w:r>
        <w:rPr>
          <w:rFonts w:eastAsia="仿宋_GB2312"/>
          <w:sz w:val="32"/>
          <w:szCs w:val="32"/>
        </w:rPr>
        <w:t>产品说明书应符合</w:t>
      </w:r>
      <w:r>
        <w:rPr>
          <w:rFonts w:eastAsia="仿宋_GB2312"/>
          <w:color w:val="000000"/>
          <w:spacing w:val="-1"/>
          <w:sz w:val="32"/>
          <w:szCs w:val="32"/>
        </w:rPr>
        <w:t>《医疗器械说明书和标签管理规定》</w:t>
      </w:r>
      <w:r>
        <w:rPr>
          <w:rFonts w:hint="eastAsia" w:eastAsia="仿宋_GB2312"/>
          <w:color w:val="000000"/>
          <w:spacing w:val="-1"/>
          <w:sz w:val="32"/>
          <w:szCs w:val="32"/>
        </w:rPr>
        <w:t>及</w:t>
      </w:r>
      <w:r>
        <w:rPr>
          <w:rFonts w:eastAsia="仿宋_GB2312"/>
          <w:sz w:val="32"/>
          <w:szCs w:val="32"/>
        </w:rPr>
        <w:t>GB/T 29791.3《体外诊断医疗器械 制造商提供的信息（标示）第3部分：专业用体外诊断仪器》和YY/T 0466.1《医疗器械用于医疗器械标签、标记和提供信息的符号第1部分通用要求》中的相关要求。</w:t>
      </w:r>
    </w:p>
    <w:p w14:paraId="2FF02A44">
      <w:pPr>
        <w:spacing w:line="520" w:lineRule="exact"/>
        <w:ind w:firstLine="640" w:firstLineChars="200"/>
        <w:rPr>
          <w:rFonts w:eastAsia="仿宋_GB2312"/>
          <w:kern w:val="0"/>
          <w:sz w:val="32"/>
          <w:szCs w:val="32"/>
        </w:rPr>
      </w:pPr>
      <w:r>
        <w:rPr>
          <w:rFonts w:hint="eastAsia" w:eastAsia="仿宋_GB2312"/>
          <w:kern w:val="0"/>
          <w:sz w:val="32"/>
          <w:szCs w:val="32"/>
        </w:rPr>
        <w:t>说明书</w:t>
      </w:r>
      <w:r>
        <w:rPr>
          <w:rFonts w:eastAsia="仿宋_GB2312"/>
          <w:kern w:val="0"/>
          <w:sz w:val="32"/>
          <w:szCs w:val="32"/>
        </w:rPr>
        <w:t>至少包括以下内容：</w:t>
      </w:r>
    </w:p>
    <w:p w14:paraId="2B923564">
      <w:pPr>
        <w:spacing w:line="520" w:lineRule="exact"/>
        <w:ind w:firstLine="640" w:firstLineChars="200"/>
        <w:rPr>
          <w:rFonts w:eastAsia="仿宋_GB2312"/>
          <w:kern w:val="0"/>
          <w:sz w:val="32"/>
          <w:szCs w:val="32"/>
        </w:rPr>
      </w:pPr>
      <w:r>
        <w:rPr>
          <w:rFonts w:eastAsia="仿宋_GB2312"/>
          <w:kern w:val="0"/>
          <w:sz w:val="32"/>
          <w:szCs w:val="32"/>
        </w:rPr>
        <w:t>（1）产品名称、型号、规格；</w:t>
      </w:r>
    </w:p>
    <w:p w14:paraId="23170A22">
      <w:pPr>
        <w:spacing w:line="520" w:lineRule="exact"/>
        <w:ind w:firstLine="640" w:firstLineChars="200"/>
        <w:rPr>
          <w:rFonts w:eastAsia="仿宋_GB2312"/>
          <w:kern w:val="0"/>
          <w:sz w:val="32"/>
          <w:szCs w:val="32"/>
        </w:rPr>
      </w:pPr>
      <w:r>
        <w:rPr>
          <w:rFonts w:eastAsia="仿宋_GB2312"/>
          <w:kern w:val="0"/>
          <w:sz w:val="32"/>
          <w:szCs w:val="32"/>
        </w:rPr>
        <w:t>（2）注册人的名称、住所、联系方式及售后服务单位，进口产品还应当载明代理人的名称、住所及联系方式；</w:t>
      </w:r>
    </w:p>
    <w:p w14:paraId="45EC74CC">
      <w:pPr>
        <w:spacing w:line="520" w:lineRule="exact"/>
        <w:ind w:firstLine="640" w:firstLineChars="200"/>
        <w:rPr>
          <w:rFonts w:eastAsia="仿宋_GB2312"/>
          <w:kern w:val="0"/>
          <w:sz w:val="32"/>
          <w:szCs w:val="32"/>
        </w:rPr>
      </w:pPr>
      <w:r>
        <w:rPr>
          <w:rFonts w:eastAsia="仿宋_GB2312"/>
          <w:kern w:val="0"/>
          <w:sz w:val="32"/>
          <w:szCs w:val="32"/>
        </w:rPr>
        <w:t>（3）生产企业的名称、住所、生产地址、联系方式及生产许可证编号，委托生产的还应当标注受托企业的名称、住所、生产地址、生产许可证编号；</w:t>
      </w:r>
    </w:p>
    <w:p w14:paraId="1B4983AA">
      <w:pPr>
        <w:spacing w:line="520" w:lineRule="exact"/>
        <w:ind w:firstLine="640" w:firstLineChars="200"/>
        <w:rPr>
          <w:rFonts w:eastAsia="仿宋_GB2312"/>
          <w:kern w:val="0"/>
          <w:sz w:val="32"/>
          <w:szCs w:val="32"/>
        </w:rPr>
      </w:pPr>
      <w:r>
        <w:rPr>
          <w:rFonts w:eastAsia="仿宋_GB2312"/>
          <w:kern w:val="0"/>
          <w:sz w:val="32"/>
          <w:szCs w:val="32"/>
        </w:rPr>
        <w:t>（4）医疗器械注册证编号；</w:t>
      </w:r>
    </w:p>
    <w:p w14:paraId="6E4CC428">
      <w:pPr>
        <w:spacing w:line="520" w:lineRule="exact"/>
        <w:ind w:firstLine="640" w:firstLineChars="200"/>
        <w:rPr>
          <w:rFonts w:eastAsia="仿宋_GB2312"/>
          <w:kern w:val="0"/>
          <w:sz w:val="32"/>
          <w:szCs w:val="32"/>
        </w:rPr>
      </w:pPr>
      <w:r>
        <w:rPr>
          <w:rFonts w:eastAsia="仿宋_GB2312"/>
          <w:kern w:val="0"/>
          <w:sz w:val="32"/>
          <w:szCs w:val="32"/>
        </w:rPr>
        <w:t>（5）产品技术要求的编号；</w:t>
      </w:r>
    </w:p>
    <w:p w14:paraId="120E239A">
      <w:pPr>
        <w:spacing w:line="520" w:lineRule="exact"/>
        <w:ind w:firstLine="640" w:firstLineChars="200"/>
        <w:rPr>
          <w:rFonts w:eastAsia="仿宋_GB2312"/>
          <w:kern w:val="0"/>
          <w:sz w:val="32"/>
          <w:szCs w:val="32"/>
        </w:rPr>
      </w:pPr>
      <w:r>
        <w:rPr>
          <w:rFonts w:eastAsia="仿宋_GB2312"/>
          <w:kern w:val="0"/>
          <w:sz w:val="32"/>
          <w:szCs w:val="32"/>
        </w:rPr>
        <w:t>（6）产品性能、结构</w:t>
      </w:r>
      <w:r>
        <w:rPr>
          <w:rFonts w:hint="eastAsia" w:eastAsia="仿宋_GB2312"/>
          <w:kern w:val="0"/>
          <w:sz w:val="32"/>
          <w:szCs w:val="32"/>
        </w:rPr>
        <w:t>及</w:t>
      </w:r>
      <w:r>
        <w:rPr>
          <w:rFonts w:eastAsia="仿宋_GB2312"/>
          <w:kern w:val="0"/>
          <w:sz w:val="32"/>
          <w:szCs w:val="32"/>
        </w:rPr>
        <w:t>组成、适用范围：</w:t>
      </w:r>
    </w:p>
    <w:p w14:paraId="4378822B">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1 \* GB3 </w:instrText>
      </w:r>
      <w:r>
        <w:rPr>
          <w:rFonts w:eastAsia="仿宋_GB2312"/>
          <w:kern w:val="0"/>
          <w:sz w:val="32"/>
          <w:szCs w:val="32"/>
        </w:rPr>
        <w:fldChar w:fldCharType="separate"/>
      </w:r>
      <w:r>
        <w:rPr>
          <w:rFonts w:hint="eastAsia" w:ascii="宋体" w:hAnsi="宋体" w:cs="宋体"/>
          <w:kern w:val="0"/>
          <w:sz w:val="32"/>
          <w:szCs w:val="32"/>
        </w:rPr>
        <w:t>①</w:t>
      </w:r>
      <w:r>
        <w:rPr>
          <w:rFonts w:eastAsia="仿宋_GB2312"/>
          <w:kern w:val="0"/>
          <w:sz w:val="32"/>
          <w:szCs w:val="32"/>
        </w:rPr>
        <w:fldChar w:fldCharType="end"/>
      </w:r>
      <w:r>
        <w:rPr>
          <w:rFonts w:eastAsia="仿宋_GB2312"/>
          <w:kern w:val="0"/>
          <w:sz w:val="32"/>
          <w:szCs w:val="32"/>
        </w:rPr>
        <w:t>结构</w:t>
      </w:r>
      <w:r>
        <w:rPr>
          <w:rFonts w:hint="eastAsia" w:eastAsia="仿宋_GB2312"/>
          <w:kern w:val="0"/>
          <w:sz w:val="32"/>
          <w:szCs w:val="32"/>
        </w:rPr>
        <w:t>及</w:t>
      </w:r>
      <w:r>
        <w:rPr>
          <w:rFonts w:eastAsia="仿宋_GB2312"/>
          <w:kern w:val="0"/>
          <w:sz w:val="32"/>
          <w:szCs w:val="32"/>
        </w:rPr>
        <w:t>组成</w:t>
      </w:r>
    </w:p>
    <w:p w14:paraId="01268072">
      <w:pPr>
        <w:spacing w:line="520" w:lineRule="exact"/>
        <w:ind w:firstLine="640" w:firstLineChars="200"/>
        <w:rPr>
          <w:rFonts w:eastAsia="仿宋_GB2312"/>
          <w:kern w:val="0"/>
          <w:sz w:val="32"/>
          <w:szCs w:val="32"/>
        </w:rPr>
      </w:pPr>
      <w:r>
        <w:rPr>
          <w:rFonts w:eastAsia="仿宋_GB2312"/>
          <w:kern w:val="0"/>
          <w:sz w:val="32"/>
          <w:szCs w:val="32"/>
        </w:rPr>
        <w:t>建议以实物照片/示意图加文字的形式对申报产品的整体结构进行描述，标明各主要模块的名称（应包含软件组件，并注明软件组件的名称和发布版本）。</w:t>
      </w:r>
    </w:p>
    <w:p w14:paraId="3D1A3A34">
      <w:pPr>
        <w:spacing w:line="520" w:lineRule="exact"/>
        <w:ind w:firstLine="640" w:firstLineChars="200"/>
        <w:rPr>
          <w:rFonts w:eastAsia="仿宋_GB2312"/>
          <w:kern w:val="0"/>
          <w:sz w:val="32"/>
          <w:szCs w:val="32"/>
        </w:rPr>
      </w:pPr>
      <w:r>
        <w:rPr>
          <w:rFonts w:eastAsia="仿宋_GB2312"/>
          <w:kern w:val="0"/>
          <w:sz w:val="32"/>
          <w:szCs w:val="32"/>
        </w:rPr>
        <w:t>建议对软件的主要功能进行描述，重点对用户界面的整体情况和各功能窗口涉及的操作功能进行简单介绍。</w:t>
      </w:r>
    </w:p>
    <w:p w14:paraId="3237BDDA">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2 \* GB3 </w:instrText>
      </w:r>
      <w:r>
        <w:rPr>
          <w:rFonts w:eastAsia="仿宋_GB2312"/>
          <w:kern w:val="0"/>
          <w:sz w:val="32"/>
          <w:szCs w:val="32"/>
        </w:rPr>
        <w:fldChar w:fldCharType="separate"/>
      </w:r>
      <w:r>
        <w:rPr>
          <w:rFonts w:hint="eastAsia" w:ascii="宋体" w:hAnsi="宋体" w:cs="宋体"/>
          <w:kern w:val="0"/>
          <w:sz w:val="32"/>
          <w:szCs w:val="32"/>
        </w:rPr>
        <w:t>②</w:t>
      </w:r>
      <w:r>
        <w:rPr>
          <w:rFonts w:eastAsia="仿宋_GB2312"/>
          <w:kern w:val="0"/>
          <w:sz w:val="32"/>
          <w:szCs w:val="32"/>
        </w:rPr>
        <w:fldChar w:fldCharType="end"/>
      </w:r>
      <w:r>
        <w:rPr>
          <w:rFonts w:eastAsia="仿宋_GB2312"/>
          <w:kern w:val="0"/>
          <w:sz w:val="32"/>
          <w:szCs w:val="32"/>
        </w:rPr>
        <w:t>适用范围</w:t>
      </w:r>
    </w:p>
    <w:p w14:paraId="1F7B14C9">
      <w:pPr>
        <w:spacing w:line="520" w:lineRule="exact"/>
        <w:ind w:firstLine="640" w:firstLineChars="200"/>
        <w:rPr>
          <w:rFonts w:eastAsia="仿宋_GB2312"/>
          <w:kern w:val="0"/>
          <w:sz w:val="32"/>
          <w:szCs w:val="32"/>
        </w:rPr>
      </w:pPr>
      <w:r>
        <w:rPr>
          <w:rFonts w:eastAsia="仿宋_GB2312"/>
          <w:kern w:val="0"/>
          <w:sz w:val="32"/>
          <w:szCs w:val="32"/>
        </w:rPr>
        <w:t>建议采用以下形式进行描述：“该产品采用××法，与配套的检测试剂</w:t>
      </w:r>
      <w:r>
        <w:rPr>
          <w:rFonts w:hint="eastAsia" w:eastAsia="仿宋_GB2312"/>
          <w:kern w:val="0"/>
          <w:sz w:val="32"/>
          <w:szCs w:val="32"/>
        </w:rPr>
        <w:t>/试纸</w:t>
      </w:r>
      <w:r>
        <w:rPr>
          <w:rFonts w:eastAsia="仿宋_GB2312"/>
          <w:kern w:val="0"/>
          <w:sz w:val="32"/>
          <w:szCs w:val="32"/>
        </w:rPr>
        <w:t>共同使用，在临床上用于对来源于人体的×××样本中的被分析物进行定性或定量检测”。</w:t>
      </w:r>
    </w:p>
    <w:p w14:paraId="4FD92C86">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3 \* GB3 </w:instrText>
      </w:r>
      <w:r>
        <w:rPr>
          <w:rFonts w:eastAsia="仿宋_GB2312"/>
          <w:kern w:val="0"/>
          <w:sz w:val="32"/>
          <w:szCs w:val="32"/>
        </w:rPr>
        <w:fldChar w:fldCharType="separate"/>
      </w:r>
      <w:r>
        <w:rPr>
          <w:rFonts w:hint="eastAsia" w:ascii="宋体" w:hAnsi="宋体" w:cs="宋体"/>
          <w:kern w:val="0"/>
          <w:sz w:val="32"/>
          <w:szCs w:val="32"/>
        </w:rPr>
        <w:t>③</w:t>
      </w:r>
      <w:r>
        <w:rPr>
          <w:rFonts w:eastAsia="仿宋_GB2312"/>
          <w:kern w:val="0"/>
          <w:sz w:val="32"/>
          <w:szCs w:val="32"/>
        </w:rPr>
        <w:fldChar w:fldCharType="end"/>
      </w:r>
      <w:r>
        <w:rPr>
          <w:rFonts w:eastAsia="仿宋_GB2312"/>
          <w:kern w:val="0"/>
          <w:sz w:val="32"/>
          <w:szCs w:val="32"/>
        </w:rPr>
        <w:t>工作原理</w:t>
      </w:r>
    </w:p>
    <w:p w14:paraId="598DF1C9">
      <w:pPr>
        <w:spacing w:line="520" w:lineRule="exact"/>
        <w:ind w:firstLine="640" w:firstLineChars="200"/>
        <w:rPr>
          <w:rFonts w:eastAsia="仿宋_GB2312"/>
          <w:kern w:val="0"/>
          <w:sz w:val="32"/>
          <w:szCs w:val="32"/>
        </w:rPr>
      </w:pPr>
      <w:r>
        <w:rPr>
          <w:rFonts w:eastAsia="仿宋_GB2312"/>
          <w:kern w:val="0"/>
          <w:sz w:val="32"/>
          <w:szCs w:val="32"/>
        </w:rPr>
        <w:t>建议对</w:t>
      </w:r>
      <w:r>
        <w:rPr>
          <w:rFonts w:hint="eastAsia" w:eastAsia="仿宋_GB2312"/>
          <w:kern w:val="0"/>
          <w:sz w:val="32"/>
          <w:szCs w:val="32"/>
        </w:rPr>
        <w:t>申报产品的工作原理开展详细、完整的技术描述，结合产品实际结构、检测流程与技术原理，可配套采用公式推导、结构示意图、流程示意图等可视化形式辅助阐释；同时采用文字结合图示的组合方式，对产品核心技术特点、性能特点、结构特点进行系统性描述，确保原理表述精准、图示与文字内容一一对应，清晰体现技术逻辑与实现路径。</w:t>
      </w:r>
    </w:p>
    <w:p w14:paraId="35819572">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4 \* GB3 </w:instrText>
      </w:r>
      <w:r>
        <w:rPr>
          <w:rFonts w:eastAsia="仿宋_GB2312"/>
          <w:kern w:val="0"/>
          <w:sz w:val="32"/>
          <w:szCs w:val="32"/>
        </w:rPr>
        <w:fldChar w:fldCharType="separate"/>
      </w:r>
      <w:r>
        <w:rPr>
          <w:rFonts w:hint="eastAsia" w:ascii="宋体" w:hAnsi="宋体" w:cs="宋体"/>
          <w:kern w:val="0"/>
          <w:sz w:val="32"/>
          <w:szCs w:val="32"/>
        </w:rPr>
        <w:t>④</w:t>
      </w:r>
      <w:r>
        <w:rPr>
          <w:rFonts w:eastAsia="仿宋_GB2312"/>
          <w:kern w:val="0"/>
          <w:sz w:val="32"/>
          <w:szCs w:val="32"/>
        </w:rPr>
        <w:fldChar w:fldCharType="end"/>
      </w:r>
      <w:r>
        <w:rPr>
          <w:rFonts w:eastAsia="仿宋_GB2312"/>
          <w:kern w:val="0"/>
          <w:sz w:val="32"/>
          <w:szCs w:val="32"/>
        </w:rPr>
        <w:t>性能指标</w:t>
      </w:r>
    </w:p>
    <w:p w14:paraId="474EFFB2">
      <w:pPr>
        <w:adjustRightInd w:val="0"/>
        <w:snapToGrid w:val="0"/>
        <w:spacing w:line="520" w:lineRule="exact"/>
        <w:ind w:firstLine="640" w:firstLineChars="200"/>
        <w:rPr>
          <w:rFonts w:eastAsia="仿宋_GB2312"/>
          <w:sz w:val="32"/>
          <w:szCs w:val="32"/>
        </w:rPr>
      </w:pPr>
      <w:r>
        <w:rPr>
          <w:rFonts w:eastAsia="仿宋_GB2312"/>
          <w:sz w:val="32"/>
          <w:szCs w:val="32"/>
        </w:rPr>
        <w:t>建议写明以下内容：产品基本参数（</w:t>
      </w:r>
      <w:r>
        <w:rPr>
          <w:rFonts w:eastAsia="仿宋_GB2312"/>
          <w:kern w:val="0"/>
          <w:sz w:val="32"/>
          <w:szCs w:val="32"/>
        </w:rPr>
        <w:t>分析通量、试剂位数量、样品位数量等</w:t>
      </w:r>
      <w:r>
        <w:rPr>
          <w:rFonts w:eastAsia="仿宋_GB2312"/>
          <w:sz w:val="32"/>
          <w:szCs w:val="32"/>
        </w:rPr>
        <w:t>）、正常工作条件、电气安全、电磁兼容信息、性能指标等。</w:t>
      </w:r>
    </w:p>
    <w:p w14:paraId="3CB41BDE">
      <w:pPr>
        <w:spacing w:line="520" w:lineRule="exact"/>
        <w:ind w:firstLine="640" w:firstLineChars="200"/>
        <w:rPr>
          <w:rFonts w:eastAsia="仿宋_GB2312"/>
          <w:kern w:val="0"/>
          <w:sz w:val="32"/>
          <w:szCs w:val="32"/>
        </w:rPr>
      </w:pPr>
      <w:r>
        <w:rPr>
          <w:rFonts w:hint="eastAsia" w:ascii="宋体" w:hAnsi="宋体" w:cs="宋体"/>
          <w:kern w:val="0"/>
          <w:sz w:val="32"/>
          <w:szCs w:val="32"/>
        </w:rPr>
        <w:t>⑤</w:t>
      </w:r>
      <w:r>
        <w:rPr>
          <w:rFonts w:eastAsia="仿宋_GB2312"/>
          <w:kern w:val="0"/>
          <w:sz w:val="32"/>
          <w:szCs w:val="32"/>
        </w:rPr>
        <w:t xml:space="preserve">工作环境要求 </w:t>
      </w:r>
    </w:p>
    <w:p w14:paraId="649DE312">
      <w:pPr>
        <w:spacing w:line="520" w:lineRule="exact"/>
        <w:ind w:firstLine="640" w:firstLineChars="200"/>
        <w:rPr>
          <w:rFonts w:eastAsia="仿宋_GB2312"/>
          <w:kern w:val="0"/>
          <w:sz w:val="32"/>
          <w:szCs w:val="32"/>
        </w:rPr>
      </w:pPr>
      <w:r>
        <w:rPr>
          <w:rFonts w:eastAsia="仿宋_GB2312"/>
          <w:kern w:val="0"/>
          <w:sz w:val="32"/>
          <w:szCs w:val="32"/>
        </w:rPr>
        <w:t>建议至少写明以下内容：产品尺寸、重量、储存条件（温度、湿度）、正常工作条件（温度、湿度、海拔、电源要求）。</w:t>
      </w:r>
    </w:p>
    <w:p w14:paraId="181D1810">
      <w:pPr>
        <w:spacing w:line="520" w:lineRule="exact"/>
        <w:ind w:firstLine="640" w:firstLineChars="200"/>
        <w:rPr>
          <w:rFonts w:eastAsia="仿宋_GB2312"/>
          <w:kern w:val="0"/>
          <w:sz w:val="32"/>
          <w:szCs w:val="32"/>
        </w:rPr>
      </w:pPr>
      <w:r>
        <w:rPr>
          <w:rFonts w:eastAsia="仿宋_GB2312"/>
          <w:kern w:val="0"/>
          <w:sz w:val="32"/>
          <w:szCs w:val="32"/>
        </w:rPr>
        <w:t>（7）禁忌证、注意事项、警示以及提示的内容；</w:t>
      </w:r>
    </w:p>
    <w:p w14:paraId="2F30CE38">
      <w:pPr>
        <w:spacing w:line="520" w:lineRule="exact"/>
        <w:ind w:firstLine="640" w:firstLineChars="200"/>
        <w:rPr>
          <w:rFonts w:eastAsia="仿宋_GB2312"/>
          <w:kern w:val="0"/>
          <w:sz w:val="32"/>
          <w:szCs w:val="32"/>
        </w:rPr>
      </w:pPr>
      <w:r>
        <w:rPr>
          <w:rFonts w:eastAsia="仿宋_GB2312"/>
          <w:kern w:val="0"/>
          <w:sz w:val="32"/>
          <w:szCs w:val="32"/>
        </w:rPr>
        <w:t>（8）安装和使用说明或者图示：</w:t>
      </w:r>
    </w:p>
    <w:p w14:paraId="7E63FADB">
      <w:pPr>
        <w:spacing w:line="520" w:lineRule="exact"/>
        <w:ind w:firstLine="640" w:firstLineChars="200"/>
        <w:rPr>
          <w:rFonts w:eastAsia="仿宋_GB2312"/>
          <w:kern w:val="0"/>
          <w:sz w:val="32"/>
          <w:szCs w:val="32"/>
        </w:rPr>
      </w:pPr>
      <w:r>
        <w:rPr>
          <w:rFonts w:eastAsia="仿宋_GB2312"/>
          <w:kern w:val="0"/>
          <w:sz w:val="32"/>
          <w:szCs w:val="32"/>
        </w:rPr>
        <w:t>建议以申报产品安装调试完毕可开始正常工作作为初始状态介绍具体的操作方法，详细描述校准、质控、检测设计（样本操作、试剂操作、检测流程等）、结果传输和打印等每一步骤的详细操作方式，主要是在用户界面上如何操作应有详细的文字及图示描述。</w:t>
      </w:r>
    </w:p>
    <w:p w14:paraId="5C9B8C75">
      <w:pPr>
        <w:spacing w:line="520" w:lineRule="exact"/>
        <w:ind w:firstLine="640" w:firstLineChars="200"/>
        <w:rPr>
          <w:rFonts w:eastAsia="仿宋_GB2312"/>
          <w:kern w:val="0"/>
          <w:sz w:val="32"/>
          <w:szCs w:val="32"/>
        </w:rPr>
      </w:pPr>
      <w:r>
        <w:rPr>
          <w:rFonts w:eastAsia="仿宋_GB2312"/>
          <w:kern w:val="0"/>
          <w:sz w:val="32"/>
          <w:szCs w:val="32"/>
        </w:rPr>
        <w:t>（9）产品维护和保养方法，特殊储存、运输条件、方法：</w:t>
      </w:r>
    </w:p>
    <w:p w14:paraId="566849BB">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1 \* GB3 </w:instrText>
      </w:r>
      <w:r>
        <w:rPr>
          <w:rFonts w:eastAsia="仿宋_GB2312"/>
          <w:kern w:val="0"/>
          <w:sz w:val="32"/>
          <w:szCs w:val="32"/>
        </w:rPr>
        <w:fldChar w:fldCharType="separate"/>
      </w:r>
      <w:r>
        <w:rPr>
          <w:rFonts w:hint="eastAsia" w:ascii="宋体" w:hAnsi="宋体" w:cs="宋体"/>
          <w:kern w:val="0"/>
          <w:sz w:val="32"/>
          <w:szCs w:val="32"/>
        </w:rPr>
        <w:t>①</w:t>
      </w:r>
      <w:r>
        <w:rPr>
          <w:rFonts w:eastAsia="仿宋_GB2312"/>
          <w:kern w:val="0"/>
          <w:sz w:val="32"/>
          <w:szCs w:val="32"/>
        </w:rPr>
        <w:fldChar w:fldCharType="end"/>
      </w:r>
      <w:r>
        <w:rPr>
          <w:rFonts w:eastAsia="仿宋_GB2312"/>
          <w:kern w:val="0"/>
          <w:sz w:val="32"/>
          <w:szCs w:val="32"/>
        </w:rPr>
        <w:t>维护和保养</w:t>
      </w:r>
    </w:p>
    <w:p w14:paraId="79E173FB">
      <w:pPr>
        <w:spacing w:line="520" w:lineRule="exact"/>
        <w:ind w:firstLine="640" w:firstLineChars="200"/>
        <w:rPr>
          <w:rFonts w:eastAsia="仿宋_GB2312"/>
          <w:kern w:val="0"/>
          <w:sz w:val="32"/>
          <w:szCs w:val="32"/>
        </w:rPr>
      </w:pPr>
      <w:r>
        <w:rPr>
          <w:rFonts w:eastAsia="仿宋_GB2312"/>
          <w:kern w:val="0"/>
          <w:sz w:val="32"/>
          <w:szCs w:val="32"/>
        </w:rPr>
        <w:t>建议以文字加图示的方式对使用者能够进行的维护保养措施，包括每日维护（如，非工作时间液路系统的维护方法、废液桶更换方法）、每周维护（如，水容器和水瓶的清洁方法）、每月维护（如，清洗试剂探针的方法）、重点零部件维护（如，样本架的维护保养方法）的具体内容进行详细描述。</w:t>
      </w:r>
    </w:p>
    <w:p w14:paraId="592B5759">
      <w:pPr>
        <w:spacing w:line="520" w:lineRule="exact"/>
        <w:ind w:firstLine="640" w:firstLineChars="200"/>
        <w:rPr>
          <w:rFonts w:eastAsia="仿宋_GB2312"/>
          <w:kern w:val="0"/>
          <w:sz w:val="32"/>
          <w:szCs w:val="32"/>
        </w:rPr>
      </w:pPr>
      <w:r>
        <w:rPr>
          <w:rFonts w:eastAsia="仿宋_GB2312"/>
          <w:kern w:val="0"/>
          <w:sz w:val="32"/>
          <w:szCs w:val="32"/>
        </w:rPr>
        <w:fldChar w:fldCharType="begin"/>
      </w:r>
      <w:r>
        <w:rPr>
          <w:rFonts w:eastAsia="仿宋_GB2312"/>
          <w:kern w:val="0"/>
          <w:sz w:val="32"/>
          <w:szCs w:val="32"/>
        </w:rPr>
        <w:instrText xml:space="preserve"> = 2 \* GB3 </w:instrText>
      </w:r>
      <w:r>
        <w:rPr>
          <w:rFonts w:eastAsia="仿宋_GB2312"/>
          <w:kern w:val="0"/>
          <w:sz w:val="32"/>
          <w:szCs w:val="32"/>
        </w:rPr>
        <w:fldChar w:fldCharType="separate"/>
      </w:r>
      <w:r>
        <w:rPr>
          <w:rFonts w:hint="eastAsia" w:ascii="宋体" w:hAnsi="宋体" w:cs="宋体"/>
          <w:kern w:val="0"/>
          <w:sz w:val="32"/>
          <w:szCs w:val="32"/>
        </w:rPr>
        <w:t>②</w:t>
      </w:r>
      <w:r>
        <w:rPr>
          <w:rFonts w:eastAsia="仿宋_GB2312"/>
          <w:kern w:val="0"/>
          <w:sz w:val="32"/>
          <w:szCs w:val="32"/>
        </w:rPr>
        <w:fldChar w:fldCharType="end"/>
      </w:r>
      <w:r>
        <w:rPr>
          <w:rFonts w:eastAsia="仿宋_GB2312"/>
          <w:kern w:val="0"/>
          <w:sz w:val="32"/>
          <w:szCs w:val="32"/>
        </w:rPr>
        <w:t>故障排除</w:t>
      </w:r>
    </w:p>
    <w:p w14:paraId="6EC2D236">
      <w:pPr>
        <w:spacing w:line="520" w:lineRule="exact"/>
        <w:ind w:firstLine="640" w:firstLineChars="200"/>
        <w:rPr>
          <w:rFonts w:eastAsia="仿宋_GB2312"/>
          <w:kern w:val="0"/>
          <w:sz w:val="32"/>
          <w:szCs w:val="32"/>
        </w:rPr>
      </w:pPr>
      <w:r>
        <w:rPr>
          <w:rFonts w:eastAsia="仿宋_GB2312"/>
          <w:kern w:val="0"/>
          <w:sz w:val="32"/>
          <w:szCs w:val="32"/>
        </w:rPr>
        <w:t>建议以列表方式对申报产品正常使用过程中可能出现的可由使用者自行排除的故障进行详细描述，应当至少写明故障的表现、可能原因、建议的处理方式。</w:t>
      </w:r>
    </w:p>
    <w:p w14:paraId="43075C80">
      <w:pPr>
        <w:spacing w:line="520" w:lineRule="exact"/>
        <w:ind w:firstLine="640" w:firstLineChars="200"/>
        <w:rPr>
          <w:rFonts w:eastAsia="仿宋_GB2312"/>
          <w:kern w:val="0"/>
          <w:sz w:val="32"/>
          <w:szCs w:val="32"/>
        </w:rPr>
      </w:pPr>
      <w:r>
        <w:rPr>
          <w:rFonts w:eastAsia="仿宋_GB2312"/>
          <w:kern w:val="0"/>
          <w:sz w:val="32"/>
          <w:szCs w:val="32"/>
        </w:rPr>
        <w:t>（10）生产日期，使用期限：</w:t>
      </w:r>
    </w:p>
    <w:p w14:paraId="0C747026">
      <w:pPr>
        <w:spacing w:line="520" w:lineRule="exact"/>
        <w:ind w:firstLine="640" w:firstLineChars="200"/>
        <w:rPr>
          <w:rFonts w:eastAsia="仿宋_GB2312"/>
          <w:kern w:val="0"/>
          <w:sz w:val="32"/>
          <w:szCs w:val="32"/>
        </w:rPr>
      </w:pPr>
      <w:r>
        <w:rPr>
          <w:rFonts w:eastAsia="仿宋_GB2312"/>
          <w:kern w:val="0"/>
          <w:sz w:val="32"/>
          <w:szCs w:val="32"/>
        </w:rPr>
        <w:t>注明产品的使用期限。使用期限应当根据产品有效期研究资料的内容写明年限。</w:t>
      </w:r>
    </w:p>
    <w:p w14:paraId="69FF0684">
      <w:pPr>
        <w:spacing w:line="520" w:lineRule="exact"/>
        <w:ind w:firstLine="640" w:firstLineChars="200"/>
        <w:rPr>
          <w:rFonts w:eastAsia="仿宋_GB2312"/>
          <w:kern w:val="0"/>
          <w:sz w:val="32"/>
          <w:szCs w:val="32"/>
        </w:rPr>
      </w:pPr>
      <w:r>
        <w:rPr>
          <w:rFonts w:eastAsia="仿宋_GB2312"/>
          <w:kern w:val="0"/>
          <w:sz w:val="32"/>
          <w:szCs w:val="32"/>
        </w:rPr>
        <w:t>（11）配件清单，包括配件、附属品及损耗品，应写明每一配件的名称，如必要，还需写明更换周期以及更换方法等；</w:t>
      </w:r>
    </w:p>
    <w:p w14:paraId="77A9F64D">
      <w:pPr>
        <w:spacing w:line="520" w:lineRule="exact"/>
        <w:ind w:firstLine="640" w:firstLineChars="200"/>
        <w:rPr>
          <w:rFonts w:eastAsia="仿宋_GB2312"/>
          <w:kern w:val="0"/>
          <w:sz w:val="32"/>
          <w:szCs w:val="32"/>
        </w:rPr>
      </w:pPr>
      <w:r>
        <w:rPr>
          <w:rFonts w:eastAsia="仿宋_GB2312"/>
          <w:kern w:val="0"/>
          <w:sz w:val="32"/>
          <w:szCs w:val="32"/>
        </w:rPr>
        <w:t>（12）产品标签所用的图形、符号、缩写等内容的解释；</w:t>
      </w:r>
    </w:p>
    <w:p w14:paraId="4E5AEDF2">
      <w:pPr>
        <w:spacing w:line="520" w:lineRule="exact"/>
        <w:ind w:firstLine="640" w:firstLineChars="200"/>
        <w:rPr>
          <w:rFonts w:eastAsia="仿宋_GB2312"/>
          <w:kern w:val="0"/>
          <w:sz w:val="32"/>
          <w:szCs w:val="32"/>
        </w:rPr>
      </w:pPr>
      <w:r>
        <w:rPr>
          <w:rFonts w:eastAsia="仿宋_GB2312"/>
          <w:kern w:val="0"/>
          <w:sz w:val="32"/>
          <w:szCs w:val="32"/>
        </w:rPr>
        <w:t>（13）说明书的编制或者修订日期；</w:t>
      </w:r>
    </w:p>
    <w:p w14:paraId="11672E11">
      <w:pPr>
        <w:spacing w:line="520" w:lineRule="exact"/>
        <w:ind w:firstLine="640" w:firstLineChars="200"/>
        <w:rPr>
          <w:rFonts w:eastAsia="仿宋_GB2312"/>
          <w:kern w:val="0"/>
          <w:sz w:val="32"/>
          <w:szCs w:val="32"/>
        </w:rPr>
      </w:pPr>
      <w:r>
        <w:rPr>
          <w:rFonts w:eastAsia="仿宋_GB2312"/>
          <w:kern w:val="0"/>
          <w:sz w:val="32"/>
          <w:szCs w:val="32"/>
        </w:rPr>
        <w:t>上述各项目均应当包含在产品说明书中，但其中的详细内容可能因申请人和申报产品的不同而有所区别，或者某些项目的详细内容可能记载于其他文件（如维修保养手册）中，此种情况下，申请人应当在提交产品说明书时另附文件予以说明。</w:t>
      </w:r>
    </w:p>
    <w:p w14:paraId="3E5EEACA">
      <w:pPr>
        <w:spacing w:line="520" w:lineRule="exact"/>
        <w:ind w:firstLine="640" w:firstLineChars="200"/>
        <w:rPr>
          <w:rFonts w:eastAsia="仿宋_GB2312"/>
          <w:kern w:val="0"/>
          <w:sz w:val="32"/>
          <w:szCs w:val="32"/>
        </w:rPr>
      </w:pPr>
      <w:r>
        <w:rPr>
          <w:rFonts w:eastAsia="仿宋_GB2312"/>
          <w:kern w:val="0"/>
          <w:sz w:val="32"/>
          <w:szCs w:val="32"/>
        </w:rPr>
        <w:t>产品说明书的内容均应有明确的来源，与综述资料、研究资料等注册申报资料的内容保持一致。进口产品的原文说明书如缺少上述项目中的某些内容，应当在产品中文说明书中予以增加，涉及技术内容且前述注册申报资料中未包含的，建议提交相应验证资料。</w:t>
      </w:r>
    </w:p>
    <w:p w14:paraId="5A620C17">
      <w:pPr>
        <w:spacing w:line="520" w:lineRule="exact"/>
        <w:ind w:firstLine="640" w:firstLineChars="200"/>
        <w:rPr>
          <w:rFonts w:eastAsia="仿宋_GB2312"/>
          <w:kern w:val="0"/>
          <w:sz w:val="32"/>
          <w:szCs w:val="32"/>
        </w:rPr>
      </w:pPr>
      <w:r>
        <w:rPr>
          <w:rFonts w:eastAsia="仿宋_GB2312"/>
          <w:kern w:val="0"/>
          <w:sz w:val="32"/>
          <w:szCs w:val="32"/>
        </w:rPr>
        <w:t>2.最小销售单元的标签样稿</w:t>
      </w:r>
    </w:p>
    <w:p w14:paraId="7E76BDD8">
      <w:pPr>
        <w:spacing w:line="520" w:lineRule="exact"/>
        <w:ind w:firstLine="640" w:firstLineChars="200"/>
        <w:rPr>
          <w:rFonts w:eastAsia="仿宋_GB2312"/>
          <w:sz w:val="32"/>
          <w:szCs w:val="32"/>
        </w:rPr>
      </w:pPr>
      <w:r>
        <w:rPr>
          <w:rFonts w:eastAsia="仿宋_GB2312"/>
          <w:kern w:val="0"/>
          <w:sz w:val="32"/>
          <w:szCs w:val="32"/>
        </w:rPr>
        <w:t>标签样稿应当符合《医疗器械说明书和标签管理规定》的要求，其内容应当至少包括第十三条规定的所有适用内容。</w:t>
      </w:r>
      <w:r>
        <w:rPr>
          <w:rFonts w:eastAsia="仿宋_GB2312"/>
          <w:sz w:val="32"/>
          <w:szCs w:val="32"/>
        </w:rPr>
        <w:t>因位置或者大小受限而无法全部标明上述内容的，至少应当标注产品名称、型号、规格、生产日期和使用期限或者失效日期，并在标签中明确“其他内容详见说明书”。</w:t>
      </w:r>
    </w:p>
    <w:p w14:paraId="2C5E1276">
      <w:pPr>
        <w:spacing w:line="520" w:lineRule="exact"/>
        <w:ind w:firstLine="640" w:firstLineChars="200"/>
        <w:rPr>
          <w:rFonts w:eastAsia="仿宋_GB2312"/>
          <w:sz w:val="32"/>
          <w:szCs w:val="32"/>
        </w:rPr>
      </w:pPr>
      <w:r>
        <w:rPr>
          <w:rFonts w:hint="eastAsia" w:eastAsia="仿宋_GB2312"/>
          <w:sz w:val="32"/>
          <w:szCs w:val="32"/>
        </w:rPr>
        <w:t>（六）质量管理体系文件</w:t>
      </w:r>
    </w:p>
    <w:p w14:paraId="2FF7109C">
      <w:pPr>
        <w:tabs>
          <w:tab w:val="left" w:pos="8040"/>
        </w:tabs>
        <w:adjustRightInd w:val="0"/>
        <w:snapToGrid w:val="0"/>
        <w:spacing w:line="540" w:lineRule="exact"/>
        <w:ind w:firstLine="640" w:firstLineChars="200"/>
        <w:rPr>
          <w:rFonts w:eastAsia="仿宋_GB2312"/>
          <w:sz w:val="32"/>
          <w:szCs w:val="32"/>
        </w:rPr>
      </w:pPr>
      <w:r>
        <w:rPr>
          <w:rFonts w:eastAsia="仿宋_GB2312"/>
          <w:sz w:val="32"/>
          <w:szCs w:val="32"/>
        </w:rPr>
        <w:t>质量管理体系文件主要包括综述、生产制造信息、质量管理体系程序、管理职责程序、资源管理程序、产品实现程序、质量管理体系的测量、分析和改进程序、其他质量体系程序信息、质量管理体系核查信息等内容，应符合《医疗器械注册与备案管理办法》和《关于公布医疗器械注册申报资料要求和批准证明文件格式的公告》的相关要求。</w:t>
      </w:r>
    </w:p>
    <w:p w14:paraId="3444FF0C">
      <w:pPr>
        <w:pStyle w:val="2"/>
        <w:spacing w:line="520" w:lineRule="exact"/>
      </w:pPr>
      <w:r>
        <w:rPr>
          <w:rFonts w:hint="eastAsia"/>
        </w:rPr>
        <w:t>三、参考文献</w:t>
      </w:r>
    </w:p>
    <w:p w14:paraId="55F9490C">
      <w:pPr>
        <w:pStyle w:val="22"/>
        <w:numPr>
          <w:ilvl w:val="0"/>
          <w:numId w:val="2"/>
        </w:numPr>
        <w:tabs>
          <w:tab w:val="left" w:pos="360"/>
          <w:tab w:val="left" w:pos="952"/>
          <w:tab w:val="left" w:pos="1078"/>
          <w:tab w:val="left" w:pos="1140"/>
        </w:tabs>
        <w:autoSpaceDE w:val="0"/>
        <w:autoSpaceDN w:val="0"/>
        <w:adjustRightInd w:val="0"/>
        <w:spacing w:line="520" w:lineRule="exact"/>
        <w:ind w:left="0" w:firstLine="641" w:firstLineChars="0"/>
        <w:rPr>
          <w:rFonts w:eastAsia="仿宋_GB2312"/>
          <w:sz w:val="32"/>
          <w:szCs w:val="32"/>
        </w:rPr>
      </w:pPr>
      <w:r>
        <w:rPr>
          <w:rFonts w:hint="eastAsia" w:eastAsia="仿宋_GB2312"/>
          <w:kern w:val="0"/>
          <w:sz w:val="32"/>
          <w:szCs w:val="32"/>
        </w:rPr>
        <w:t>中华人民共和国国务院.医疗器械监督管理条例:中华人民共和国国务院令第739号[Z].</w:t>
      </w:r>
    </w:p>
    <w:p w14:paraId="57743B75">
      <w:pPr>
        <w:spacing w:line="520" w:lineRule="exact"/>
        <w:ind w:right="-67" w:rightChars="-32" w:firstLine="640" w:firstLineChars="200"/>
        <w:rPr>
          <w:rFonts w:eastAsia="仿宋_GB2312"/>
          <w:sz w:val="32"/>
          <w:szCs w:val="32"/>
        </w:rPr>
      </w:pPr>
      <w:r>
        <w:rPr>
          <w:rFonts w:hint="eastAsia" w:eastAsia="仿宋_GB2312"/>
          <w:sz w:val="32"/>
          <w:szCs w:val="32"/>
        </w:rPr>
        <w:t>[2]</w:t>
      </w:r>
      <w:r>
        <w:rPr>
          <w:rFonts w:hint="eastAsia" w:eastAsia="仿宋_GB2312"/>
          <w:kern w:val="0"/>
          <w:sz w:val="32"/>
          <w:szCs w:val="32"/>
        </w:rPr>
        <w:t>国家市场监督管理总局.医疗器械注册与备案管理办法:国家市场监督管理总局令第47号[Z]</w:t>
      </w:r>
      <w:r>
        <w:rPr>
          <w:rFonts w:hint="eastAsia" w:eastAsia="仿宋_GB2312"/>
          <w:sz w:val="32"/>
          <w:szCs w:val="32"/>
        </w:rPr>
        <w:t>.</w:t>
      </w:r>
    </w:p>
    <w:p w14:paraId="2119D923">
      <w:pPr>
        <w:spacing w:line="520" w:lineRule="exact"/>
        <w:ind w:right="-67" w:rightChars="-32" w:firstLine="640" w:firstLineChars="200"/>
        <w:rPr>
          <w:rFonts w:eastAsia="仿宋_GB2312"/>
          <w:sz w:val="32"/>
          <w:szCs w:val="32"/>
        </w:rPr>
      </w:pPr>
      <w:r>
        <w:rPr>
          <w:rFonts w:hint="eastAsia" w:eastAsia="仿宋_GB2312"/>
          <w:kern w:val="0"/>
          <w:sz w:val="32"/>
          <w:szCs w:val="32"/>
        </w:rPr>
        <w:t>[3]国家药品监督管理局.</w:t>
      </w:r>
      <w:r>
        <w:rPr>
          <w:rFonts w:eastAsia="仿宋_GB2312"/>
          <w:kern w:val="0"/>
          <w:sz w:val="32"/>
          <w:szCs w:val="32"/>
        </w:rPr>
        <w:t>医疗器械注册申报资料要求及说明</w:t>
      </w:r>
      <w:r>
        <w:rPr>
          <w:rFonts w:hint="eastAsia" w:eastAsia="仿宋_GB2312"/>
          <w:kern w:val="0"/>
          <w:sz w:val="32"/>
          <w:szCs w:val="32"/>
        </w:rPr>
        <w:t>:关于公布</w:t>
      </w:r>
      <w:r>
        <w:rPr>
          <w:rFonts w:eastAsia="仿宋_GB2312"/>
          <w:kern w:val="0"/>
          <w:sz w:val="32"/>
          <w:szCs w:val="32"/>
        </w:rPr>
        <w:t>医疗器械注册申报资料要求</w:t>
      </w:r>
      <w:r>
        <w:rPr>
          <w:rFonts w:hint="eastAsia" w:eastAsia="仿宋_GB2312"/>
          <w:kern w:val="0"/>
          <w:sz w:val="32"/>
          <w:szCs w:val="32"/>
        </w:rPr>
        <w:t>和批准证明文件格式公告2021年第121号</w:t>
      </w:r>
      <w:r>
        <w:rPr>
          <w:rFonts w:eastAsia="仿宋_GB2312"/>
          <w:kern w:val="0"/>
          <w:sz w:val="32"/>
          <w:szCs w:val="32"/>
        </w:rPr>
        <w:t>[Z].</w:t>
      </w:r>
    </w:p>
    <w:p w14:paraId="77ABE130">
      <w:pPr>
        <w:spacing w:line="520" w:lineRule="exact"/>
        <w:ind w:right="-67" w:rightChars="-32" w:firstLine="640" w:firstLineChars="200"/>
        <w:rPr>
          <w:rFonts w:eastAsia="仿宋_GB2312"/>
          <w:sz w:val="32"/>
          <w:szCs w:val="32"/>
        </w:rPr>
      </w:pPr>
      <w:r>
        <w:rPr>
          <w:rFonts w:hint="eastAsia" w:eastAsia="仿宋_GB2312"/>
          <w:sz w:val="32"/>
          <w:szCs w:val="32"/>
        </w:rPr>
        <w:t>[4]国家食品药品监督管理总局.医疗器械分类规则:国家食品药品监督管理总局令第15号[Z].</w:t>
      </w:r>
    </w:p>
    <w:p w14:paraId="17EAE799">
      <w:pPr>
        <w:spacing w:line="520" w:lineRule="exact"/>
        <w:ind w:right="-67" w:rightChars="-32" w:firstLine="640" w:firstLineChars="200"/>
        <w:rPr>
          <w:rFonts w:eastAsia="仿宋_GB2312"/>
          <w:sz w:val="32"/>
          <w:szCs w:val="32"/>
        </w:rPr>
      </w:pPr>
      <w:r>
        <w:rPr>
          <w:rFonts w:hint="eastAsia" w:eastAsia="仿宋_GB2312"/>
          <w:sz w:val="32"/>
          <w:szCs w:val="32"/>
        </w:rPr>
        <w:t>[5]</w:t>
      </w:r>
      <w:r>
        <w:rPr>
          <w:rFonts w:eastAsia="仿宋_GB2312"/>
          <w:kern w:val="0"/>
          <w:sz w:val="32"/>
          <w:szCs w:val="32"/>
        </w:rPr>
        <w:t>国家食品药品监督管理局</w:t>
      </w:r>
      <w:r>
        <w:rPr>
          <w:rFonts w:hint="eastAsia" w:eastAsia="仿宋_GB2312"/>
          <w:kern w:val="0"/>
          <w:sz w:val="32"/>
          <w:szCs w:val="32"/>
        </w:rPr>
        <w:t>.</w:t>
      </w:r>
      <w:r>
        <w:rPr>
          <w:rFonts w:eastAsia="仿宋_GB2312"/>
          <w:kern w:val="0"/>
          <w:sz w:val="32"/>
          <w:szCs w:val="32"/>
        </w:rPr>
        <w:t>医疗器械通用名称命名规则</w:t>
      </w:r>
      <w:r>
        <w:rPr>
          <w:rFonts w:hint="eastAsia" w:eastAsia="仿宋_GB2312"/>
          <w:kern w:val="0"/>
          <w:sz w:val="32"/>
          <w:szCs w:val="32"/>
        </w:rPr>
        <w:t>：</w:t>
      </w:r>
      <w:r>
        <w:rPr>
          <w:rFonts w:eastAsia="仿宋_GB2312"/>
          <w:kern w:val="0"/>
          <w:sz w:val="32"/>
          <w:szCs w:val="32"/>
        </w:rPr>
        <w:t>国家食品药品监督管理总局令第19号[Z]</w:t>
      </w:r>
      <w:r>
        <w:rPr>
          <w:rFonts w:hint="eastAsia" w:eastAsia="仿宋_GB2312"/>
          <w:sz w:val="32"/>
          <w:szCs w:val="32"/>
        </w:rPr>
        <w:t>.</w:t>
      </w:r>
    </w:p>
    <w:p w14:paraId="29C3A77C">
      <w:pPr>
        <w:spacing w:line="520" w:lineRule="exact"/>
        <w:ind w:right="-67" w:rightChars="-32" w:firstLine="640" w:firstLineChars="200"/>
        <w:rPr>
          <w:rFonts w:eastAsia="仿宋_GB2312"/>
          <w:sz w:val="32"/>
          <w:szCs w:val="32"/>
        </w:rPr>
      </w:pPr>
      <w:r>
        <w:rPr>
          <w:rFonts w:hint="eastAsia" w:eastAsia="仿宋_GB2312"/>
          <w:sz w:val="32"/>
          <w:szCs w:val="32"/>
        </w:rPr>
        <w:t>[6]</w:t>
      </w:r>
      <w:r>
        <w:rPr>
          <w:rFonts w:eastAsia="仿宋_GB2312"/>
          <w:kern w:val="0"/>
          <w:sz w:val="32"/>
          <w:szCs w:val="32"/>
        </w:rPr>
        <w:t>国家食品药品监督管理局.医疗器械分类目录</w:t>
      </w:r>
      <w:r>
        <w:rPr>
          <w:rFonts w:hint="eastAsia" w:eastAsia="仿宋_GB2312"/>
          <w:kern w:val="0"/>
          <w:sz w:val="32"/>
          <w:szCs w:val="32"/>
        </w:rPr>
        <w:t>:</w:t>
      </w:r>
      <w:r>
        <w:rPr>
          <w:rFonts w:eastAsia="仿宋_GB2312"/>
          <w:kern w:val="0"/>
          <w:sz w:val="32"/>
          <w:szCs w:val="32"/>
        </w:rPr>
        <w:t>国家食品药品监督管理总局</w:t>
      </w:r>
      <w:r>
        <w:rPr>
          <w:rFonts w:hint="eastAsia" w:eastAsia="仿宋_GB2312"/>
          <w:kern w:val="0"/>
          <w:sz w:val="32"/>
          <w:szCs w:val="32"/>
        </w:rPr>
        <w:t>关于发布医疗器械分类目录公告</w:t>
      </w:r>
      <w:r>
        <w:rPr>
          <w:rFonts w:eastAsia="仿宋_GB2312"/>
          <w:kern w:val="0"/>
          <w:sz w:val="32"/>
          <w:szCs w:val="32"/>
        </w:rPr>
        <w:t>2017年第104号[Z]</w:t>
      </w:r>
      <w:r>
        <w:rPr>
          <w:rFonts w:hint="eastAsia" w:eastAsia="仿宋_GB2312"/>
          <w:sz w:val="32"/>
          <w:szCs w:val="32"/>
        </w:rPr>
        <w:t>.</w:t>
      </w:r>
    </w:p>
    <w:p w14:paraId="51FCFDC9">
      <w:pPr>
        <w:spacing w:line="520" w:lineRule="exact"/>
        <w:ind w:right="-67" w:rightChars="-32" w:firstLine="640" w:firstLineChars="200"/>
        <w:rPr>
          <w:rFonts w:eastAsia="仿宋_GB2312"/>
          <w:sz w:val="32"/>
          <w:szCs w:val="32"/>
        </w:rPr>
      </w:pPr>
      <w:r>
        <w:rPr>
          <w:rFonts w:hint="eastAsia" w:eastAsia="仿宋_GB2312"/>
          <w:sz w:val="32"/>
          <w:szCs w:val="32"/>
        </w:rPr>
        <w:t>[7]国家药品监督管理局.临床检验器械通用名称命名指导原则:国家药监局关于发布有源手术器械通用名称命名指导原则等6项指导原则通告2022年第26号[Z].</w:t>
      </w:r>
    </w:p>
    <w:p w14:paraId="71A0FBA2">
      <w:pPr>
        <w:spacing w:line="520" w:lineRule="exact"/>
        <w:ind w:right="-67" w:rightChars="-32" w:firstLine="640" w:firstLineChars="200"/>
        <w:rPr>
          <w:rFonts w:eastAsia="仿宋_GB2312"/>
          <w:sz w:val="32"/>
          <w:szCs w:val="32"/>
        </w:rPr>
      </w:pPr>
      <w:r>
        <w:rPr>
          <w:rFonts w:hint="eastAsia" w:eastAsia="仿宋_GB2312"/>
          <w:sz w:val="32"/>
          <w:szCs w:val="32"/>
        </w:rPr>
        <w:t>[8]</w:t>
      </w:r>
      <w:r>
        <w:rPr>
          <w:rFonts w:eastAsia="仿宋_GB2312"/>
          <w:kern w:val="0"/>
          <w:sz w:val="32"/>
          <w:szCs w:val="32"/>
        </w:rPr>
        <w:t>国家食品药品监督管理局.医疗器械注册单元划分指导原则</w:t>
      </w:r>
      <w:r>
        <w:rPr>
          <w:rFonts w:hint="eastAsia" w:eastAsia="仿宋_GB2312"/>
          <w:kern w:val="0"/>
          <w:sz w:val="32"/>
          <w:szCs w:val="32"/>
        </w:rPr>
        <w:t>:总局关于发布</w:t>
      </w:r>
      <w:r>
        <w:rPr>
          <w:rFonts w:eastAsia="仿宋_GB2312"/>
          <w:kern w:val="0"/>
          <w:sz w:val="32"/>
          <w:szCs w:val="32"/>
        </w:rPr>
        <w:t>医疗器械注册单元划分指导原则</w:t>
      </w:r>
      <w:r>
        <w:rPr>
          <w:rFonts w:hint="eastAsia" w:eastAsia="仿宋_GB2312"/>
          <w:kern w:val="0"/>
          <w:sz w:val="32"/>
          <w:szCs w:val="32"/>
        </w:rPr>
        <w:t>通</w:t>
      </w:r>
      <w:r>
        <w:rPr>
          <w:rFonts w:eastAsia="仿宋_GB2312"/>
          <w:kern w:val="0"/>
          <w:sz w:val="32"/>
          <w:szCs w:val="32"/>
        </w:rPr>
        <w:t>告2017年第187号[Z]</w:t>
      </w:r>
      <w:r>
        <w:rPr>
          <w:rFonts w:hint="eastAsia" w:eastAsia="仿宋_GB2312"/>
          <w:sz w:val="32"/>
          <w:szCs w:val="32"/>
        </w:rPr>
        <w:t>.</w:t>
      </w:r>
    </w:p>
    <w:p w14:paraId="47E25A1B">
      <w:pPr>
        <w:spacing w:line="520" w:lineRule="exact"/>
        <w:ind w:right="-67" w:rightChars="-32" w:firstLine="640" w:firstLineChars="200"/>
        <w:rPr>
          <w:rFonts w:eastAsia="仿宋_GB2312"/>
          <w:sz w:val="32"/>
          <w:szCs w:val="32"/>
        </w:rPr>
      </w:pPr>
      <w:r>
        <w:rPr>
          <w:rFonts w:hint="eastAsia" w:eastAsia="仿宋_GB2312"/>
          <w:sz w:val="32"/>
          <w:szCs w:val="32"/>
        </w:rPr>
        <w:t>[9]</w:t>
      </w:r>
      <w:r>
        <w:rPr>
          <w:rFonts w:hint="eastAsia" w:eastAsia="仿宋_GB2312"/>
          <w:kern w:val="0"/>
          <w:sz w:val="32"/>
          <w:szCs w:val="32"/>
        </w:rPr>
        <w:t>国家食品药品监督管理局.医疗器械说明书和标签管理规定:国家食品药品监督管理总局令第6号[Z]</w:t>
      </w:r>
      <w:r>
        <w:rPr>
          <w:rFonts w:hint="eastAsia" w:eastAsia="仿宋_GB2312"/>
          <w:sz w:val="32"/>
          <w:szCs w:val="32"/>
        </w:rPr>
        <w:t>.</w:t>
      </w:r>
    </w:p>
    <w:p w14:paraId="51A79925">
      <w:pPr>
        <w:spacing w:line="52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10</w:t>
      </w:r>
      <w:r>
        <w:rPr>
          <w:rFonts w:eastAsia="仿宋_GB2312"/>
          <w:sz w:val="32"/>
          <w:szCs w:val="32"/>
        </w:rPr>
        <w:t>]国家药品监督管理局.医疗器械注册自检管理规定（国家药品监督管理局公告2021年第126号）[Z].</w:t>
      </w:r>
    </w:p>
    <w:p w14:paraId="25AB0A64">
      <w:pPr>
        <w:spacing w:line="520" w:lineRule="exact"/>
        <w:ind w:right="-67" w:rightChars="-32" w:firstLine="640" w:firstLineChars="200"/>
        <w:rPr>
          <w:rFonts w:eastAsia="仿宋_GB2312"/>
          <w:sz w:val="32"/>
          <w:szCs w:val="32"/>
        </w:rPr>
      </w:pPr>
      <w:r>
        <w:rPr>
          <w:rFonts w:hint="eastAsia" w:eastAsia="仿宋_GB2312"/>
          <w:sz w:val="32"/>
          <w:szCs w:val="32"/>
        </w:rPr>
        <w:t>[11]国家药品监督管理局.有源医疗器械使用期限注册技术审查指导原则:国家药监局关于发布有源医疗器械使用期限注册技术审查指导原则通告2019年第23号[Z].</w:t>
      </w:r>
    </w:p>
    <w:p w14:paraId="2DBA7206">
      <w:pPr>
        <w:spacing w:line="520" w:lineRule="exact"/>
        <w:ind w:right="-67" w:rightChars="-32" w:firstLine="640" w:firstLineChars="200"/>
        <w:rPr>
          <w:rFonts w:eastAsia="仿宋_GB2312"/>
          <w:kern w:val="0"/>
          <w:sz w:val="32"/>
          <w:szCs w:val="32"/>
        </w:rPr>
      </w:pPr>
      <w:r>
        <w:rPr>
          <w:rFonts w:hint="eastAsia" w:eastAsia="仿宋_GB2312"/>
          <w:sz w:val="32"/>
          <w:szCs w:val="32"/>
        </w:rPr>
        <w:t>[12]</w:t>
      </w:r>
      <w:r>
        <w:rPr>
          <w:rFonts w:hint="eastAsia" w:eastAsia="仿宋_GB2312"/>
          <w:kern w:val="0"/>
          <w:sz w:val="32"/>
          <w:szCs w:val="32"/>
        </w:rPr>
        <w:t>国家药品监督管理局医疗器械审评中心.医疗器械软件注册审查指导原则（2022年修订版）:国家药监局器审中心通告2022年第9号[Z].</w:t>
      </w:r>
    </w:p>
    <w:p w14:paraId="64B525E5">
      <w:pPr>
        <w:spacing w:line="520" w:lineRule="exact"/>
        <w:ind w:right="-67" w:rightChars="-32" w:firstLine="640" w:firstLineChars="200"/>
        <w:rPr>
          <w:rFonts w:eastAsia="仿宋_GB2312"/>
          <w:kern w:val="0"/>
          <w:sz w:val="32"/>
          <w:szCs w:val="32"/>
        </w:rPr>
      </w:pPr>
      <w:r>
        <w:rPr>
          <w:rFonts w:hint="eastAsia" w:eastAsia="仿宋_GB2312"/>
          <w:sz w:val="32"/>
          <w:szCs w:val="32"/>
        </w:rPr>
        <w:t>[13]</w:t>
      </w:r>
      <w:r>
        <w:rPr>
          <w:rFonts w:hint="eastAsia" w:eastAsia="仿宋_GB2312"/>
          <w:kern w:val="0"/>
          <w:sz w:val="32"/>
          <w:szCs w:val="32"/>
        </w:rPr>
        <w:t>国家药品监督管理局医疗器械审评中心</w:t>
      </w:r>
      <w:r>
        <w:rPr>
          <w:rFonts w:eastAsia="仿宋_GB2312"/>
          <w:sz w:val="32"/>
          <w:szCs w:val="32"/>
        </w:rPr>
        <w:t>.医疗器械网络安全注册审查指导原则（2022年修订版）</w:t>
      </w:r>
      <w:r>
        <w:rPr>
          <w:rFonts w:hint="eastAsia" w:eastAsia="仿宋_GB2312"/>
          <w:sz w:val="32"/>
          <w:szCs w:val="32"/>
        </w:rPr>
        <w:t>:</w:t>
      </w:r>
      <w:r>
        <w:rPr>
          <w:rFonts w:hint="eastAsia" w:eastAsia="仿宋_GB2312"/>
          <w:kern w:val="0"/>
          <w:sz w:val="32"/>
          <w:szCs w:val="32"/>
        </w:rPr>
        <w:t>国家药监局器审中心通告2022年第7号</w:t>
      </w:r>
      <w:r>
        <w:rPr>
          <w:rFonts w:eastAsia="仿宋_GB2312"/>
          <w:sz w:val="32"/>
          <w:szCs w:val="32"/>
        </w:rPr>
        <w:t>[Z].</w:t>
      </w:r>
    </w:p>
    <w:p w14:paraId="147BBA9B">
      <w:pPr>
        <w:spacing w:line="520" w:lineRule="exact"/>
        <w:ind w:right="-67" w:rightChars="-32" w:firstLine="640" w:firstLineChars="200"/>
        <w:rPr>
          <w:rFonts w:eastAsia="仿宋_GB2312"/>
          <w:kern w:val="0"/>
          <w:sz w:val="32"/>
          <w:szCs w:val="32"/>
        </w:rPr>
      </w:pPr>
      <w:r>
        <w:rPr>
          <w:rFonts w:eastAsia="仿宋_GB2312"/>
          <w:sz w:val="32"/>
          <w:szCs w:val="32"/>
        </w:rPr>
        <w:t>[1</w:t>
      </w:r>
      <w:r>
        <w:rPr>
          <w:rFonts w:hint="eastAsia" w:eastAsia="仿宋_GB2312"/>
          <w:sz w:val="32"/>
          <w:szCs w:val="32"/>
        </w:rPr>
        <w:t>4</w:t>
      </w:r>
      <w:r>
        <w:rPr>
          <w:rFonts w:eastAsia="仿宋_GB2312"/>
          <w:sz w:val="32"/>
          <w:szCs w:val="32"/>
        </w:rPr>
        <w:t>]</w:t>
      </w:r>
      <w:r>
        <w:rPr>
          <w:rFonts w:hint="eastAsia" w:eastAsia="仿宋_GB2312"/>
          <w:kern w:val="0"/>
          <w:sz w:val="32"/>
          <w:szCs w:val="32"/>
        </w:rPr>
        <w:t>国家药品监督管理局.免于进行临床评价医疗器械目录：国家药监局关于发布免于临床评价医疗器械目录通告2025年第19号[Z].</w:t>
      </w:r>
    </w:p>
    <w:p w14:paraId="69B27BD0">
      <w:pPr>
        <w:spacing w:line="520" w:lineRule="exact"/>
        <w:ind w:right="-67" w:rightChars="-32" w:firstLine="640" w:firstLineChars="200"/>
        <w:rPr>
          <w:rFonts w:eastAsia="仿宋_GB2312"/>
          <w:kern w:val="0"/>
          <w:sz w:val="32"/>
          <w:szCs w:val="32"/>
        </w:rPr>
      </w:pPr>
      <w:r>
        <w:rPr>
          <w:rFonts w:hint="eastAsia" w:eastAsia="仿宋_GB2312"/>
          <w:kern w:val="0"/>
          <w:sz w:val="32"/>
          <w:szCs w:val="32"/>
        </w:rPr>
        <w:t>[15]国家药品监督管理局.列入免于临床评价医疗器械目录产品对比说明技术指导原则:国家药监局关于发布医疗器械临床评价技术指导原则等5项技术指导原则通告2021年第73号[Z].</w:t>
      </w:r>
    </w:p>
    <w:p w14:paraId="7F44BA8B">
      <w:pPr>
        <w:spacing w:line="520" w:lineRule="exact"/>
        <w:ind w:right="-67" w:rightChars="-32" w:firstLine="640" w:firstLineChars="200"/>
        <w:rPr>
          <w:rFonts w:eastAsia="仿宋_GB2312"/>
          <w:sz w:val="32"/>
          <w:szCs w:val="28"/>
        </w:rPr>
      </w:pPr>
      <w:r>
        <w:rPr>
          <w:rFonts w:hint="eastAsia" w:eastAsia="仿宋_GB2312"/>
          <w:sz w:val="32"/>
          <w:szCs w:val="32"/>
        </w:rPr>
        <w:t>[16]</w:t>
      </w:r>
      <w:r>
        <w:rPr>
          <w:rFonts w:hint="eastAsia" w:eastAsia="仿宋_GB2312"/>
          <w:kern w:val="0"/>
          <w:sz w:val="32"/>
          <w:szCs w:val="32"/>
        </w:rPr>
        <w:t>国家药品监督管理局.</w:t>
      </w:r>
      <w:r>
        <w:rPr>
          <w:rFonts w:hint="eastAsia" w:eastAsia="仿宋_GB2312"/>
          <w:sz w:val="32"/>
          <w:szCs w:val="28"/>
        </w:rPr>
        <w:t>医疗器械临床评价指导原则</w:t>
      </w:r>
      <w:r>
        <w:rPr>
          <w:rFonts w:hint="eastAsia" w:eastAsia="仿宋_GB2312"/>
          <w:kern w:val="0"/>
          <w:sz w:val="32"/>
          <w:szCs w:val="32"/>
        </w:rPr>
        <w:t>:国家药监局关于发布医疗器械临床评价技术指导原则等5项技术指导原则通告2021年第73号[Z]</w:t>
      </w:r>
      <w:r>
        <w:rPr>
          <w:rFonts w:hint="eastAsia" w:eastAsia="仿宋_GB2312"/>
          <w:sz w:val="32"/>
          <w:szCs w:val="28"/>
        </w:rPr>
        <w:t>.</w:t>
      </w:r>
    </w:p>
    <w:p w14:paraId="0AB55A7D">
      <w:pPr>
        <w:spacing w:line="520" w:lineRule="exact"/>
        <w:ind w:right="-67" w:rightChars="-32" w:firstLine="640" w:firstLineChars="200"/>
        <w:rPr>
          <w:rFonts w:eastAsia="仿宋_GB2312"/>
          <w:sz w:val="32"/>
          <w:szCs w:val="32"/>
        </w:rPr>
      </w:pPr>
      <w:r>
        <w:rPr>
          <w:rFonts w:hint="eastAsia" w:eastAsia="仿宋_GB2312"/>
          <w:sz w:val="32"/>
          <w:szCs w:val="32"/>
        </w:rPr>
        <w:t>[17] GB/T 42062-2022,医疗器械 风险管理对医疗器械的应用[</w:t>
      </w:r>
      <w:r>
        <w:rPr>
          <w:rFonts w:eastAsia="仿宋_GB2312"/>
          <w:sz w:val="32"/>
          <w:szCs w:val="32"/>
        </w:rPr>
        <w:t>S].</w:t>
      </w:r>
    </w:p>
    <w:p w14:paraId="6A5D27C7">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18</w:t>
      </w:r>
      <w:r>
        <w:rPr>
          <w:rFonts w:eastAsia="仿宋_GB2312"/>
          <w:sz w:val="32"/>
          <w:szCs w:val="28"/>
        </w:rPr>
        <w:t>]GB 4793.1</w:t>
      </w:r>
      <w:r>
        <w:rPr>
          <w:rFonts w:hint="eastAsia" w:eastAsia="仿宋_GB2312"/>
          <w:sz w:val="32"/>
          <w:szCs w:val="28"/>
        </w:rPr>
        <w:t>-2007</w:t>
      </w:r>
      <w:r>
        <w:rPr>
          <w:rFonts w:eastAsia="仿宋_GB2312"/>
          <w:sz w:val="32"/>
          <w:szCs w:val="28"/>
        </w:rPr>
        <w:t>,测量、控制和实验室用电气设备的安全要求 第1部分：通用要求[S].</w:t>
      </w:r>
    </w:p>
    <w:p w14:paraId="12CBEA3E">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19</w:t>
      </w:r>
      <w:r>
        <w:rPr>
          <w:rFonts w:eastAsia="仿宋_GB2312"/>
          <w:sz w:val="32"/>
          <w:szCs w:val="28"/>
        </w:rPr>
        <w:t>]GB 4793.6</w:t>
      </w:r>
      <w:r>
        <w:rPr>
          <w:rFonts w:hint="eastAsia" w:eastAsia="仿宋_GB2312"/>
          <w:sz w:val="32"/>
          <w:szCs w:val="28"/>
        </w:rPr>
        <w:t>-2008</w:t>
      </w:r>
      <w:r>
        <w:rPr>
          <w:rFonts w:eastAsia="仿宋_GB2312"/>
          <w:sz w:val="32"/>
          <w:szCs w:val="28"/>
        </w:rPr>
        <w:t>,测量、控制和实验室用电气设备的安全要求 第6部分：实验室用材料加热设备的特殊要求[S].</w:t>
      </w:r>
    </w:p>
    <w:p w14:paraId="33E6040C">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20</w:t>
      </w:r>
      <w:r>
        <w:rPr>
          <w:rFonts w:eastAsia="仿宋_GB2312"/>
          <w:sz w:val="32"/>
          <w:szCs w:val="28"/>
        </w:rPr>
        <w:t>]GB/T 14710</w:t>
      </w:r>
      <w:r>
        <w:rPr>
          <w:rFonts w:hint="eastAsia" w:eastAsia="仿宋_GB2312"/>
          <w:sz w:val="32"/>
          <w:szCs w:val="28"/>
        </w:rPr>
        <w:t>-2009</w:t>
      </w:r>
      <w:r>
        <w:rPr>
          <w:rFonts w:eastAsia="仿宋_GB2312"/>
          <w:sz w:val="32"/>
          <w:szCs w:val="28"/>
        </w:rPr>
        <w:t>,医用电器环境要求及试验方法[S].</w:t>
      </w:r>
    </w:p>
    <w:p w14:paraId="49476401">
      <w:pPr>
        <w:pStyle w:val="6"/>
        <w:ind w:firstLine="640" w:firstLineChars="200"/>
        <w:rPr>
          <w:rFonts w:eastAsia="仿宋_GB2312"/>
          <w:sz w:val="32"/>
          <w:szCs w:val="28"/>
        </w:rPr>
      </w:pPr>
      <w:r>
        <w:rPr>
          <w:rFonts w:eastAsia="仿宋_GB2312"/>
          <w:sz w:val="32"/>
          <w:szCs w:val="28"/>
        </w:rPr>
        <w:t>[</w:t>
      </w:r>
      <w:r>
        <w:rPr>
          <w:rFonts w:hint="eastAsia" w:eastAsia="仿宋_GB2312"/>
          <w:sz w:val="32"/>
          <w:szCs w:val="28"/>
        </w:rPr>
        <w:t>21</w:t>
      </w:r>
      <w:r>
        <w:rPr>
          <w:rFonts w:eastAsia="仿宋_GB2312"/>
          <w:sz w:val="32"/>
          <w:szCs w:val="28"/>
        </w:rPr>
        <w:t>]</w:t>
      </w:r>
      <w:r>
        <w:rPr>
          <w:rFonts w:hint="eastAsia" w:ascii="Times New Roman" w:hAnsi="Times New Roman" w:eastAsia="仿宋_GB2312" w:cs="Times New Roman"/>
          <w:kern w:val="2"/>
          <w:sz w:val="32"/>
          <w:szCs w:val="28"/>
          <w:lang w:val="en-US" w:eastAsia="zh-CN" w:bidi="ar-SA"/>
        </w:rPr>
        <w:t>GB/T 18268.1-2025《测量、控制和实验室用的电设备 电磁兼容性要求 第1部分：通用要求》[S]</w:t>
      </w:r>
    </w:p>
    <w:p w14:paraId="2644E2F9">
      <w:pPr>
        <w:spacing w:line="520" w:lineRule="exact"/>
        <w:ind w:right="-67" w:rightChars="-32" w:firstLine="640" w:firstLineChars="200"/>
        <w:rPr>
          <w:rFonts w:eastAsia="仿宋_GB2312"/>
          <w:sz w:val="32"/>
          <w:szCs w:val="28"/>
        </w:rPr>
      </w:pPr>
      <w:r>
        <w:rPr>
          <w:rFonts w:eastAsia="仿宋_GB2312"/>
          <w:sz w:val="32"/>
          <w:szCs w:val="28"/>
        </w:rPr>
        <w:t>[</w:t>
      </w:r>
      <w:r>
        <w:rPr>
          <w:rFonts w:hint="eastAsia" w:eastAsia="仿宋_GB2312"/>
          <w:sz w:val="32"/>
          <w:szCs w:val="28"/>
        </w:rPr>
        <w:t>22</w:t>
      </w:r>
      <w:r>
        <w:rPr>
          <w:rFonts w:eastAsia="仿宋_GB2312"/>
          <w:sz w:val="32"/>
          <w:szCs w:val="28"/>
        </w:rPr>
        <w:t>]GB/T 18268.26</w:t>
      </w:r>
      <w:r>
        <w:rPr>
          <w:rFonts w:hint="eastAsia" w:eastAsia="仿宋_GB2312"/>
          <w:sz w:val="32"/>
          <w:szCs w:val="28"/>
        </w:rPr>
        <w:t>-2010</w:t>
      </w:r>
      <w:r>
        <w:rPr>
          <w:rFonts w:eastAsia="仿宋_GB2312"/>
          <w:sz w:val="32"/>
          <w:szCs w:val="28"/>
        </w:rPr>
        <w:t>,测量、控制和实验室用的电设备 电磁兼容性要求 第26部分：特殊要求 体外诊断（IVD）医疗设备[S].</w:t>
      </w:r>
    </w:p>
    <w:p w14:paraId="3BC4268D">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23</w:t>
      </w:r>
      <w:r>
        <w:rPr>
          <w:rFonts w:eastAsia="仿宋_GB2312"/>
          <w:sz w:val="32"/>
          <w:szCs w:val="28"/>
        </w:rPr>
        <w:t>]GB/T 29791.1</w:t>
      </w:r>
      <w:r>
        <w:rPr>
          <w:rFonts w:hint="eastAsia" w:eastAsia="仿宋_GB2312"/>
          <w:sz w:val="32"/>
          <w:szCs w:val="28"/>
        </w:rPr>
        <w:t>-2013</w:t>
      </w:r>
      <w:r>
        <w:rPr>
          <w:rFonts w:eastAsia="仿宋_GB2312"/>
          <w:sz w:val="32"/>
          <w:szCs w:val="28"/>
        </w:rPr>
        <w:t>,体外诊断医疗器械 制造商提供的信息 第1部分：术语、定义和通用要求[S].</w:t>
      </w:r>
    </w:p>
    <w:p w14:paraId="6F07BC9F">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24</w:t>
      </w:r>
      <w:r>
        <w:rPr>
          <w:rFonts w:eastAsia="仿宋_GB2312"/>
          <w:sz w:val="32"/>
          <w:szCs w:val="28"/>
        </w:rPr>
        <w:t>]GB/T 29791.3</w:t>
      </w:r>
      <w:r>
        <w:rPr>
          <w:rFonts w:hint="eastAsia" w:eastAsia="仿宋_GB2312"/>
          <w:sz w:val="32"/>
          <w:szCs w:val="28"/>
        </w:rPr>
        <w:t>-2013</w:t>
      </w:r>
      <w:r>
        <w:rPr>
          <w:rFonts w:eastAsia="仿宋_GB2312"/>
          <w:sz w:val="32"/>
          <w:szCs w:val="28"/>
        </w:rPr>
        <w:t>,体外诊断医疗器械 制造商提供的信息（标示）第3部分：专业用体外诊断仪器[S].</w:t>
      </w:r>
    </w:p>
    <w:p w14:paraId="16DC11F5">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25</w:t>
      </w:r>
      <w:r>
        <w:rPr>
          <w:rFonts w:eastAsia="仿宋_GB2312"/>
          <w:sz w:val="32"/>
          <w:szCs w:val="28"/>
        </w:rPr>
        <w:t>]</w:t>
      </w:r>
      <w:r>
        <w:rPr>
          <w:rFonts w:hint="eastAsia" w:eastAsia="仿宋_GB2312"/>
          <w:sz w:val="32"/>
          <w:szCs w:val="28"/>
        </w:rPr>
        <w:t>GB</w:t>
      </w:r>
      <w:r>
        <w:rPr>
          <w:rFonts w:eastAsia="仿宋_GB2312"/>
          <w:sz w:val="32"/>
          <w:szCs w:val="28"/>
        </w:rPr>
        <w:t>/</w:t>
      </w:r>
      <w:r>
        <w:rPr>
          <w:rFonts w:hint="eastAsia" w:eastAsia="仿宋_GB2312"/>
          <w:sz w:val="32"/>
          <w:szCs w:val="28"/>
        </w:rPr>
        <w:t>T 25000.51-2016系统与软件工程 系统与软件质量要求和评价 第51部分：就绪可用软件产品的质量要求和测试细节</w:t>
      </w:r>
      <w:r>
        <w:rPr>
          <w:rFonts w:eastAsia="仿宋_GB2312"/>
          <w:sz w:val="32"/>
          <w:szCs w:val="28"/>
        </w:rPr>
        <w:t>[S].</w:t>
      </w:r>
    </w:p>
    <w:p w14:paraId="13A99097">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26</w:t>
      </w:r>
      <w:r>
        <w:rPr>
          <w:rFonts w:eastAsia="仿宋_GB2312"/>
          <w:sz w:val="32"/>
          <w:szCs w:val="28"/>
        </w:rPr>
        <w:t>]</w:t>
      </w:r>
      <w:r>
        <w:rPr>
          <w:rFonts w:hint="eastAsia" w:eastAsia="仿宋_GB2312"/>
          <w:sz w:val="32"/>
          <w:szCs w:val="28"/>
        </w:rPr>
        <w:t>GB</w:t>
      </w:r>
      <w:r>
        <w:rPr>
          <w:rFonts w:eastAsia="仿宋_GB2312"/>
          <w:sz w:val="32"/>
          <w:szCs w:val="28"/>
        </w:rPr>
        <w:t>/</w:t>
      </w:r>
      <w:r>
        <w:rPr>
          <w:rFonts w:hint="eastAsia" w:eastAsia="仿宋_GB2312"/>
          <w:sz w:val="32"/>
          <w:szCs w:val="28"/>
        </w:rPr>
        <w:t>T 22576.3-2021 医学实验室 质量和能力的要求 第3部分：尿液检验领域的要求</w:t>
      </w:r>
      <w:r>
        <w:rPr>
          <w:rFonts w:eastAsia="仿宋_GB2312"/>
          <w:sz w:val="32"/>
          <w:szCs w:val="28"/>
        </w:rPr>
        <w:t>[S].</w:t>
      </w:r>
    </w:p>
    <w:p w14:paraId="6B1CA740">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27</w:t>
      </w:r>
      <w:r>
        <w:rPr>
          <w:rFonts w:eastAsia="仿宋_GB2312"/>
          <w:sz w:val="32"/>
          <w:szCs w:val="28"/>
        </w:rPr>
        <w:t>]YY</w:t>
      </w:r>
      <w:r>
        <w:rPr>
          <w:rFonts w:hint="eastAsia" w:eastAsia="仿宋_GB2312"/>
          <w:sz w:val="32"/>
          <w:szCs w:val="28"/>
          <w:lang w:val="en-US" w:eastAsia="zh-CN"/>
        </w:rPr>
        <w:t>/T</w:t>
      </w:r>
      <w:r>
        <w:rPr>
          <w:rFonts w:eastAsia="仿宋_GB2312"/>
          <w:sz w:val="32"/>
          <w:szCs w:val="28"/>
        </w:rPr>
        <w:t xml:space="preserve"> 0648</w:t>
      </w:r>
      <w:r>
        <w:rPr>
          <w:rFonts w:hint="eastAsia" w:eastAsia="仿宋_GB2312"/>
          <w:sz w:val="32"/>
          <w:szCs w:val="28"/>
        </w:rPr>
        <w:t>-20</w:t>
      </w:r>
      <w:r>
        <w:rPr>
          <w:rFonts w:hint="eastAsia" w:eastAsia="仿宋_GB2312"/>
          <w:sz w:val="32"/>
          <w:szCs w:val="28"/>
          <w:lang w:val="en-US" w:eastAsia="zh-CN"/>
        </w:rPr>
        <w:t>25</w:t>
      </w:r>
      <w:r>
        <w:rPr>
          <w:rFonts w:eastAsia="仿宋_GB2312"/>
          <w:sz w:val="32"/>
          <w:szCs w:val="28"/>
        </w:rPr>
        <w:t>,测量、控制和实验室用电气设备的安全要求 第2-101部分：体外诊断（IVD）医用设备的专用要求[S].</w:t>
      </w:r>
    </w:p>
    <w:p w14:paraId="45493D82">
      <w:pPr>
        <w:spacing w:line="520" w:lineRule="exact"/>
        <w:ind w:firstLine="640" w:firstLineChars="200"/>
        <w:rPr>
          <w:rFonts w:eastAsia="仿宋_GB2312"/>
          <w:sz w:val="32"/>
          <w:szCs w:val="32"/>
        </w:rPr>
      </w:pPr>
      <w:r>
        <w:rPr>
          <w:rFonts w:hint="eastAsia" w:eastAsia="仿宋_GB2312"/>
          <w:sz w:val="32"/>
          <w:szCs w:val="32"/>
        </w:rPr>
        <w:t>[28]YY/T 0996-2015,尿液有形成分分析仪（数字成像自动识别）[S].</w:t>
      </w:r>
    </w:p>
    <w:p w14:paraId="25C9766D">
      <w:pPr>
        <w:spacing w:line="520" w:lineRule="exact"/>
        <w:ind w:firstLine="640" w:firstLineChars="200"/>
        <w:rPr>
          <w:rFonts w:eastAsia="仿宋_GB2312"/>
          <w:color w:val="FF0000"/>
          <w:sz w:val="32"/>
          <w:szCs w:val="32"/>
        </w:rPr>
      </w:pPr>
      <w:r>
        <w:rPr>
          <w:rFonts w:eastAsia="仿宋_GB2312"/>
          <w:sz w:val="32"/>
          <w:szCs w:val="28"/>
        </w:rPr>
        <w:t>[</w:t>
      </w:r>
      <w:r>
        <w:rPr>
          <w:rFonts w:hint="eastAsia" w:eastAsia="仿宋_GB2312"/>
          <w:sz w:val="32"/>
          <w:szCs w:val="28"/>
        </w:rPr>
        <w:t>29</w:t>
      </w:r>
      <w:r>
        <w:rPr>
          <w:rFonts w:eastAsia="仿宋_GB2312"/>
          <w:sz w:val="32"/>
          <w:szCs w:val="28"/>
        </w:rPr>
        <w:t>]</w:t>
      </w:r>
      <w:r>
        <w:rPr>
          <w:rFonts w:eastAsia="仿宋_GB2312"/>
          <w:sz w:val="32"/>
          <w:szCs w:val="32"/>
        </w:rPr>
        <w:t>YY/T 0475</w:t>
      </w:r>
      <w:r>
        <w:rPr>
          <w:rFonts w:hint="eastAsia" w:eastAsia="仿宋_GB2312"/>
          <w:sz w:val="32"/>
          <w:szCs w:val="32"/>
        </w:rPr>
        <w:t>-2011,</w:t>
      </w:r>
      <w:r>
        <w:rPr>
          <w:rFonts w:eastAsia="仿宋_GB2312"/>
          <w:sz w:val="32"/>
          <w:szCs w:val="32"/>
        </w:rPr>
        <w:t>干化学尿液分析仪</w:t>
      </w:r>
      <w:r>
        <w:rPr>
          <w:rFonts w:eastAsia="仿宋_GB2312"/>
          <w:sz w:val="32"/>
          <w:szCs w:val="28"/>
        </w:rPr>
        <w:t>[S]</w:t>
      </w:r>
      <w:r>
        <w:rPr>
          <w:rFonts w:hint="eastAsia" w:eastAsia="仿宋_GB2312"/>
          <w:sz w:val="32"/>
          <w:szCs w:val="28"/>
        </w:rPr>
        <w:t>.</w:t>
      </w:r>
    </w:p>
    <w:p w14:paraId="3CD0F10A">
      <w:pPr>
        <w:spacing w:line="520"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30</w:t>
      </w:r>
      <w:r>
        <w:rPr>
          <w:rFonts w:eastAsia="仿宋_GB2312"/>
          <w:sz w:val="32"/>
          <w:szCs w:val="32"/>
        </w:rPr>
        <w:t>]</w:t>
      </w:r>
      <w:r>
        <w:rPr>
          <w:rFonts w:hint="eastAsia" w:eastAsia="仿宋_GB2312"/>
          <w:sz w:val="32"/>
          <w:szCs w:val="32"/>
        </w:rPr>
        <w:t>YY/T 0466.1-2023,医疗器械 用于制造商提供信息的符号 第1部分：通用要求[S].</w:t>
      </w:r>
    </w:p>
    <w:p w14:paraId="36BBE460">
      <w:pPr>
        <w:spacing w:line="520" w:lineRule="exact"/>
        <w:ind w:firstLine="640" w:firstLineChars="200"/>
        <w:rPr>
          <w:rFonts w:eastAsia="仿宋_GB2312"/>
          <w:sz w:val="32"/>
          <w:szCs w:val="28"/>
        </w:rPr>
      </w:pPr>
      <w:r>
        <w:rPr>
          <w:rFonts w:eastAsia="仿宋_GB2312"/>
          <w:sz w:val="32"/>
          <w:szCs w:val="28"/>
        </w:rPr>
        <w:t>[</w:t>
      </w:r>
      <w:r>
        <w:rPr>
          <w:rFonts w:hint="eastAsia" w:eastAsia="仿宋_GB2312"/>
          <w:sz w:val="32"/>
          <w:szCs w:val="28"/>
        </w:rPr>
        <w:t>31]</w:t>
      </w:r>
      <w:r>
        <w:rPr>
          <w:rFonts w:eastAsia="仿宋_GB2312"/>
          <w:sz w:val="32"/>
          <w:szCs w:val="28"/>
        </w:rPr>
        <w:t>YY/T 0664</w:t>
      </w:r>
      <w:r>
        <w:rPr>
          <w:rFonts w:hint="eastAsia" w:eastAsia="仿宋_GB2312"/>
          <w:sz w:val="32"/>
          <w:szCs w:val="28"/>
        </w:rPr>
        <w:t>-2020</w:t>
      </w:r>
      <w:r>
        <w:rPr>
          <w:rFonts w:eastAsia="仿宋_GB2312"/>
          <w:sz w:val="32"/>
          <w:szCs w:val="28"/>
        </w:rPr>
        <w:t>,医疗器械软件 软件生存周期过程[S].</w:t>
      </w:r>
    </w:p>
    <w:p w14:paraId="61350540">
      <w:pPr>
        <w:spacing w:line="520" w:lineRule="exact"/>
        <w:ind w:firstLine="640" w:firstLineChars="200"/>
        <w:rPr>
          <w:rFonts w:hAnsi="宋体" w:eastAsia="仿宋_GB2312" w:cs="宋体"/>
          <w:kern w:val="0"/>
          <w:sz w:val="32"/>
          <w:szCs w:val="32"/>
        </w:rPr>
      </w:pPr>
      <w:r>
        <w:rPr>
          <w:rFonts w:eastAsia="仿宋_GB2312"/>
          <w:sz w:val="32"/>
          <w:szCs w:val="32"/>
        </w:rPr>
        <w:t>[</w:t>
      </w:r>
      <w:r>
        <w:rPr>
          <w:rFonts w:hint="eastAsia" w:eastAsia="仿宋_GB2312"/>
          <w:sz w:val="32"/>
          <w:szCs w:val="32"/>
        </w:rPr>
        <w:t>32</w:t>
      </w:r>
      <w:r>
        <w:rPr>
          <w:rFonts w:eastAsia="仿宋_GB2312"/>
          <w:sz w:val="32"/>
          <w:szCs w:val="32"/>
        </w:rPr>
        <w:t>]</w:t>
      </w:r>
      <w:r>
        <w:rPr>
          <w:rFonts w:hint="eastAsia" w:hAnsi="宋体" w:eastAsia="仿宋_GB2312" w:cs="宋体"/>
          <w:kern w:val="0"/>
          <w:sz w:val="32"/>
          <w:szCs w:val="32"/>
        </w:rPr>
        <w:t>YY</w:t>
      </w:r>
      <w:r>
        <w:rPr>
          <w:rFonts w:hint="eastAsia" w:eastAsia="仿宋_GB2312"/>
          <w:sz w:val="32"/>
          <w:szCs w:val="32"/>
        </w:rPr>
        <w:t>/</w:t>
      </w:r>
      <w:r>
        <w:rPr>
          <w:rFonts w:hint="eastAsia" w:hAnsi="宋体" w:eastAsia="仿宋_GB2312" w:cs="宋体"/>
          <w:kern w:val="0"/>
          <w:sz w:val="32"/>
          <w:szCs w:val="32"/>
        </w:rPr>
        <w:t>T 1437-2023医疗器械 GB/T 42062应用指南</w:t>
      </w:r>
      <w:r>
        <w:rPr>
          <w:rFonts w:eastAsia="仿宋_GB2312"/>
          <w:sz w:val="32"/>
          <w:szCs w:val="28"/>
        </w:rPr>
        <w:t>[S].</w:t>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1" w:fontKey="{3D8F8A22-AD68-424B-86C5-E0265B7E4706}"/>
  </w:font>
  <w:font w:name="方正小标宋简体">
    <w:panose1 w:val="03000509000000000000"/>
    <w:charset w:val="86"/>
    <w:family w:val="script"/>
    <w:pitch w:val="default"/>
    <w:sig w:usb0="00000001" w:usb1="080E0000" w:usb2="00000000" w:usb3="00000000" w:csb0="00040000" w:csb1="00000000"/>
    <w:embedRegular r:id="rId2" w:fontKey="{236672BB-BEEC-4229-91BB-B14B4D5E31C7}"/>
  </w:font>
  <w:font w:name="仿宋_GB2312">
    <w:panose1 w:val="02010609030101010101"/>
    <w:charset w:val="86"/>
    <w:family w:val="modern"/>
    <w:pitch w:val="default"/>
    <w:sig w:usb0="00000001" w:usb1="080E0000" w:usb2="00000000" w:usb3="00000000" w:csb0="00040000" w:csb1="00000000"/>
    <w:embedRegular r:id="rId3" w:fontKey="{7E53E707-8866-474B-9414-744A1EF7FF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5697689"/>
    </w:sdtPr>
    <w:sdtContent>
      <w:p w14:paraId="29E65CFD">
        <w:pPr>
          <w:pStyle w:val="9"/>
          <w:jc w:val="center"/>
        </w:pPr>
        <w:r>
          <w:fldChar w:fldCharType="begin"/>
        </w:r>
        <w:r>
          <w:instrText xml:space="preserve">PAGE   \* MERGEFORMAT</w:instrText>
        </w:r>
        <w:r>
          <w:fldChar w:fldCharType="separate"/>
        </w:r>
        <w:r>
          <w:rPr>
            <w:lang w:val="zh-CN"/>
          </w:rPr>
          <w:t>12</w:t>
        </w:r>
        <w:r>
          <w:fldChar w:fldCharType="end"/>
        </w:r>
      </w:p>
    </w:sdtContent>
  </w:sdt>
  <w:p w14:paraId="058A2C4E">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804A3D"/>
    <w:multiLevelType w:val="multilevel"/>
    <w:tmpl w:val="22804A3D"/>
    <w:lvl w:ilvl="0" w:tentative="0">
      <w:start w:val="1"/>
      <w:numFmt w:val="decimal"/>
      <w:lvlText w:val="[%1]"/>
      <w:lvlJc w:val="left"/>
      <w:pPr>
        <w:ind w:left="13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4004E72C"/>
    <w:multiLevelType w:val="singleLevel"/>
    <w:tmpl w:val="4004E72C"/>
    <w:lvl w:ilvl="0" w:tentative="0">
      <w:start w:val="4"/>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lNjhlMTY2N2U4MGI3MWM3OTQ5ZDYwOWE4MTYyNWMifQ=="/>
  </w:docVars>
  <w:rsids>
    <w:rsidRoot w:val="5D5D7927"/>
    <w:rsid w:val="00003558"/>
    <w:rsid w:val="00012C37"/>
    <w:rsid w:val="00014596"/>
    <w:rsid w:val="0001626A"/>
    <w:rsid w:val="000171B6"/>
    <w:rsid w:val="00020CEE"/>
    <w:rsid w:val="00020E52"/>
    <w:rsid w:val="00021B2D"/>
    <w:rsid w:val="00022285"/>
    <w:rsid w:val="00022DD6"/>
    <w:rsid w:val="00022E1A"/>
    <w:rsid w:val="00025230"/>
    <w:rsid w:val="000255D9"/>
    <w:rsid w:val="00025D14"/>
    <w:rsid w:val="00027A02"/>
    <w:rsid w:val="00027B02"/>
    <w:rsid w:val="00030B90"/>
    <w:rsid w:val="00046C54"/>
    <w:rsid w:val="000522F9"/>
    <w:rsid w:val="000528BB"/>
    <w:rsid w:val="0005780A"/>
    <w:rsid w:val="00062FE0"/>
    <w:rsid w:val="000630FE"/>
    <w:rsid w:val="000638C6"/>
    <w:rsid w:val="00064148"/>
    <w:rsid w:val="000654CB"/>
    <w:rsid w:val="000671D5"/>
    <w:rsid w:val="00073B78"/>
    <w:rsid w:val="00083748"/>
    <w:rsid w:val="00095D2D"/>
    <w:rsid w:val="000A02EC"/>
    <w:rsid w:val="000A084A"/>
    <w:rsid w:val="000A09BD"/>
    <w:rsid w:val="000A5754"/>
    <w:rsid w:val="000A5E1F"/>
    <w:rsid w:val="000B196D"/>
    <w:rsid w:val="000B24F6"/>
    <w:rsid w:val="000B2FBC"/>
    <w:rsid w:val="000B4036"/>
    <w:rsid w:val="000B71B7"/>
    <w:rsid w:val="000B77D8"/>
    <w:rsid w:val="000C36EA"/>
    <w:rsid w:val="000C3FBF"/>
    <w:rsid w:val="000C647E"/>
    <w:rsid w:val="000C7C42"/>
    <w:rsid w:val="000D0DE0"/>
    <w:rsid w:val="000D4929"/>
    <w:rsid w:val="000D6A76"/>
    <w:rsid w:val="000D6E89"/>
    <w:rsid w:val="000D6FBC"/>
    <w:rsid w:val="000E319C"/>
    <w:rsid w:val="000E73A4"/>
    <w:rsid w:val="000F68C5"/>
    <w:rsid w:val="001030C3"/>
    <w:rsid w:val="00106529"/>
    <w:rsid w:val="00115960"/>
    <w:rsid w:val="0011664E"/>
    <w:rsid w:val="001216E1"/>
    <w:rsid w:val="00121BD8"/>
    <w:rsid w:val="00122E0A"/>
    <w:rsid w:val="0012631B"/>
    <w:rsid w:val="00134757"/>
    <w:rsid w:val="00136DF4"/>
    <w:rsid w:val="00136E97"/>
    <w:rsid w:val="001400E9"/>
    <w:rsid w:val="001430B5"/>
    <w:rsid w:val="0015167B"/>
    <w:rsid w:val="0015337C"/>
    <w:rsid w:val="001545E1"/>
    <w:rsid w:val="00154C65"/>
    <w:rsid w:val="00154D36"/>
    <w:rsid w:val="001563C8"/>
    <w:rsid w:val="00160A1F"/>
    <w:rsid w:val="001615D3"/>
    <w:rsid w:val="00162360"/>
    <w:rsid w:val="001629BE"/>
    <w:rsid w:val="001645BA"/>
    <w:rsid w:val="00166F0D"/>
    <w:rsid w:val="0017097E"/>
    <w:rsid w:val="00172ABC"/>
    <w:rsid w:val="00173FA7"/>
    <w:rsid w:val="00177FFE"/>
    <w:rsid w:val="001827EE"/>
    <w:rsid w:val="00183DE3"/>
    <w:rsid w:val="00184189"/>
    <w:rsid w:val="00184507"/>
    <w:rsid w:val="001875CB"/>
    <w:rsid w:val="00190239"/>
    <w:rsid w:val="00190DBF"/>
    <w:rsid w:val="00192EB2"/>
    <w:rsid w:val="0019323D"/>
    <w:rsid w:val="00197C80"/>
    <w:rsid w:val="001A1EBA"/>
    <w:rsid w:val="001A4461"/>
    <w:rsid w:val="001A5EDF"/>
    <w:rsid w:val="001A7F77"/>
    <w:rsid w:val="001B1AA6"/>
    <w:rsid w:val="001B3A87"/>
    <w:rsid w:val="001B3BFD"/>
    <w:rsid w:val="001B4737"/>
    <w:rsid w:val="001B6BC0"/>
    <w:rsid w:val="001B6EE0"/>
    <w:rsid w:val="001C16F7"/>
    <w:rsid w:val="001C1CE4"/>
    <w:rsid w:val="001C2A06"/>
    <w:rsid w:val="001C2FD2"/>
    <w:rsid w:val="001C3D82"/>
    <w:rsid w:val="001C4C9A"/>
    <w:rsid w:val="001C6BC8"/>
    <w:rsid w:val="001D01DF"/>
    <w:rsid w:val="001D0F8C"/>
    <w:rsid w:val="001D1895"/>
    <w:rsid w:val="001D47BA"/>
    <w:rsid w:val="001E11CC"/>
    <w:rsid w:val="001E4E9C"/>
    <w:rsid w:val="001E5BB7"/>
    <w:rsid w:val="001E603B"/>
    <w:rsid w:val="001E60D4"/>
    <w:rsid w:val="001F2496"/>
    <w:rsid w:val="001F5EE3"/>
    <w:rsid w:val="001F6976"/>
    <w:rsid w:val="00210D0D"/>
    <w:rsid w:val="002115F4"/>
    <w:rsid w:val="00211D16"/>
    <w:rsid w:val="00212097"/>
    <w:rsid w:val="00212379"/>
    <w:rsid w:val="00213217"/>
    <w:rsid w:val="00215488"/>
    <w:rsid w:val="00215C3D"/>
    <w:rsid w:val="0022737E"/>
    <w:rsid w:val="00230802"/>
    <w:rsid w:val="00232067"/>
    <w:rsid w:val="00232AE4"/>
    <w:rsid w:val="00236828"/>
    <w:rsid w:val="002448D9"/>
    <w:rsid w:val="002455A4"/>
    <w:rsid w:val="002458BC"/>
    <w:rsid w:val="00246D49"/>
    <w:rsid w:val="00246F0A"/>
    <w:rsid w:val="00247FE4"/>
    <w:rsid w:val="00252054"/>
    <w:rsid w:val="002534E2"/>
    <w:rsid w:val="00254C3D"/>
    <w:rsid w:val="00255E7A"/>
    <w:rsid w:val="0025621D"/>
    <w:rsid w:val="0025776F"/>
    <w:rsid w:val="00260893"/>
    <w:rsid w:val="00262201"/>
    <w:rsid w:val="00265F68"/>
    <w:rsid w:val="00265F89"/>
    <w:rsid w:val="002669BC"/>
    <w:rsid w:val="00266D08"/>
    <w:rsid w:val="0026704F"/>
    <w:rsid w:val="0028082A"/>
    <w:rsid w:val="00280EAD"/>
    <w:rsid w:val="002903E5"/>
    <w:rsid w:val="002906CB"/>
    <w:rsid w:val="00290C5A"/>
    <w:rsid w:val="002916B4"/>
    <w:rsid w:val="002918A8"/>
    <w:rsid w:val="002934EC"/>
    <w:rsid w:val="0029639B"/>
    <w:rsid w:val="002965B6"/>
    <w:rsid w:val="00296B5D"/>
    <w:rsid w:val="00297C70"/>
    <w:rsid w:val="002A027F"/>
    <w:rsid w:val="002A02A0"/>
    <w:rsid w:val="002A09C0"/>
    <w:rsid w:val="002A0CF3"/>
    <w:rsid w:val="002A563D"/>
    <w:rsid w:val="002A60F1"/>
    <w:rsid w:val="002B1149"/>
    <w:rsid w:val="002B2394"/>
    <w:rsid w:val="002B257D"/>
    <w:rsid w:val="002B346E"/>
    <w:rsid w:val="002B347B"/>
    <w:rsid w:val="002B6A37"/>
    <w:rsid w:val="002B705B"/>
    <w:rsid w:val="002B7782"/>
    <w:rsid w:val="002B7C0E"/>
    <w:rsid w:val="002C18C1"/>
    <w:rsid w:val="002C1CAE"/>
    <w:rsid w:val="002C3B29"/>
    <w:rsid w:val="002C4922"/>
    <w:rsid w:val="002C50BA"/>
    <w:rsid w:val="002C5AE5"/>
    <w:rsid w:val="002C6317"/>
    <w:rsid w:val="002C653D"/>
    <w:rsid w:val="002D04EF"/>
    <w:rsid w:val="002D1EC6"/>
    <w:rsid w:val="002D2D07"/>
    <w:rsid w:val="002D2E7A"/>
    <w:rsid w:val="002D4D89"/>
    <w:rsid w:val="002D619F"/>
    <w:rsid w:val="002D61BC"/>
    <w:rsid w:val="002E09A4"/>
    <w:rsid w:val="002E3BF4"/>
    <w:rsid w:val="002E50B1"/>
    <w:rsid w:val="002E5E9A"/>
    <w:rsid w:val="002E7F3B"/>
    <w:rsid w:val="002F605A"/>
    <w:rsid w:val="002F7248"/>
    <w:rsid w:val="002F78E4"/>
    <w:rsid w:val="003016FD"/>
    <w:rsid w:val="0030291E"/>
    <w:rsid w:val="003120C8"/>
    <w:rsid w:val="00313396"/>
    <w:rsid w:val="00313868"/>
    <w:rsid w:val="00314283"/>
    <w:rsid w:val="00316825"/>
    <w:rsid w:val="00320149"/>
    <w:rsid w:val="00321351"/>
    <w:rsid w:val="00322ECA"/>
    <w:rsid w:val="00322EF0"/>
    <w:rsid w:val="00323393"/>
    <w:rsid w:val="003239D7"/>
    <w:rsid w:val="0033009A"/>
    <w:rsid w:val="003308D9"/>
    <w:rsid w:val="0033342D"/>
    <w:rsid w:val="00336ADF"/>
    <w:rsid w:val="003374EE"/>
    <w:rsid w:val="00340102"/>
    <w:rsid w:val="00342A07"/>
    <w:rsid w:val="0034329E"/>
    <w:rsid w:val="003446E0"/>
    <w:rsid w:val="00344A89"/>
    <w:rsid w:val="0034744A"/>
    <w:rsid w:val="003522DA"/>
    <w:rsid w:val="00352AF1"/>
    <w:rsid w:val="003544C7"/>
    <w:rsid w:val="00354928"/>
    <w:rsid w:val="00354974"/>
    <w:rsid w:val="003550EF"/>
    <w:rsid w:val="00360A54"/>
    <w:rsid w:val="00360FD4"/>
    <w:rsid w:val="00361712"/>
    <w:rsid w:val="00367430"/>
    <w:rsid w:val="00377333"/>
    <w:rsid w:val="00384E96"/>
    <w:rsid w:val="003871CC"/>
    <w:rsid w:val="00390C2E"/>
    <w:rsid w:val="00393623"/>
    <w:rsid w:val="003942F0"/>
    <w:rsid w:val="0039453D"/>
    <w:rsid w:val="0039461C"/>
    <w:rsid w:val="00394AFB"/>
    <w:rsid w:val="00394FFF"/>
    <w:rsid w:val="00396957"/>
    <w:rsid w:val="00397D24"/>
    <w:rsid w:val="003A0ECE"/>
    <w:rsid w:val="003A24FC"/>
    <w:rsid w:val="003A33C8"/>
    <w:rsid w:val="003A3BDC"/>
    <w:rsid w:val="003A5571"/>
    <w:rsid w:val="003A55F7"/>
    <w:rsid w:val="003A59AC"/>
    <w:rsid w:val="003B0025"/>
    <w:rsid w:val="003B19BD"/>
    <w:rsid w:val="003B53BB"/>
    <w:rsid w:val="003C3781"/>
    <w:rsid w:val="003C4A2B"/>
    <w:rsid w:val="003C4B78"/>
    <w:rsid w:val="003C6F14"/>
    <w:rsid w:val="003D0E8F"/>
    <w:rsid w:val="003D1FA5"/>
    <w:rsid w:val="003D3B76"/>
    <w:rsid w:val="003D526D"/>
    <w:rsid w:val="003D68C9"/>
    <w:rsid w:val="003D7BA0"/>
    <w:rsid w:val="003D7D36"/>
    <w:rsid w:val="003F20E7"/>
    <w:rsid w:val="003F245C"/>
    <w:rsid w:val="003F24EA"/>
    <w:rsid w:val="003F5121"/>
    <w:rsid w:val="003F6252"/>
    <w:rsid w:val="003F7150"/>
    <w:rsid w:val="004016E8"/>
    <w:rsid w:val="0040228D"/>
    <w:rsid w:val="00402A07"/>
    <w:rsid w:val="00411E30"/>
    <w:rsid w:val="004131EA"/>
    <w:rsid w:val="00413230"/>
    <w:rsid w:val="0041633A"/>
    <w:rsid w:val="00417A04"/>
    <w:rsid w:val="004205DD"/>
    <w:rsid w:val="0042476F"/>
    <w:rsid w:val="00424C1B"/>
    <w:rsid w:val="0043063B"/>
    <w:rsid w:val="00430FCB"/>
    <w:rsid w:val="004316F4"/>
    <w:rsid w:val="00432413"/>
    <w:rsid w:val="0043395A"/>
    <w:rsid w:val="00434309"/>
    <w:rsid w:val="0043566A"/>
    <w:rsid w:val="0043576C"/>
    <w:rsid w:val="00437F04"/>
    <w:rsid w:val="00441860"/>
    <w:rsid w:val="0044332B"/>
    <w:rsid w:val="00443E6F"/>
    <w:rsid w:val="004516F8"/>
    <w:rsid w:val="00452609"/>
    <w:rsid w:val="00452D0A"/>
    <w:rsid w:val="004536FA"/>
    <w:rsid w:val="0045381C"/>
    <w:rsid w:val="00455FF5"/>
    <w:rsid w:val="00456D78"/>
    <w:rsid w:val="00463677"/>
    <w:rsid w:val="00463E0E"/>
    <w:rsid w:val="00463FB6"/>
    <w:rsid w:val="004664E1"/>
    <w:rsid w:val="004702CA"/>
    <w:rsid w:val="00474881"/>
    <w:rsid w:val="0047584B"/>
    <w:rsid w:val="00476CDD"/>
    <w:rsid w:val="004776F1"/>
    <w:rsid w:val="00483195"/>
    <w:rsid w:val="004861BF"/>
    <w:rsid w:val="00486ED9"/>
    <w:rsid w:val="00486FD2"/>
    <w:rsid w:val="0049211E"/>
    <w:rsid w:val="0049285A"/>
    <w:rsid w:val="00496476"/>
    <w:rsid w:val="004A167D"/>
    <w:rsid w:val="004A1CE0"/>
    <w:rsid w:val="004A1F3A"/>
    <w:rsid w:val="004A5A04"/>
    <w:rsid w:val="004A5ACE"/>
    <w:rsid w:val="004B4B1B"/>
    <w:rsid w:val="004C17A7"/>
    <w:rsid w:val="004C2520"/>
    <w:rsid w:val="004C3F7C"/>
    <w:rsid w:val="004C678A"/>
    <w:rsid w:val="004D656F"/>
    <w:rsid w:val="004D7614"/>
    <w:rsid w:val="004D76E6"/>
    <w:rsid w:val="004D7B73"/>
    <w:rsid w:val="004E2383"/>
    <w:rsid w:val="004E3CD3"/>
    <w:rsid w:val="004E4AF8"/>
    <w:rsid w:val="004E5D6B"/>
    <w:rsid w:val="004E75BF"/>
    <w:rsid w:val="004E7C40"/>
    <w:rsid w:val="004F0144"/>
    <w:rsid w:val="004F0AFB"/>
    <w:rsid w:val="004F15DA"/>
    <w:rsid w:val="004F1E7F"/>
    <w:rsid w:val="004F2C35"/>
    <w:rsid w:val="004F4D33"/>
    <w:rsid w:val="00500052"/>
    <w:rsid w:val="00500C9D"/>
    <w:rsid w:val="00502855"/>
    <w:rsid w:val="00502CE9"/>
    <w:rsid w:val="00503B29"/>
    <w:rsid w:val="00511094"/>
    <w:rsid w:val="0051313A"/>
    <w:rsid w:val="0051753E"/>
    <w:rsid w:val="00517CB8"/>
    <w:rsid w:val="00520C9B"/>
    <w:rsid w:val="00523456"/>
    <w:rsid w:val="00524394"/>
    <w:rsid w:val="00525337"/>
    <w:rsid w:val="005276C8"/>
    <w:rsid w:val="00533D78"/>
    <w:rsid w:val="00534862"/>
    <w:rsid w:val="00534A51"/>
    <w:rsid w:val="005352AA"/>
    <w:rsid w:val="005354B1"/>
    <w:rsid w:val="00536E40"/>
    <w:rsid w:val="00540AF9"/>
    <w:rsid w:val="00540F51"/>
    <w:rsid w:val="00543A82"/>
    <w:rsid w:val="00543E03"/>
    <w:rsid w:val="00547935"/>
    <w:rsid w:val="00552F9F"/>
    <w:rsid w:val="005558CA"/>
    <w:rsid w:val="00562237"/>
    <w:rsid w:val="00562D6E"/>
    <w:rsid w:val="00565C21"/>
    <w:rsid w:val="005718BE"/>
    <w:rsid w:val="00574B70"/>
    <w:rsid w:val="005764A5"/>
    <w:rsid w:val="0058150E"/>
    <w:rsid w:val="005828BF"/>
    <w:rsid w:val="0058308C"/>
    <w:rsid w:val="00584A78"/>
    <w:rsid w:val="0058637C"/>
    <w:rsid w:val="00587257"/>
    <w:rsid w:val="0059122F"/>
    <w:rsid w:val="005949D7"/>
    <w:rsid w:val="00594D21"/>
    <w:rsid w:val="005A03A0"/>
    <w:rsid w:val="005A6434"/>
    <w:rsid w:val="005B182C"/>
    <w:rsid w:val="005B3352"/>
    <w:rsid w:val="005B351C"/>
    <w:rsid w:val="005C09CC"/>
    <w:rsid w:val="005C25DF"/>
    <w:rsid w:val="005D06AE"/>
    <w:rsid w:val="005D1881"/>
    <w:rsid w:val="005E0D5C"/>
    <w:rsid w:val="005E5266"/>
    <w:rsid w:val="005F286C"/>
    <w:rsid w:val="005F32AB"/>
    <w:rsid w:val="005F3B19"/>
    <w:rsid w:val="005F42F0"/>
    <w:rsid w:val="005F522A"/>
    <w:rsid w:val="006002D4"/>
    <w:rsid w:val="006003CF"/>
    <w:rsid w:val="0060085B"/>
    <w:rsid w:val="006010AA"/>
    <w:rsid w:val="00601267"/>
    <w:rsid w:val="00601CAE"/>
    <w:rsid w:val="00607464"/>
    <w:rsid w:val="00610232"/>
    <w:rsid w:val="00610276"/>
    <w:rsid w:val="006108FF"/>
    <w:rsid w:val="00610A9D"/>
    <w:rsid w:val="0061320D"/>
    <w:rsid w:val="006155AF"/>
    <w:rsid w:val="00616A42"/>
    <w:rsid w:val="006213EC"/>
    <w:rsid w:val="006223D4"/>
    <w:rsid w:val="00622EFD"/>
    <w:rsid w:val="0062545C"/>
    <w:rsid w:val="0062566D"/>
    <w:rsid w:val="00626C19"/>
    <w:rsid w:val="00626D7F"/>
    <w:rsid w:val="00640BB4"/>
    <w:rsid w:val="00641CD2"/>
    <w:rsid w:val="0064649E"/>
    <w:rsid w:val="00647F60"/>
    <w:rsid w:val="006503F7"/>
    <w:rsid w:val="0065218E"/>
    <w:rsid w:val="006529C8"/>
    <w:rsid w:val="0065301C"/>
    <w:rsid w:val="0065591C"/>
    <w:rsid w:val="00655E0F"/>
    <w:rsid w:val="0066018E"/>
    <w:rsid w:val="00660209"/>
    <w:rsid w:val="0066221A"/>
    <w:rsid w:val="00663C86"/>
    <w:rsid w:val="00671788"/>
    <w:rsid w:val="00672703"/>
    <w:rsid w:val="0067342B"/>
    <w:rsid w:val="00673766"/>
    <w:rsid w:val="00675F9A"/>
    <w:rsid w:val="006776D1"/>
    <w:rsid w:val="00690C2D"/>
    <w:rsid w:val="00691164"/>
    <w:rsid w:val="00692209"/>
    <w:rsid w:val="0069265D"/>
    <w:rsid w:val="00692C08"/>
    <w:rsid w:val="00693BD1"/>
    <w:rsid w:val="00693F15"/>
    <w:rsid w:val="0069437E"/>
    <w:rsid w:val="0069477B"/>
    <w:rsid w:val="006969DF"/>
    <w:rsid w:val="0069744B"/>
    <w:rsid w:val="006A06BB"/>
    <w:rsid w:val="006A1AB1"/>
    <w:rsid w:val="006A24D4"/>
    <w:rsid w:val="006A311B"/>
    <w:rsid w:val="006A5D43"/>
    <w:rsid w:val="006A73D1"/>
    <w:rsid w:val="006A7614"/>
    <w:rsid w:val="006B0350"/>
    <w:rsid w:val="006B1D3B"/>
    <w:rsid w:val="006B646D"/>
    <w:rsid w:val="006C55A5"/>
    <w:rsid w:val="006C5C6E"/>
    <w:rsid w:val="006D0412"/>
    <w:rsid w:val="006D12E7"/>
    <w:rsid w:val="006D2214"/>
    <w:rsid w:val="006D307B"/>
    <w:rsid w:val="006D69E9"/>
    <w:rsid w:val="006E1320"/>
    <w:rsid w:val="006E201B"/>
    <w:rsid w:val="006E36F4"/>
    <w:rsid w:val="006E3A3B"/>
    <w:rsid w:val="006E487E"/>
    <w:rsid w:val="006F051E"/>
    <w:rsid w:val="006F32B6"/>
    <w:rsid w:val="006F3C96"/>
    <w:rsid w:val="007006E1"/>
    <w:rsid w:val="0070169E"/>
    <w:rsid w:val="00701C4E"/>
    <w:rsid w:val="00702B19"/>
    <w:rsid w:val="0070325F"/>
    <w:rsid w:val="00704A28"/>
    <w:rsid w:val="00705B69"/>
    <w:rsid w:val="00705CCD"/>
    <w:rsid w:val="007064E4"/>
    <w:rsid w:val="00706EEB"/>
    <w:rsid w:val="00712F3E"/>
    <w:rsid w:val="00713200"/>
    <w:rsid w:val="00715C4E"/>
    <w:rsid w:val="00717B0C"/>
    <w:rsid w:val="00720171"/>
    <w:rsid w:val="00721D82"/>
    <w:rsid w:val="00724EC9"/>
    <w:rsid w:val="00726050"/>
    <w:rsid w:val="00726CEC"/>
    <w:rsid w:val="00727910"/>
    <w:rsid w:val="00733BC4"/>
    <w:rsid w:val="00734631"/>
    <w:rsid w:val="00737CA9"/>
    <w:rsid w:val="00741CCF"/>
    <w:rsid w:val="00743438"/>
    <w:rsid w:val="00745051"/>
    <w:rsid w:val="00747859"/>
    <w:rsid w:val="00753132"/>
    <w:rsid w:val="0075450E"/>
    <w:rsid w:val="00756DCF"/>
    <w:rsid w:val="00760AAB"/>
    <w:rsid w:val="00763A01"/>
    <w:rsid w:val="00766B3A"/>
    <w:rsid w:val="00767888"/>
    <w:rsid w:val="00770838"/>
    <w:rsid w:val="00772CBB"/>
    <w:rsid w:val="0077470F"/>
    <w:rsid w:val="0078016A"/>
    <w:rsid w:val="0078045B"/>
    <w:rsid w:val="007807B2"/>
    <w:rsid w:val="007815DE"/>
    <w:rsid w:val="00787D7A"/>
    <w:rsid w:val="00791BDD"/>
    <w:rsid w:val="007923D5"/>
    <w:rsid w:val="0079524C"/>
    <w:rsid w:val="007A224B"/>
    <w:rsid w:val="007A4557"/>
    <w:rsid w:val="007B02AE"/>
    <w:rsid w:val="007B0A50"/>
    <w:rsid w:val="007B1DB8"/>
    <w:rsid w:val="007B3A3F"/>
    <w:rsid w:val="007B58A5"/>
    <w:rsid w:val="007C0A68"/>
    <w:rsid w:val="007C30C1"/>
    <w:rsid w:val="007C3C35"/>
    <w:rsid w:val="007C460C"/>
    <w:rsid w:val="007C6311"/>
    <w:rsid w:val="007D3B01"/>
    <w:rsid w:val="007D4054"/>
    <w:rsid w:val="007D5543"/>
    <w:rsid w:val="007D56EE"/>
    <w:rsid w:val="007D5DAB"/>
    <w:rsid w:val="007D6393"/>
    <w:rsid w:val="007E0A6F"/>
    <w:rsid w:val="007E0D38"/>
    <w:rsid w:val="007E101C"/>
    <w:rsid w:val="007E2ACC"/>
    <w:rsid w:val="007F0296"/>
    <w:rsid w:val="007F2A2B"/>
    <w:rsid w:val="007F2C6E"/>
    <w:rsid w:val="007F48E3"/>
    <w:rsid w:val="00803B20"/>
    <w:rsid w:val="008067E6"/>
    <w:rsid w:val="00806C0B"/>
    <w:rsid w:val="00806F23"/>
    <w:rsid w:val="00807D5A"/>
    <w:rsid w:val="00810674"/>
    <w:rsid w:val="008116EA"/>
    <w:rsid w:val="00811E78"/>
    <w:rsid w:val="0081239D"/>
    <w:rsid w:val="00812DA5"/>
    <w:rsid w:val="00813DB5"/>
    <w:rsid w:val="0081484E"/>
    <w:rsid w:val="00816169"/>
    <w:rsid w:val="00817809"/>
    <w:rsid w:val="00817BAD"/>
    <w:rsid w:val="00825B34"/>
    <w:rsid w:val="00826F42"/>
    <w:rsid w:val="0083024F"/>
    <w:rsid w:val="008314AC"/>
    <w:rsid w:val="008363FC"/>
    <w:rsid w:val="00840F0F"/>
    <w:rsid w:val="0085090C"/>
    <w:rsid w:val="00851841"/>
    <w:rsid w:val="008541D9"/>
    <w:rsid w:val="008553F2"/>
    <w:rsid w:val="00856E69"/>
    <w:rsid w:val="008605E9"/>
    <w:rsid w:val="00860719"/>
    <w:rsid w:val="008623FA"/>
    <w:rsid w:val="0086284A"/>
    <w:rsid w:val="00862A8E"/>
    <w:rsid w:val="00863B14"/>
    <w:rsid w:val="00864E87"/>
    <w:rsid w:val="0086749A"/>
    <w:rsid w:val="008676F0"/>
    <w:rsid w:val="0087157C"/>
    <w:rsid w:val="0087158F"/>
    <w:rsid w:val="0087483C"/>
    <w:rsid w:val="008756A2"/>
    <w:rsid w:val="0088677A"/>
    <w:rsid w:val="00886A92"/>
    <w:rsid w:val="00896C13"/>
    <w:rsid w:val="0089772F"/>
    <w:rsid w:val="008A3A8D"/>
    <w:rsid w:val="008A7E48"/>
    <w:rsid w:val="008B0751"/>
    <w:rsid w:val="008B42BC"/>
    <w:rsid w:val="008B4940"/>
    <w:rsid w:val="008C4861"/>
    <w:rsid w:val="008C5150"/>
    <w:rsid w:val="008C61F7"/>
    <w:rsid w:val="008D136D"/>
    <w:rsid w:val="008D2BE5"/>
    <w:rsid w:val="008D31D9"/>
    <w:rsid w:val="008D33AB"/>
    <w:rsid w:val="008D6B79"/>
    <w:rsid w:val="008E0E02"/>
    <w:rsid w:val="008E43F0"/>
    <w:rsid w:val="008E661E"/>
    <w:rsid w:val="008F1C31"/>
    <w:rsid w:val="008F264C"/>
    <w:rsid w:val="008F2866"/>
    <w:rsid w:val="008F35B2"/>
    <w:rsid w:val="008F50DE"/>
    <w:rsid w:val="008F5659"/>
    <w:rsid w:val="008F5DC8"/>
    <w:rsid w:val="0090179F"/>
    <w:rsid w:val="00901BE4"/>
    <w:rsid w:val="00906A9B"/>
    <w:rsid w:val="00906BFC"/>
    <w:rsid w:val="00913D0F"/>
    <w:rsid w:val="0092099A"/>
    <w:rsid w:val="009219ED"/>
    <w:rsid w:val="00927643"/>
    <w:rsid w:val="00930811"/>
    <w:rsid w:val="00932EB8"/>
    <w:rsid w:val="009330C1"/>
    <w:rsid w:val="0093766E"/>
    <w:rsid w:val="00942B37"/>
    <w:rsid w:val="00946145"/>
    <w:rsid w:val="009513BD"/>
    <w:rsid w:val="009517F1"/>
    <w:rsid w:val="00952B48"/>
    <w:rsid w:val="0096047B"/>
    <w:rsid w:val="00962443"/>
    <w:rsid w:val="00965926"/>
    <w:rsid w:val="00967584"/>
    <w:rsid w:val="00967C63"/>
    <w:rsid w:val="00973904"/>
    <w:rsid w:val="00974405"/>
    <w:rsid w:val="00974E8D"/>
    <w:rsid w:val="0097673B"/>
    <w:rsid w:val="00976DCC"/>
    <w:rsid w:val="00983040"/>
    <w:rsid w:val="00983451"/>
    <w:rsid w:val="009852D1"/>
    <w:rsid w:val="00991167"/>
    <w:rsid w:val="009924F5"/>
    <w:rsid w:val="00992AFB"/>
    <w:rsid w:val="00993887"/>
    <w:rsid w:val="0099447A"/>
    <w:rsid w:val="00994800"/>
    <w:rsid w:val="00994DA1"/>
    <w:rsid w:val="009A18A7"/>
    <w:rsid w:val="009A4FB4"/>
    <w:rsid w:val="009B0455"/>
    <w:rsid w:val="009B15CD"/>
    <w:rsid w:val="009B1F3A"/>
    <w:rsid w:val="009B1F8A"/>
    <w:rsid w:val="009B69EC"/>
    <w:rsid w:val="009C0E9F"/>
    <w:rsid w:val="009C1283"/>
    <w:rsid w:val="009C1B76"/>
    <w:rsid w:val="009C58EB"/>
    <w:rsid w:val="009C6E1A"/>
    <w:rsid w:val="009D1A28"/>
    <w:rsid w:val="009D6D64"/>
    <w:rsid w:val="009D794B"/>
    <w:rsid w:val="009D7964"/>
    <w:rsid w:val="009E0429"/>
    <w:rsid w:val="009E36C2"/>
    <w:rsid w:val="009E50DD"/>
    <w:rsid w:val="009E6890"/>
    <w:rsid w:val="009E775A"/>
    <w:rsid w:val="009E7AE4"/>
    <w:rsid w:val="009F03FA"/>
    <w:rsid w:val="009F096F"/>
    <w:rsid w:val="009F300F"/>
    <w:rsid w:val="009F4693"/>
    <w:rsid w:val="00A010CD"/>
    <w:rsid w:val="00A01A94"/>
    <w:rsid w:val="00A03B28"/>
    <w:rsid w:val="00A111C6"/>
    <w:rsid w:val="00A12714"/>
    <w:rsid w:val="00A13274"/>
    <w:rsid w:val="00A17046"/>
    <w:rsid w:val="00A17B55"/>
    <w:rsid w:val="00A17C75"/>
    <w:rsid w:val="00A201BC"/>
    <w:rsid w:val="00A210C1"/>
    <w:rsid w:val="00A23D36"/>
    <w:rsid w:val="00A23FEC"/>
    <w:rsid w:val="00A31E72"/>
    <w:rsid w:val="00A332DB"/>
    <w:rsid w:val="00A3356C"/>
    <w:rsid w:val="00A37199"/>
    <w:rsid w:val="00A37BA3"/>
    <w:rsid w:val="00A42524"/>
    <w:rsid w:val="00A43F60"/>
    <w:rsid w:val="00A45BC8"/>
    <w:rsid w:val="00A469E4"/>
    <w:rsid w:val="00A47D95"/>
    <w:rsid w:val="00A530BD"/>
    <w:rsid w:val="00A5312B"/>
    <w:rsid w:val="00A53935"/>
    <w:rsid w:val="00A57B93"/>
    <w:rsid w:val="00A62B9C"/>
    <w:rsid w:val="00A63580"/>
    <w:rsid w:val="00A6467E"/>
    <w:rsid w:val="00A65315"/>
    <w:rsid w:val="00A653A3"/>
    <w:rsid w:val="00A65830"/>
    <w:rsid w:val="00A6649D"/>
    <w:rsid w:val="00A706C4"/>
    <w:rsid w:val="00A71559"/>
    <w:rsid w:val="00A7281F"/>
    <w:rsid w:val="00A75481"/>
    <w:rsid w:val="00A82F67"/>
    <w:rsid w:val="00A849E6"/>
    <w:rsid w:val="00A862F9"/>
    <w:rsid w:val="00A8788C"/>
    <w:rsid w:val="00A90B26"/>
    <w:rsid w:val="00A95F02"/>
    <w:rsid w:val="00A97A3D"/>
    <w:rsid w:val="00AA2D90"/>
    <w:rsid w:val="00AA2E32"/>
    <w:rsid w:val="00AA36F0"/>
    <w:rsid w:val="00AA4C22"/>
    <w:rsid w:val="00AA5979"/>
    <w:rsid w:val="00AA6514"/>
    <w:rsid w:val="00AB0CCE"/>
    <w:rsid w:val="00AB3245"/>
    <w:rsid w:val="00AC1656"/>
    <w:rsid w:val="00AC31F9"/>
    <w:rsid w:val="00AC492B"/>
    <w:rsid w:val="00AC75AF"/>
    <w:rsid w:val="00AD10FE"/>
    <w:rsid w:val="00AD2BAB"/>
    <w:rsid w:val="00AD4162"/>
    <w:rsid w:val="00AD595F"/>
    <w:rsid w:val="00AE4738"/>
    <w:rsid w:val="00AE476B"/>
    <w:rsid w:val="00AE4D5B"/>
    <w:rsid w:val="00AE7758"/>
    <w:rsid w:val="00AF00C6"/>
    <w:rsid w:val="00AF0D43"/>
    <w:rsid w:val="00AF24F2"/>
    <w:rsid w:val="00AF4EED"/>
    <w:rsid w:val="00B01D54"/>
    <w:rsid w:val="00B052D5"/>
    <w:rsid w:val="00B05465"/>
    <w:rsid w:val="00B06668"/>
    <w:rsid w:val="00B11C57"/>
    <w:rsid w:val="00B1519E"/>
    <w:rsid w:val="00B17C15"/>
    <w:rsid w:val="00B237CA"/>
    <w:rsid w:val="00B2454A"/>
    <w:rsid w:val="00B24C29"/>
    <w:rsid w:val="00B25174"/>
    <w:rsid w:val="00B2701B"/>
    <w:rsid w:val="00B30B15"/>
    <w:rsid w:val="00B3341B"/>
    <w:rsid w:val="00B34874"/>
    <w:rsid w:val="00B34F0B"/>
    <w:rsid w:val="00B35C6A"/>
    <w:rsid w:val="00B362D4"/>
    <w:rsid w:val="00B40FB2"/>
    <w:rsid w:val="00B414E5"/>
    <w:rsid w:val="00B4208D"/>
    <w:rsid w:val="00B44A5A"/>
    <w:rsid w:val="00B4627E"/>
    <w:rsid w:val="00B47F3B"/>
    <w:rsid w:val="00B60895"/>
    <w:rsid w:val="00B651B4"/>
    <w:rsid w:val="00B65C06"/>
    <w:rsid w:val="00B7054C"/>
    <w:rsid w:val="00B730DC"/>
    <w:rsid w:val="00B74E4C"/>
    <w:rsid w:val="00B74ED7"/>
    <w:rsid w:val="00B775CE"/>
    <w:rsid w:val="00B805C9"/>
    <w:rsid w:val="00B827FC"/>
    <w:rsid w:val="00B8439E"/>
    <w:rsid w:val="00B85E54"/>
    <w:rsid w:val="00B862C5"/>
    <w:rsid w:val="00B86A12"/>
    <w:rsid w:val="00B86FFC"/>
    <w:rsid w:val="00B914BC"/>
    <w:rsid w:val="00B91E75"/>
    <w:rsid w:val="00B94072"/>
    <w:rsid w:val="00B962ED"/>
    <w:rsid w:val="00B96DE3"/>
    <w:rsid w:val="00B971F2"/>
    <w:rsid w:val="00B97945"/>
    <w:rsid w:val="00B97ACD"/>
    <w:rsid w:val="00BA02D0"/>
    <w:rsid w:val="00BA0F19"/>
    <w:rsid w:val="00BA1214"/>
    <w:rsid w:val="00BA1F69"/>
    <w:rsid w:val="00BA7843"/>
    <w:rsid w:val="00BB3C20"/>
    <w:rsid w:val="00BB74B2"/>
    <w:rsid w:val="00BC0D44"/>
    <w:rsid w:val="00BC20A6"/>
    <w:rsid w:val="00BC5E2D"/>
    <w:rsid w:val="00BC7F46"/>
    <w:rsid w:val="00BD163E"/>
    <w:rsid w:val="00BD197D"/>
    <w:rsid w:val="00BD58CF"/>
    <w:rsid w:val="00BE1875"/>
    <w:rsid w:val="00BE3D36"/>
    <w:rsid w:val="00BE4396"/>
    <w:rsid w:val="00BF065D"/>
    <w:rsid w:val="00BF0E87"/>
    <w:rsid w:val="00BF5F63"/>
    <w:rsid w:val="00BF5F7E"/>
    <w:rsid w:val="00BF7598"/>
    <w:rsid w:val="00C00031"/>
    <w:rsid w:val="00C027AB"/>
    <w:rsid w:val="00C02A7A"/>
    <w:rsid w:val="00C03E8D"/>
    <w:rsid w:val="00C04AEB"/>
    <w:rsid w:val="00C04B26"/>
    <w:rsid w:val="00C06950"/>
    <w:rsid w:val="00C06D0C"/>
    <w:rsid w:val="00C1358D"/>
    <w:rsid w:val="00C2263F"/>
    <w:rsid w:val="00C23531"/>
    <w:rsid w:val="00C26F65"/>
    <w:rsid w:val="00C31A32"/>
    <w:rsid w:val="00C32999"/>
    <w:rsid w:val="00C33467"/>
    <w:rsid w:val="00C35386"/>
    <w:rsid w:val="00C40643"/>
    <w:rsid w:val="00C415DA"/>
    <w:rsid w:val="00C42C30"/>
    <w:rsid w:val="00C43438"/>
    <w:rsid w:val="00C46169"/>
    <w:rsid w:val="00C46F5C"/>
    <w:rsid w:val="00C52262"/>
    <w:rsid w:val="00C52B62"/>
    <w:rsid w:val="00C624B7"/>
    <w:rsid w:val="00C62536"/>
    <w:rsid w:val="00C64E76"/>
    <w:rsid w:val="00C654ED"/>
    <w:rsid w:val="00C70B01"/>
    <w:rsid w:val="00C70C83"/>
    <w:rsid w:val="00C71E53"/>
    <w:rsid w:val="00C74385"/>
    <w:rsid w:val="00C8076F"/>
    <w:rsid w:val="00C82724"/>
    <w:rsid w:val="00C83206"/>
    <w:rsid w:val="00C8557D"/>
    <w:rsid w:val="00C94937"/>
    <w:rsid w:val="00C95E26"/>
    <w:rsid w:val="00C9765C"/>
    <w:rsid w:val="00C97FE3"/>
    <w:rsid w:val="00CA23FC"/>
    <w:rsid w:val="00CA3A2C"/>
    <w:rsid w:val="00CA3D09"/>
    <w:rsid w:val="00CA7F25"/>
    <w:rsid w:val="00CB1A05"/>
    <w:rsid w:val="00CB1C27"/>
    <w:rsid w:val="00CB5E0D"/>
    <w:rsid w:val="00CB6B17"/>
    <w:rsid w:val="00CC0569"/>
    <w:rsid w:val="00CC071A"/>
    <w:rsid w:val="00CC1A58"/>
    <w:rsid w:val="00CC3914"/>
    <w:rsid w:val="00CC41EB"/>
    <w:rsid w:val="00CC73EB"/>
    <w:rsid w:val="00CC7F92"/>
    <w:rsid w:val="00CD5FA8"/>
    <w:rsid w:val="00CD6993"/>
    <w:rsid w:val="00CE0177"/>
    <w:rsid w:val="00CE42CB"/>
    <w:rsid w:val="00CE4834"/>
    <w:rsid w:val="00CF672A"/>
    <w:rsid w:val="00CF6BB5"/>
    <w:rsid w:val="00CF7D23"/>
    <w:rsid w:val="00D001CC"/>
    <w:rsid w:val="00D03700"/>
    <w:rsid w:val="00D0640C"/>
    <w:rsid w:val="00D104C7"/>
    <w:rsid w:val="00D10C6C"/>
    <w:rsid w:val="00D114AF"/>
    <w:rsid w:val="00D13078"/>
    <w:rsid w:val="00D144BE"/>
    <w:rsid w:val="00D156A3"/>
    <w:rsid w:val="00D15ECB"/>
    <w:rsid w:val="00D21775"/>
    <w:rsid w:val="00D21DD3"/>
    <w:rsid w:val="00D26292"/>
    <w:rsid w:val="00D26DE6"/>
    <w:rsid w:val="00D30365"/>
    <w:rsid w:val="00D309C4"/>
    <w:rsid w:val="00D31F59"/>
    <w:rsid w:val="00D32F9E"/>
    <w:rsid w:val="00D34073"/>
    <w:rsid w:val="00D3737C"/>
    <w:rsid w:val="00D42273"/>
    <w:rsid w:val="00D46F44"/>
    <w:rsid w:val="00D47106"/>
    <w:rsid w:val="00D52251"/>
    <w:rsid w:val="00D539E5"/>
    <w:rsid w:val="00D62A79"/>
    <w:rsid w:val="00D63B3F"/>
    <w:rsid w:val="00D64C6F"/>
    <w:rsid w:val="00D6521A"/>
    <w:rsid w:val="00D665C2"/>
    <w:rsid w:val="00D667D7"/>
    <w:rsid w:val="00D71A40"/>
    <w:rsid w:val="00D74455"/>
    <w:rsid w:val="00D754A9"/>
    <w:rsid w:val="00D7604F"/>
    <w:rsid w:val="00D77B34"/>
    <w:rsid w:val="00D82A35"/>
    <w:rsid w:val="00D82F6F"/>
    <w:rsid w:val="00D841A0"/>
    <w:rsid w:val="00D85BAA"/>
    <w:rsid w:val="00D85D31"/>
    <w:rsid w:val="00D87FB7"/>
    <w:rsid w:val="00D9134A"/>
    <w:rsid w:val="00D948A2"/>
    <w:rsid w:val="00D96C4C"/>
    <w:rsid w:val="00DA2259"/>
    <w:rsid w:val="00DA4A0D"/>
    <w:rsid w:val="00DB0303"/>
    <w:rsid w:val="00DB0674"/>
    <w:rsid w:val="00DB6049"/>
    <w:rsid w:val="00DB63E4"/>
    <w:rsid w:val="00DC1F7A"/>
    <w:rsid w:val="00DC3854"/>
    <w:rsid w:val="00DC643A"/>
    <w:rsid w:val="00DD4F50"/>
    <w:rsid w:val="00DD515A"/>
    <w:rsid w:val="00DE2B65"/>
    <w:rsid w:val="00DE6E4B"/>
    <w:rsid w:val="00DF08EB"/>
    <w:rsid w:val="00DF37BE"/>
    <w:rsid w:val="00E00032"/>
    <w:rsid w:val="00E02D62"/>
    <w:rsid w:val="00E03F40"/>
    <w:rsid w:val="00E04397"/>
    <w:rsid w:val="00E06268"/>
    <w:rsid w:val="00E1035D"/>
    <w:rsid w:val="00E105FF"/>
    <w:rsid w:val="00E11523"/>
    <w:rsid w:val="00E130A6"/>
    <w:rsid w:val="00E146EE"/>
    <w:rsid w:val="00E14CD4"/>
    <w:rsid w:val="00E14D23"/>
    <w:rsid w:val="00E16089"/>
    <w:rsid w:val="00E20086"/>
    <w:rsid w:val="00E21438"/>
    <w:rsid w:val="00E22119"/>
    <w:rsid w:val="00E27C00"/>
    <w:rsid w:val="00E30F1B"/>
    <w:rsid w:val="00E33AEE"/>
    <w:rsid w:val="00E367E5"/>
    <w:rsid w:val="00E36DD0"/>
    <w:rsid w:val="00E4101D"/>
    <w:rsid w:val="00E413AF"/>
    <w:rsid w:val="00E41B9E"/>
    <w:rsid w:val="00E457E4"/>
    <w:rsid w:val="00E46CDB"/>
    <w:rsid w:val="00E472CD"/>
    <w:rsid w:val="00E523FE"/>
    <w:rsid w:val="00E52622"/>
    <w:rsid w:val="00E526BA"/>
    <w:rsid w:val="00E53225"/>
    <w:rsid w:val="00E55F3D"/>
    <w:rsid w:val="00E600C0"/>
    <w:rsid w:val="00E62266"/>
    <w:rsid w:val="00E631E6"/>
    <w:rsid w:val="00E6338E"/>
    <w:rsid w:val="00E63918"/>
    <w:rsid w:val="00E63A00"/>
    <w:rsid w:val="00E65D1A"/>
    <w:rsid w:val="00E6750A"/>
    <w:rsid w:val="00E67C15"/>
    <w:rsid w:val="00E747C6"/>
    <w:rsid w:val="00E75FF3"/>
    <w:rsid w:val="00E8021A"/>
    <w:rsid w:val="00E83898"/>
    <w:rsid w:val="00E86CFC"/>
    <w:rsid w:val="00E87214"/>
    <w:rsid w:val="00E900CD"/>
    <w:rsid w:val="00E92162"/>
    <w:rsid w:val="00E92702"/>
    <w:rsid w:val="00E92718"/>
    <w:rsid w:val="00E932D7"/>
    <w:rsid w:val="00E93FF5"/>
    <w:rsid w:val="00E94C9D"/>
    <w:rsid w:val="00E95308"/>
    <w:rsid w:val="00E95A24"/>
    <w:rsid w:val="00EA1C49"/>
    <w:rsid w:val="00EA45B5"/>
    <w:rsid w:val="00EA52CA"/>
    <w:rsid w:val="00EA71BF"/>
    <w:rsid w:val="00EB339F"/>
    <w:rsid w:val="00EB7708"/>
    <w:rsid w:val="00EC0D57"/>
    <w:rsid w:val="00EC3F51"/>
    <w:rsid w:val="00EC4D6C"/>
    <w:rsid w:val="00EC6ACC"/>
    <w:rsid w:val="00ED20A6"/>
    <w:rsid w:val="00ED35DC"/>
    <w:rsid w:val="00ED4473"/>
    <w:rsid w:val="00ED61E9"/>
    <w:rsid w:val="00ED7186"/>
    <w:rsid w:val="00EE099F"/>
    <w:rsid w:val="00EE63B1"/>
    <w:rsid w:val="00EF11FE"/>
    <w:rsid w:val="00EF6173"/>
    <w:rsid w:val="00F00924"/>
    <w:rsid w:val="00F00A73"/>
    <w:rsid w:val="00F014DF"/>
    <w:rsid w:val="00F03625"/>
    <w:rsid w:val="00F0554E"/>
    <w:rsid w:val="00F07B32"/>
    <w:rsid w:val="00F07E7A"/>
    <w:rsid w:val="00F12894"/>
    <w:rsid w:val="00F12F3E"/>
    <w:rsid w:val="00F17AF5"/>
    <w:rsid w:val="00F214A2"/>
    <w:rsid w:val="00F31B12"/>
    <w:rsid w:val="00F34132"/>
    <w:rsid w:val="00F3511C"/>
    <w:rsid w:val="00F40139"/>
    <w:rsid w:val="00F405BF"/>
    <w:rsid w:val="00F40ADF"/>
    <w:rsid w:val="00F44CA1"/>
    <w:rsid w:val="00F47494"/>
    <w:rsid w:val="00F524BD"/>
    <w:rsid w:val="00F52693"/>
    <w:rsid w:val="00F53D32"/>
    <w:rsid w:val="00F60438"/>
    <w:rsid w:val="00F60FDA"/>
    <w:rsid w:val="00F617FA"/>
    <w:rsid w:val="00F6334A"/>
    <w:rsid w:val="00F6422A"/>
    <w:rsid w:val="00F6604F"/>
    <w:rsid w:val="00F71F07"/>
    <w:rsid w:val="00F761D0"/>
    <w:rsid w:val="00F826BC"/>
    <w:rsid w:val="00F83DC3"/>
    <w:rsid w:val="00F870CC"/>
    <w:rsid w:val="00F87477"/>
    <w:rsid w:val="00F90040"/>
    <w:rsid w:val="00F90144"/>
    <w:rsid w:val="00F97F50"/>
    <w:rsid w:val="00FA069A"/>
    <w:rsid w:val="00FA142C"/>
    <w:rsid w:val="00FA2C58"/>
    <w:rsid w:val="00FA2FC8"/>
    <w:rsid w:val="00FA3129"/>
    <w:rsid w:val="00FA322B"/>
    <w:rsid w:val="00FA47D8"/>
    <w:rsid w:val="00FA62C2"/>
    <w:rsid w:val="00FB045F"/>
    <w:rsid w:val="00FB258B"/>
    <w:rsid w:val="00FB4C7D"/>
    <w:rsid w:val="00FB6F44"/>
    <w:rsid w:val="00FB773B"/>
    <w:rsid w:val="00FC11A5"/>
    <w:rsid w:val="00FC25C6"/>
    <w:rsid w:val="00FC5681"/>
    <w:rsid w:val="00FC72E4"/>
    <w:rsid w:val="00FC7723"/>
    <w:rsid w:val="00FD0781"/>
    <w:rsid w:val="00FD3709"/>
    <w:rsid w:val="00FD3ED1"/>
    <w:rsid w:val="00FE03DB"/>
    <w:rsid w:val="00FE0AF1"/>
    <w:rsid w:val="00FE11EE"/>
    <w:rsid w:val="00FE4AA0"/>
    <w:rsid w:val="00FE60E3"/>
    <w:rsid w:val="00FE7342"/>
    <w:rsid w:val="00FE740C"/>
    <w:rsid w:val="00FF01D5"/>
    <w:rsid w:val="00FF25C9"/>
    <w:rsid w:val="00FF2FE5"/>
    <w:rsid w:val="00FF3185"/>
    <w:rsid w:val="00FF367A"/>
    <w:rsid w:val="00FF3B57"/>
    <w:rsid w:val="00FF49D6"/>
    <w:rsid w:val="00FF5E03"/>
    <w:rsid w:val="014A4856"/>
    <w:rsid w:val="04462F1E"/>
    <w:rsid w:val="04653984"/>
    <w:rsid w:val="05CE5CB8"/>
    <w:rsid w:val="06456265"/>
    <w:rsid w:val="06F36E73"/>
    <w:rsid w:val="0E9436E8"/>
    <w:rsid w:val="1271154E"/>
    <w:rsid w:val="145B6E08"/>
    <w:rsid w:val="158C5316"/>
    <w:rsid w:val="1E93171A"/>
    <w:rsid w:val="25CF3DCC"/>
    <w:rsid w:val="26C225CD"/>
    <w:rsid w:val="2DD22CC7"/>
    <w:rsid w:val="2DE03B3C"/>
    <w:rsid w:val="2E0A53A6"/>
    <w:rsid w:val="2E3E1038"/>
    <w:rsid w:val="3465360C"/>
    <w:rsid w:val="360B2F38"/>
    <w:rsid w:val="39A210F2"/>
    <w:rsid w:val="3D257B39"/>
    <w:rsid w:val="5D5D7927"/>
    <w:rsid w:val="5DF31915"/>
    <w:rsid w:val="5FD80CDC"/>
    <w:rsid w:val="673B3A73"/>
    <w:rsid w:val="67D5446A"/>
    <w:rsid w:val="6BA3608B"/>
    <w:rsid w:val="724A4606"/>
    <w:rsid w:val="73061CBA"/>
    <w:rsid w:val="76DE0EFA"/>
    <w:rsid w:val="7B3D2B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qFormat="1" w:uiPriority="0" w:name="line number"/>
    <w:lsdException w:uiPriority="0" w:name="page number"/>
    <w:lsdException w:qFormat="1" w:uiPriority="0" w:name="endnote reference"/>
    <w:lsdException w:qFormat="1"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iPriority="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0"/>
    <w:pPr>
      <w:spacing w:line="640" w:lineRule="exact"/>
      <w:ind w:firstLine="640" w:firstLineChars="200"/>
      <w:outlineLvl w:val="0"/>
    </w:pPr>
    <w:rPr>
      <w:rFonts w:eastAsia="黑体"/>
      <w:sz w:val="32"/>
      <w:szCs w:val="32"/>
    </w:rPr>
  </w:style>
  <w:style w:type="paragraph" w:styleId="3">
    <w:name w:val="heading 2"/>
    <w:basedOn w:val="1"/>
    <w:next w:val="1"/>
    <w:link w:val="25"/>
    <w:unhideWhenUsed/>
    <w:qFormat/>
    <w:uiPriority w:val="0"/>
    <w:pPr>
      <w:spacing w:line="360" w:lineRule="auto"/>
      <w:ind w:firstLine="640" w:firstLineChars="200"/>
      <w:outlineLvl w:val="1"/>
    </w:pPr>
    <w:rPr>
      <w:rFonts w:ascii="楷体_GB2312" w:hAnsi="宋体" w:eastAsia="楷体_GB2312" w:cs="宋体"/>
      <w:bCs/>
      <w:kern w:val="0"/>
      <w:sz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5">
    <w:name w:val="Default Paragraph Font"/>
    <w:semiHidden/>
    <w:unhideWhenUsed/>
    <w:qFormat/>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Document Map"/>
    <w:basedOn w:val="1"/>
    <w:link w:val="26"/>
    <w:qFormat/>
    <w:uiPriority w:val="0"/>
    <w:rPr>
      <w:rFonts w:ascii="宋体"/>
      <w:sz w:val="18"/>
      <w:szCs w:val="18"/>
    </w:rPr>
  </w:style>
  <w:style w:type="paragraph" w:styleId="6">
    <w:name w:val="annotation text"/>
    <w:basedOn w:val="1"/>
    <w:link w:val="30"/>
    <w:semiHidden/>
    <w:unhideWhenUsed/>
    <w:qFormat/>
    <w:uiPriority w:val="0"/>
    <w:pPr>
      <w:jc w:val="left"/>
    </w:pPr>
  </w:style>
  <w:style w:type="paragraph" w:styleId="7">
    <w:name w:val="endnote text"/>
    <w:basedOn w:val="1"/>
    <w:link w:val="32"/>
    <w:semiHidden/>
    <w:unhideWhenUsed/>
    <w:qFormat/>
    <w:uiPriority w:val="0"/>
    <w:pPr>
      <w:snapToGrid w:val="0"/>
      <w:jc w:val="left"/>
    </w:pPr>
  </w:style>
  <w:style w:type="paragraph" w:styleId="8">
    <w:name w:val="Balloon Text"/>
    <w:basedOn w:val="1"/>
    <w:link w:val="29"/>
    <w:semiHidden/>
    <w:unhideWhenUsed/>
    <w:qFormat/>
    <w:uiPriority w:val="0"/>
    <w:rPr>
      <w:sz w:val="18"/>
      <w:szCs w:val="18"/>
    </w:rPr>
  </w:style>
  <w:style w:type="paragraph" w:styleId="9">
    <w:name w:val="footer"/>
    <w:basedOn w:val="1"/>
    <w:link w:val="24"/>
    <w:qFormat/>
    <w:uiPriority w:val="99"/>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footnote text"/>
    <w:basedOn w:val="1"/>
    <w:link w:val="33"/>
    <w:semiHidden/>
    <w:unhideWhenUsed/>
    <w:qFormat/>
    <w:uiPriority w:val="0"/>
    <w:pPr>
      <w:snapToGrid w:val="0"/>
      <w:jc w:val="left"/>
    </w:pPr>
    <w:rPr>
      <w:sz w:val="18"/>
      <w:szCs w:val="18"/>
    </w:rPr>
  </w:style>
  <w:style w:type="paragraph" w:styleId="12">
    <w:name w:val="Normal (Web)"/>
    <w:basedOn w:val="1"/>
    <w:semiHidden/>
    <w:unhideWhenUsed/>
    <w:qFormat/>
    <w:uiPriority w:val="0"/>
    <w:pPr>
      <w:spacing w:beforeAutospacing="1" w:afterAutospacing="1"/>
      <w:jc w:val="left"/>
    </w:pPr>
    <w:rPr>
      <w:kern w:val="0"/>
      <w:sz w:val="24"/>
    </w:rPr>
  </w:style>
  <w:style w:type="paragraph" w:styleId="13">
    <w:name w:val="annotation subject"/>
    <w:basedOn w:val="6"/>
    <w:next w:val="6"/>
    <w:link w:val="31"/>
    <w:semiHidden/>
    <w:unhideWhenUsed/>
    <w:qFormat/>
    <w:uiPriority w:val="0"/>
    <w:rPr>
      <w:b/>
      <w:bCs/>
    </w:rPr>
  </w:style>
  <w:style w:type="character" w:styleId="16">
    <w:name w:val="Strong"/>
    <w:basedOn w:val="15"/>
    <w:qFormat/>
    <w:uiPriority w:val="0"/>
    <w:rPr>
      <w:b/>
    </w:rPr>
  </w:style>
  <w:style w:type="character" w:styleId="17">
    <w:name w:val="endnote reference"/>
    <w:basedOn w:val="15"/>
    <w:semiHidden/>
    <w:unhideWhenUsed/>
    <w:qFormat/>
    <w:uiPriority w:val="0"/>
    <w:rPr>
      <w:vertAlign w:val="superscript"/>
    </w:rPr>
  </w:style>
  <w:style w:type="character" w:styleId="18">
    <w:name w:val="line number"/>
    <w:basedOn w:val="15"/>
    <w:semiHidden/>
    <w:unhideWhenUsed/>
    <w:qFormat/>
    <w:uiPriority w:val="0"/>
  </w:style>
  <w:style w:type="character" w:styleId="19">
    <w:name w:val="Hyperlink"/>
    <w:basedOn w:val="15"/>
    <w:semiHidden/>
    <w:unhideWhenUsed/>
    <w:qFormat/>
    <w:uiPriority w:val="0"/>
    <w:rPr>
      <w:color w:val="0000FF"/>
      <w:u w:val="single"/>
    </w:rPr>
  </w:style>
  <w:style w:type="character" w:styleId="20">
    <w:name w:val="annotation reference"/>
    <w:basedOn w:val="15"/>
    <w:semiHidden/>
    <w:unhideWhenUsed/>
    <w:qFormat/>
    <w:uiPriority w:val="0"/>
    <w:rPr>
      <w:sz w:val="21"/>
      <w:szCs w:val="21"/>
    </w:rPr>
  </w:style>
  <w:style w:type="character" w:styleId="21">
    <w:name w:val="footnote reference"/>
    <w:basedOn w:val="15"/>
    <w:semiHidden/>
    <w:unhideWhenUsed/>
    <w:qFormat/>
    <w:uiPriority w:val="0"/>
    <w:rPr>
      <w:vertAlign w:val="superscript"/>
    </w:rPr>
  </w:style>
  <w:style w:type="paragraph" w:styleId="22">
    <w:name w:val="List Paragraph"/>
    <w:basedOn w:val="1"/>
    <w:qFormat/>
    <w:uiPriority w:val="99"/>
    <w:pPr>
      <w:ind w:firstLine="420" w:firstLineChars="200"/>
    </w:pPr>
  </w:style>
  <w:style w:type="character" w:customStyle="1" w:styleId="23">
    <w:name w:val="页眉 字符"/>
    <w:basedOn w:val="15"/>
    <w:link w:val="10"/>
    <w:qFormat/>
    <w:uiPriority w:val="0"/>
    <w:rPr>
      <w:rFonts w:ascii="Times New Roman" w:hAnsi="Times New Roman" w:eastAsia="宋体" w:cs="Times New Roman"/>
      <w:kern w:val="2"/>
      <w:sz w:val="18"/>
      <w:szCs w:val="18"/>
    </w:rPr>
  </w:style>
  <w:style w:type="character" w:customStyle="1" w:styleId="24">
    <w:name w:val="页脚 字符"/>
    <w:basedOn w:val="15"/>
    <w:link w:val="9"/>
    <w:qFormat/>
    <w:uiPriority w:val="99"/>
    <w:rPr>
      <w:rFonts w:ascii="Times New Roman" w:hAnsi="Times New Roman" w:eastAsia="宋体" w:cs="Times New Roman"/>
      <w:kern w:val="2"/>
      <w:sz w:val="18"/>
      <w:szCs w:val="18"/>
    </w:rPr>
  </w:style>
  <w:style w:type="character" w:customStyle="1" w:styleId="25">
    <w:name w:val="标题 2 字符"/>
    <w:basedOn w:val="15"/>
    <w:link w:val="3"/>
    <w:qFormat/>
    <w:uiPriority w:val="0"/>
    <w:rPr>
      <w:rFonts w:ascii="楷体_GB2312" w:hAnsi="宋体" w:eastAsia="楷体_GB2312" w:cs="宋体"/>
      <w:bCs/>
      <w:sz w:val="32"/>
      <w:szCs w:val="24"/>
    </w:rPr>
  </w:style>
  <w:style w:type="character" w:customStyle="1" w:styleId="26">
    <w:name w:val="文档结构图 字符"/>
    <w:basedOn w:val="15"/>
    <w:link w:val="5"/>
    <w:qFormat/>
    <w:uiPriority w:val="0"/>
    <w:rPr>
      <w:rFonts w:ascii="宋体" w:hAnsi="Times New Roman" w:eastAsia="宋体" w:cs="Times New Roman"/>
      <w:kern w:val="2"/>
      <w:sz w:val="18"/>
      <w:szCs w:val="18"/>
    </w:rPr>
  </w:style>
  <w:style w:type="paragraph" w:customStyle="1" w:styleId="2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28">
    <w:name w:val="标题 1 字符"/>
    <w:link w:val="2"/>
    <w:qFormat/>
    <w:locked/>
    <w:uiPriority w:val="0"/>
    <w:rPr>
      <w:rFonts w:ascii="Times New Roman" w:hAnsi="Times New Roman" w:eastAsia="黑体" w:cs="Times New Roman"/>
      <w:kern w:val="2"/>
      <w:sz w:val="32"/>
      <w:szCs w:val="32"/>
    </w:rPr>
  </w:style>
  <w:style w:type="character" w:customStyle="1" w:styleId="29">
    <w:name w:val="批注框文本 字符"/>
    <w:basedOn w:val="15"/>
    <w:link w:val="8"/>
    <w:semiHidden/>
    <w:qFormat/>
    <w:uiPriority w:val="0"/>
    <w:rPr>
      <w:rFonts w:ascii="Times New Roman" w:hAnsi="Times New Roman" w:eastAsia="宋体" w:cs="Times New Roman"/>
      <w:kern w:val="2"/>
      <w:sz w:val="18"/>
      <w:szCs w:val="18"/>
    </w:rPr>
  </w:style>
  <w:style w:type="character" w:customStyle="1" w:styleId="30">
    <w:name w:val="批注文字 字符"/>
    <w:basedOn w:val="15"/>
    <w:link w:val="6"/>
    <w:semiHidden/>
    <w:qFormat/>
    <w:uiPriority w:val="0"/>
    <w:rPr>
      <w:rFonts w:ascii="Times New Roman" w:hAnsi="Times New Roman" w:eastAsia="宋体" w:cs="Times New Roman"/>
      <w:kern w:val="2"/>
      <w:sz w:val="21"/>
      <w:szCs w:val="24"/>
    </w:rPr>
  </w:style>
  <w:style w:type="character" w:customStyle="1" w:styleId="31">
    <w:name w:val="批注主题 字符"/>
    <w:basedOn w:val="30"/>
    <w:link w:val="13"/>
    <w:semiHidden/>
    <w:qFormat/>
    <w:uiPriority w:val="0"/>
    <w:rPr>
      <w:rFonts w:ascii="Times New Roman" w:hAnsi="Times New Roman" w:eastAsia="宋体" w:cs="Times New Roman"/>
      <w:b/>
      <w:bCs/>
      <w:kern w:val="2"/>
      <w:sz w:val="21"/>
      <w:szCs w:val="24"/>
    </w:rPr>
  </w:style>
  <w:style w:type="character" w:customStyle="1" w:styleId="32">
    <w:name w:val="尾注文本 字符"/>
    <w:basedOn w:val="15"/>
    <w:link w:val="7"/>
    <w:semiHidden/>
    <w:qFormat/>
    <w:uiPriority w:val="0"/>
    <w:rPr>
      <w:rFonts w:ascii="Times New Roman" w:hAnsi="Times New Roman" w:eastAsia="宋体" w:cs="Times New Roman"/>
      <w:kern w:val="2"/>
      <w:sz w:val="21"/>
      <w:szCs w:val="24"/>
    </w:rPr>
  </w:style>
  <w:style w:type="character" w:customStyle="1" w:styleId="33">
    <w:name w:val="脚注文本 字符"/>
    <w:basedOn w:val="15"/>
    <w:link w:val="11"/>
    <w:semiHidden/>
    <w:qFormat/>
    <w:uiPriority w:val="0"/>
    <w:rPr>
      <w:rFonts w:ascii="Times New Roman" w:hAnsi="Times New Roman" w:eastAsia="宋体" w:cs="Times New Roman"/>
      <w:kern w:val="2"/>
      <w:sz w:val="18"/>
      <w:szCs w:val="18"/>
    </w:rPr>
  </w:style>
  <w:style w:type="paragraph" w:styleId="34">
    <w:name w:val="No Spacing"/>
    <w:qFormat/>
    <w:uiPriority w:val="1"/>
    <w:pPr>
      <w:jc w:val="both"/>
    </w:pPr>
    <w:rPr>
      <w:rFonts w:ascii="Arial" w:hAnsi="Arial" w:eastAsia="宋体" w:cs="Arial"/>
      <w:sz w:val="18"/>
      <w:szCs w:val="18"/>
      <w:lang w:val="en-US" w:eastAsia="zh-CN" w:bidi="ar-SA"/>
    </w:rPr>
  </w:style>
  <w:style w:type="paragraph" w:customStyle="1" w:styleId="35">
    <w:name w:val="msonospacing"/>
    <w:basedOn w:val="1"/>
    <w:qFormat/>
    <w:uiPriority w:val="0"/>
    <w:pPr>
      <w:widowControl/>
    </w:pPr>
    <w:rPr>
      <w:rFonts w:ascii="Arial" w:hAnsi="Arial"/>
      <w:kern w:val="0"/>
      <w:sz w:val="18"/>
      <w:szCs w:val="18"/>
    </w:rPr>
  </w:style>
  <w:style w:type="paragraph" w:customStyle="1" w:styleId="36">
    <w:name w:val="王奕，内文"/>
    <w:basedOn w:val="12"/>
    <w:qFormat/>
    <w:uiPriority w:val="0"/>
    <w:pPr>
      <w:spacing w:beforeAutospacing="0" w:afterAutospacing="0" w:line="360" w:lineRule="auto"/>
      <w:ind w:firstLine="200" w:firstLineChars="200"/>
      <w:jc w:val="both"/>
    </w:pPr>
    <w:rPr>
      <w:color w:val="000000"/>
      <w:kern w:val="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50B547-BC9B-4D67-8B0E-AD23DEF4697E}">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11374</Words>
  <Characters>12174</Characters>
  <Lines>86</Lines>
  <Paragraphs>24</Paragraphs>
  <TotalTime>0</TotalTime>
  <ScaleCrop>false</ScaleCrop>
  <LinksUpToDate>false</LinksUpToDate>
  <CharactersWithSpaces>12266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2026-07-05T07:39:00Z</dcterms:created>
  <dc:creator>李元霸</dc:creator>
  <cp:lastModifiedBy>晴天</cp:lastModifiedBy>
  <dcterms:modified xsi:type="dcterms:W3CDTF">2026-07-24T08:21:40Z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A749E531A28546DFA39BD194B557A89F_13</vt:lpwstr>
  </property>
  <property fmtid="{D5CDD505-2E9C-101B-9397-08002B2CF9AE}" pid="4" name="KSOTemplateDocerSaveRecord">
    <vt:lpwstr>eyJoZGlkIjoiMWI2NWNiYzdiMmVmZWI2N2VkMDc4NWJlNTkwYjJhYTgiLCJ1c2VySWQiOiIyNzE5NzMyMjAifQ==</vt:lpwstr>
  </property>
</Properties>
</file>