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963F7">
      <w:pPr>
        <w:spacing w:line="520" w:lineRule="exact"/>
        <w:jc w:val="center"/>
        <w:outlineLvl w:val="0"/>
        <w:rPr>
          <w:rFonts w:eastAsia="方正小标宋简体"/>
          <w:bCs/>
          <w:sz w:val="44"/>
          <w:szCs w:val="44"/>
        </w:rPr>
      </w:pPr>
      <w:r>
        <w:rPr>
          <w:rFonts w:hint="eastAsia" w:eastAsia="方正小标宋简体"/>
          <w:bCs/>
          <w:sz w:val="44"/>
          <w:szCs w:val="44"/>
        </w:rPr>
        <w:t>生化免疫分析仪器</w:t>
      </w:r>
      <w:r>
        <w:rPr>
          <w:rFonts w:eastAsia="方正小标宋简体"/>
          <w:bCs/>
          <w:sz w:val="44"/>
          <w:szCs w:val="44"/>
        </w:rPr>
        <w:t>注册审查指导原则</w:t>
      </w:r>
    </w:p>
    <w:p w14:paraId="26DCD6D2">
      <w:pPr>
        <w:spacing w:line="520" w:lineRule="exact"/>
        <w:jc w:val="center"/>
        <w:outlineLvl w:val="0"/>
        <w:rPr>
          <w:rFonts w:eastAsia="方正小标宋简体"/>
          <w:bCs/>
          <w:sz w:val="44"/>
          <w:szCs w:val="44"/>
        </w:rPr>
      </w:pPr>
      <w:r>
        <w:rPr>
          <w:rFonts w:hint="eastAsia" w:eastAsia="方正小标宋简体"/>
          <w:bCs/>
          <w:sz w:val="44"/>
          <w:szCs w:val="44"/>
        </w:rPr>
        <w:t>（征求意见稿）</w:t>
      </w:r>
    </w:p>
    <w:p w14:paraId="0129F2D6">
      <w:pPr>
        <w:spacing w:line="520" w:lineRule="exact"/>
        <w:rPr>
          <w:rFonts w:eastAsia="方正小标宋简体"/>
          <w:bCs/>
          <w:sz w:val="44"/>
          <w:szCs w:val="44"/>
        </w:rPr>
      </w:pPr>
    </w:p>
    <w:p w14:paraId="4155A63A">
      <w:pPr>
        <w:spacing w:line="520" w:lineRule="exact"/>
        <w:ind w:firstLine="640" w:firstLineChars="200"/>
        <w:rPr>
          <w:rFonts w:eastAsia="仿宋_GB2312"/>
          <w:sz w:val="32"/>
          <w:szCs w:val="32"/>
        </w:rPr>
      </w:pPr>
      <w:r>
        <w:rPr>
          <w:rFonts w:eastAsia="仿宋_GB2312"/>
          <w:sz w:val="32"/>
          <w:szCs w:val="32"/>
        </w:rPr>
        <w:t>本指导原则旨在为注册申请人进行</w:t>
      </w:r>
      <w:r>
        <w:rPr>
          <w:rFonts w:hint="eastAsia" w:eastAsia="仿宋_GB2312"/>
          <w:sz w:val="32"/>
          <w:szCs w:val="32"/>
        </w:rPr>
        <w:t>生化免疫分析仪器</w:t>
      </w:r>
      <w:r>
        <w:rPr>
          <w:rFonts w:eastAsia="仿宋_GB2312"/>
          <w:sz w:val="32"/>
          <w:szCs w:val="32"/>
        </w:rPr>
        <w:t>产品的注册申报提供技术指导，同时也为医疗器械监督管理部门对注册申报资料的审评提供技术参考。</w:t>
      </w:r>
    </w:p>
    <w:p w14:paraId="0DD6D88A">
      <w:pPr>
        <w:spacing w:line="520" w:lineRule="exact"/>
        <w:ind w:firstLine="640" w:firstLineChars="200"/>
        <w:rPr>
          <w:rFonts w:eastAsia="仿宋_GB2312"/>
          <w:sz w:val="32"/>
          <w:szCs w:val="32"/>
        </w:rPr>
      </w:pPr>
      <w:r>
        <w:rPr>
          <w:rFonts w:eastAsia="仿宋_GB2312"/>
          <w:sz w:val="32"/>
          <w:szCs w:val="32"/>
        </w:rPr>
        <w:t>本指导原则是对</w:t>
      </w:r>
      <w:r>
        <w:rPr>
          <w:rFonts w:hint="eastAsia" w:eastAsia="仿宋_GB2312"/>
          <w:sz w:val="32"/>
          <w:szCs w:val="32"/>
        </w:rPr>
        <w:t>生化免疫分析仪器</w:t>
      </w:r>
      <w:r>
        <w:rPr>
          <w:rFonts w:eastAsia="仿宋_GB2312"/>
          <w:sz w:val="32"/>
          <w:szCs w:val="32"/>
        </w:rPr>
        <w:t>的一般要求，注册申请人应依据产品的具体特性确定其中内容是否适用，若不适用，需具体阐述理由及相应的科学依据，并依据产品的具体特性对注册申报资料的内容进行充实和细化。</w:t>
      </w:r>
    </w:p>
    <w:p w14:paraId="063DE06E">
      <w:pPr>
        <w:spacing w:line="520" w:lineRule="exact"/>
        <w:ind w:firstLine="640" w:firstLineChars="200"/>
        <w:rPr>
          <w:rFonts w:eastAsia="仿宋_GB2312"/>
          <w:sz w:val="32"/>
          <w:szCs w:val="32"/>
        </w:rPr>
      </w:pPr>
      <w:r>
        <w:rPr>
          <w:rFonts w:eastAsia="仿宋_GB2312"/>
          <w:sz w:val="32"/>
          <w:szCs w:val="32"/>
        </w:rPr>
        <w:t>本指导原则是供注册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14:paraId="0ED79B94">
      <w:pPr>
        <w:spacing w:line="520" w:lineRule="exact"/>
        <w:ind w:firstLine="640" w:firstLineChars="200"/>
        <w:rPr>
          <w:rFonts w:eastAsia="仿宋_GB2312"/>
          <w:sz w:val="32"/>
          <w:szCs w:val="32"/>
        </w:rPr>
      </w:pPr>
      <w:r>
        <w:rPr>
          <w:rFonts w:eastAsia="仿宋_GB2312"/>
          <w:sz w:val="32"/>
          <w:szCs w:val="32"/>
        </w:rPr>
        <w:t>本指导原则是在现行法规、标准体系及当前认知水平下制定的，随着法规、标准体系的不断完善和科学技术的不断发展，本指导原则相关内容也将适时进行调整。</w:t>
      </w:r>
    </w:p>
    <w:p w14:paraId="0078386A">
      <w:pPr>
        <w:spacing w:line="520" w:lineRule="exact"/>
        <w:ind w:firstLine="640" w:firstLineChars="200"/>
        <w:outlineLvl w:val="0"/>
        <w:rPr>
          <w:rFonts w:eastAsia="黑体"/>
          <w:sz w:val="32"/>
          <w:szCs w:val="32"/>
        </w:rPr>
      </w:pPr>
      <w:r>
        <w:rPr>
          <w:rFonts w:eastAsia="黑体"/>
          <w:sz w:val="32"/>
          <w:szCs w:val="32"/>
        </w:rPr>
        <w:t>一、适用范围</w:t>
      </w:r>
    </w:p>
    <w:p w14:paraId="62C12FC0">
      <w:pPr>
        <w:spacing w:line="520" w:lineRule="exact"/>
        <w:ind w:firstLine="640" w:firstLineChars="200"/>
        <w:rPr>
          <w:rFonts w:eastAsia="仿宋_GB2312"/>
          <w:sz w:val="32"/>
          <w:szCs w:val="32"/>
        </w:rPr>
      </w:pPr>
      <w:r>
        <w:rPr>
          <w:rFonts w:eastAsia="仿宋_GB2312"/>
          <w:sz w:val="32"/>
          <w:szCs w:val="32"/>
        </w:rPr>
        <w:t>本指导原则适用于</w:t>
      </w:r>
      <w:r>
        <w:rPr>
          <w:rFonts w:hint="eastAsia" w:eastAsia="仿宋_GB2312"/>
          <w:sz w:val="32"/>
          <w:szCs w:val="32"/>
        </w:rPr>
        <w:t>具有至少一个生化分析模块以及至少一个化学发光免疫分析模块，与适配试剂配合使用，用于人体样本中待测物的定性和/或定量分析的生化免疫分析仪器。不同模块可以设计为一个集成设备，也可以</w:t>
      </w:r>
      <w:r>
        <w:rPr>
          <w:rFonts w:eastAsia="仿宋_GB2312"/>
          <w:sz w:val="32"/>
          <w:szCs w:val="32"/>
        </w:rPr>
        <w:t>通过物理传输轨道、机械臂等方式进行连接，</w:t>
      </w:r>
      <w:r>
        <w:rPr>
          <w:rFonts w:hint="eastAsia" w:eastAsia="仿宋_GB2312"/>
          <w:sz w:val="32"/>
          <w:szCs w:val="32"/>
        </w:rPr>
        <w:t>且由同一套完整的软件控制，可统一进行样本进出管理，</w:t>
      </w:r>
      <w:r>
        <w:rPr>
          <w:rFonts w:eastAsia="仿宋_GB2312"/>
          <w:sz w:val="32"/>
          <w:szCs w:val="32"/>
        </w:rPr>
        <w:t>形成具备样本自动传输、分配、检测功能的</w:t>
      </w:r>
      <w:r>
        <w:rPr>
          <w:rFonts w:hint="eastAsia" w:eastAsia="仿宋_GB2312"/>
          <w:sz w:val="32"/>
          <w:szCs w:val="32"/>
        </w:rPr>
        <w:t>一体</w:t>
      </w:r>
      <w:r>
        <w:rPr>
          <w:rFonts w:hint="eastAsia" w:eastAsia="仿宋_GB2312"/>
          <w:sz w:val="32"/>
          <w:szCs w:val="32"/>
          <w:lang w:val="en-US" w:eastAsia="zh-CN"/>
        </w:rPr>
        <w:t>集成</w:t>
      </w:r>
      <w:r>
        <w:rPr>
          <w:rFonts w:eastAsia="仿宋_GB2312"/>
          <w:sz w:val="32"/>
          <w:szCs w:val="32"/>
        </w:rPr>
        <w:t>系统。</w:t>
      </w:r>
    </w:p>
    <w:p w14:paraId="180D49A4">
      <w:pPr>
        <w:spacing w:line="520" w:lineRule="exact"/>
        <w:ind w:firstLine="640" w:firstLineChars="200"/>
        <w:rPr>
          <w:rFonts w:eastAsia="仿宋_GB2312"/>
          <w:sz w:val="32"/>
          <w:szCs w:val="32"/>
          <w:highlight w:val="yellow"/>
        </w:rPr>
      </w:pPr>
      <w:r>
        <w:rPr>
          <w:rFonts w:hint="eastAsia" w:eastAsia="仿宋_GB2312"/>
          <w:sz w:val="32"/>
          <w:szCs w:val="32"/>
        </w:rPr>
        <w:t>本指导原则，不包括仅通过软件中间件实现数据联接的独立的生化分析仪及独立的免疫分析系统组成的流水线。生化分析模块与其他技术（如荧光免疫、酶联免疫等）的免疫分析模块组成的生化免疫分析仪器、生化免疫分析仪器与其它检测模块（如电解质、血气等）组合存在的产品可参照本指导原则中适用的部分。</w:t>
      </w:r>
    </w:p>
    <w:p w14:paraId="50CECE6A">
      <w:pPr>
        <w:spacing w:line="520" w:lineRule="exact"/>
        <w:ind w:firstLine="640" w:firstLineChars="200"/>
        <w:rPr>
          <w:rFonts w:eastAsia="仿宋_GB2312"/>
          <w:sz w:val="32"/>
          <w:szCs w:val="32"/>
        </w:rPr>
      </w:pPr>
      <w:r>
        <w:rPr>
          <w:rFonts w:hint="eastAsia" w:eastAsia="仿宋_GB2312"/>
          <w:sz w:val="32"/>
          <w:szCs w:val="32"/>
        </w:rPr>
        <w:t>本指导原则不适用于单独注册的样本管理模块，如样本前处理系统、样本后处理系统。</w:t>
      </w:r>
    </w:p>
    <w:p w14:paraId="28D192B0">
      <w:pPr>
        <w:spacing w:line="520" w:lineRule="exact"/>
        <w:ind w:firstLine="640" w:firstLineChars="200"/>
        <w:rPr>
          <w:rFonts w:eastAsia="仿宋_GB2312"/>
          <w:sz w:val="32"/>
          <w:szCs w:val="32"/>
        </w:rPr>
      </w:pPr>
      <w:r>
        <w:rPr>
          <w:rFonts w:hint="eastAsia" w:eastAsia="仿宋_GB2312"/>
          <w:sz w:val="32"/>
          <w:szCs w:val="32"/>
        </w:rPr>
        <w:t>本指导原则适用于申请产品注册和相关变更注册的产品。</w:t>
      </w:r>
    </w:p>
    <w:p w14:paraId="0AF52163">
      <w:pPr>
        <w:spacing w:line="520" w:lineRule="exact"/>
        <w:ind w:firstLine="640" w:firstLineChars="200"/>
        <w:outlineLvl w:val="0"/>
        <w:rPr>
          <w:rFonts w:eastAsia="黑体"/>
          <w:sz w:val="32"/>
          <w:szCs w:val="32"/>
        </w:rPr>
      </w:pPr>
      <w:r>
        <w:rPr>
          <w:rFonts w:eastAsia="黑体"/>
          <w:sz w:val="32"/>
          <w:szCs w:val="32"/>
        </w:rPr>
        <w:t>二、</w:t>
      </w:r>
      <w:r>
        <w:rPr>
          <w:rFonts w:eastAsia="黑体"/>
          <w:sz w:val="32"/>
          <w:szCs w:val="32"/>
          <w:lang w:eastAsia="zh-Hans"/>
        </w:rPr>
        <w:t>注册</w:t>
      </w:r>
      <w:r>
        <w:rPr>
          <w:rFonts w:eastAsia="黑体"/>
          <w:sz w:val="32"/>
          <w:szCs w:val="32"/>
        </w:rPr>
        <w:t>审查要点</w:t>
      </w:r>
    </w:p>
    <w:p w14:paraId="790E9652">
      <w:pPr>
        <w:spacing w:line="520" w:lineRule="exact"/>
        <w:ind w:right="-67" w:rightChars="-32" w:firstLine="640" w:firstLineChars="200"/>
        <w:outlineLvl w:val="1"/>
        <w:rPr>
          <w:rFonts w:eastAsia="楷体_GB2312"/>
          <w:sz w:val="32"/>
          <w:szCs w:val="32"/>
        </w:rPr>
      </w:pPr>
      <w:r>
        <w:rPr>
          <w:rFonts w:eastAsia="楷体_GB2312"/>
          <w:sz w:val="32"/>
          <w:szCs w:val="32"/>
        </w:rPr>
        <w:t>（一）监管信息</w:t>
      </w:r>
    </w:p>
    <w:p w14:paraId="3FA9D34E">
      <w:pPr>
        <w:spacing w:line="520" w:lineRule="exact"/>
        <w:ind w:firstLine="640" w:firstLineChars="200"/>
        <w:rPr>
          <w:rFonts w:eastAsia="仿宋_GB2312"/>
          <w:sz w:val="32"/>
          <w:szCs w:val="32"/>
        </w:rPr>
      </w:pPr>
      <w:r>
        <w:rPr>
          <w:rFonts w:eastAsia="仿宋_GB2312"/>
          <w:sz w:val="32"/>
          <w:szCs w:val="32"/>
        </w:rPr>
        <w:t>注册申请人应提供申请表、既往沟通记录（如不适用，应当明确声明申报产品没有既往申报和/或申报前沟通）、主文档授权信（如适用）、关联文件及其他管理信息等。</w:t>
      </w:r>
    </w:p>
    <w:p w14:paraId="711C3990">
      <w:pPr>
        <w:spacing w:line="520" w:lineRule="exact"/>
        <w:ind w:firstLine="640" w:firstLineChars="200"/>
        <w:outlineLvl w:val="2"/>
        <w:rPr>
          <w:rFonts w:eastAsia="仿宋_GB2312"/>
          <w:sz w:val="32"/>
          <w:szCs w:val="32"/>
        </w:rPr>
      </w:pPr>
      <w:r>
        <w:rPr>
          <w:rFonts w:hint="eastAsia" w:eastAsia="仿宋_GB2312"/>
          <w:sz w:val="32"/>
          <w:szCs w:val="32"/>
        </w:rPr>
        <w:t xml:space="preserve">1.产品名称   </w:t>
      </w:r>
    </w:p>
    <w:p w14:paraId="62D94E89">
      <w:pPr>
        <w:spacing w:line="520" w:lineRule="exact"/>
        <w:ind w:firstLine="640" w:firstLineChars="200"/>
        <w:rPr>
          <w:rFonts w:eastAsia="仿宋_GB2312"/>
          <w:kern w:val="0"/>
          <w:sz w:val="32"/>
          <w:szCs w:val="32"/>
        </w:rPr>
      </w:pPr>
      <w:r>
        <w:rPr>
          <w:rFonts w:hint="eastAsia" w:eastAsia="仿宋_GB2312"/>
          <w:sz w:val="32"/>
          <w:szCs w:val="32"/>
        </w:rPr>
        <w:t>生化免疫分析仪器</w:t>
      </w:r>
      <w:r>
        <w:rPr>
          <w:rFonts w:eastAsia="仿宋_GB2312"/>
          <w:sz w:val="32"/>
          <w:szCs w:val="32"/>
        </w:rPr>
        <w:t>产品的命名应符合</w:t>
      </w:r>
      <w:r>
        <w:rPr>
          <w:rFonts w:hint="eastAsia" w:eastAsia="仿宋_GB2312"/>
          <w:sz w:val="32"/>
          <w:szCs w:val="32"/>
        </w:rPr>
        <w:t>《医疗器械通用名称命名指导原则》</w:t>
      </w:r>
      <w:r>
        <w:rPr>
          <w:rFonts w:hint="eastAsia" w:eastAsia="仿宋_GB2312"/>
          <w:sz w:val="32"/>
          <w:szCs w:val="32"/>
          <w:lang w:eastAsia="zh-CN"/>
        </w:rPr>
        <w:t>《</w:t>
      </w:r>
      <w:r>
        <w:rPr>
          <w:rFonts w:hint="eastAsia" w:eastAsia="仿宋_GB2312"/>
          <w:sz w:val="32"/>
          <w:szCs w:val="32"/>
        </w:rPr>
        <w:t>临床检验器械通用名称命名指导原则》的要求，采用《医疗器械分类目录》或国家标准、行业标准上</w:t>
      </w:r>
      <w:r>
        <w:rPr>
          <w:rFonts w:eastAsia="仿宋_GB2312"/>
          <w:sz w:val="32"/>
          <w:szCs w:val="32"/>
        </w:rPr>
        <w:t>的通用名称</w:t>
      </w:r>
      <w:r>
        <w:rPr>
          <w:rFonts w:hint="eastAsia" w:eastAsia="仿宋_GB2312"/>
          <w:sz w:val="32"/>
          <w:szCs w:val="32"/>
        </w:rPr>
        <w:t>，一般为模块化生化免疫分析系统、全自动生化免疫分析仪器。</w:t>
      </w:r>
      <w:r>
        <w:rPr>
          <w:rFonts w:eastAsia="仿宋_GB2312"/>
          <w:kern w:val="0"/>
          <w:sz w:val="32"/>
          <w:szCs w:val="32"/>
        </w:rPr>
        <w:t>也可根据医疗器械命名原则，参考《医疗器械分类目录》中的品名举例确定命名，并详细描述确定依据。</w:t>
      </w:r>
    </w:p>
    <w:p w14:paraId="45A6B61C">
      <w:pPr>
        <w:spacing w:line="520" w:lineRule="exact"/>
        <w:ind w:firstLine="640" w:firstLineChars="200"/>
        <w:outlineLvl w:val="2"/>
        <w:rPr>
          <w:rFonts w:eastAsia="仿宋_GB2312"/>
          <w:sz w:val="32"/>
          <w:szCs w:val="32"/>
        </w:rPr>
      </w:pPr>
      <w:r>
        <w:rPr>
          <w:rFonts w:eastAsia="仿宋_GB2312"/>
          <w:sz w:val="32"/>
          <w:szCs w:val="32"/>
        </w:rPr>
        <w:t>2.分类编码</w:t>
      </w:r>
    </w:p>
    <w:p w14:paraId="27A52FEF">
      <w:pPr>
        <w:spacing w:line="520" w:lineRule="exact"/>
        <w:ind w:firstLine="640" w:firstLineChars="200"/>
        <w:rPr>
          <w:rFonts w:eastAsia="仿宋_GB2312"/>
          <w:kern w:val="0"/>
          <w:sz w:val="32"/>
          <w:szCs w:val="32"/>
        </w:rPr>
      </w:pPr>
      <w:r>
        <w:rPr>
          <w:rFonts w:eastAsia="仿宋_GB2312"/>
          <w:sz w:val="32"/>
          <w:szCs w:val="28"/>
        </w:rPr>
        <w:t>根据《医疗器械分类目录》，</w:t>
      </w:r>
      <w:r>
        <w:rPr>
          <w:rFonts w:hint="eastAsia" w:eastAsia="仿宋_GB2312"/>
          <w:sz w:val="32"/>
          <w:szCs w:val="28"/>
        </w:rPr>
        <w:t>生化免疫分析仪器</w:t>
      </w:r>
      <w:r>
        <w:rPr>
          <w:rFonts w:eastAsia="仿宋_GB2312"/>
          <w:sz w:val="32"/>
          <w:szCs w:val="28"/>
        </w:rPr>
        <w:t>管理类别为Ⅱ类，分类编码为</w:t>
      </w:r>
      <w:r>
        <w:rPr>
          <w:rFonts w:eastAsia="仿宋_GB2312"/>
          <w:kern w:val="0"/>
          <w:sz w:val="32"/>
          <w:szCs w:val="32"/>
        </w:rPr>
        <w:t>22-04-09。</w:t>
      </w:r>
    </w:p>
    <w:p w14:paraId="072C9C8C">
      <w:pPr>
        <w:spacing w:line="520" w:lineRule="exact"/>
        <w:ind w:firstLine="640" w:firstLineChars="200"/>
        <w:outlineLvl w:val="2"/>
        <w:rPr>
          <w:rFonts w:eastAsia="仿宋_GB2312"/>
          <w:sz w:val="32"/>
          <w:szCs w:val="32"/>
        </w:rPr>
      </w:pPr>
      <w:r>
        <w:rPr>
          <w:rFonts w:eastAsia="仿宋_GB2312"/>
          <w:sz w:val="32"/>
          <w:szCs w:val="32"/>
        </w:rPr>
        <w:t>3.注册单元划分的原则和实例</w:t>
      </w:r>
    </w:p>
    <w:p w14:paraId="557E6D97">
      <w:pPr>
        <w:spacing w:line="520" w:lineRule="exact"/>
        <w:ind w:firstLine="640" w:firstLineChars="200"/>
        <w:rPr>
          <w:rFonts w:eastAsia="仿宋_GB2312"/>
          <w:sz w:val="32"/>
          <w:szCs w:val="32"/>
        </w:rPr>
      </w:pPr>
      <w:r>
        <w:rPr>
          <w:rFonts w:hint="eastAsia" w:eastAsia="仿宋_GB2312"/>
          <w:sz w:val="32"/>
          <w:szCs w:val="32"/>
        </w:rPr>
        <w:t>生化免疫分析仪器的注册单元划分应符合《医疗器械注册单元划分指导原则》的要求，以产品的技术原理、结构组成、性能指标和适用范围为划分依据。</w:t>
      </w:r>
    </w:p>
    <w:p w14:paraId="6E3F25AD">
      <w:pPr>
        <w:spacing w:line="520" w:lineRule="exact"/>
        <w:ind w:firstLine="640" w:firstLineChars="200"/>
        <w:rPr>
          <w:rFonts w:eastAsia="仿宋_GB2312"/>
          <w:sz w:val="32"/>
          <w:szCs w:val="32"/>
        </w:rPr>
      </w:pPr>
      <w:r>
        <w:rPr>
          <w:rFonts w:hint="eastAsia" w:eastAsia="仿宋_GB2312"/>
          <w:sz w:val="32"/>
          <w:szCs w:val="32"/>
        </w:rPr>
        <w:t>生化免疫分析仪器中包含的生化模块和免疫模块，无论其是否已单独获证，其注册单元划分均以产品的技术原理、结构组成、性能指标为准，不因模块的获证状态而改变划分结论，即按照《生化分析仪注册审查指导原则》和《全自动化学发光免疫分析仪注册审查指导原则》的相关规定进行划分。</w:t>
      </w:r>
    </w:p>
    <w:p w14:paraId="0795464D">
      <w:pPr>
        <w:spacing w:line="520" w:lineRule="exact"/>
        <w:ind w:firstLine="640" w:firstLineChars="200"/>
        <w:outlineLvl w:val="2"/>
        <w:rPr>
          <w:rFonts w:hint="eastAsia" w:eastAsia="仿宋_GB2312"/>
          <w:sz w:val="32"/>
          <w:szCs w:val="32"/>
        </w:rPr>
      </w:pPr>
      <w:r>
        <w:rPr>
          <w:rFonts w:hint="eastAsia" w:eastAsia="仿宋_GB2312"/>
          <w:sz w:val="32"/>
          <w:szCs w:val="32"/>
        </w:rPr>
        <w:t>3.1同一注册单元的判定</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882"/>
      </w:tblGrid>
      <w:tr w14:paraId="1556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4B6B38B">
            <w:pPr>
              <w:spacing w:line="520" w:lineRule="exact"/>
              <w:rPr>
                <w:rFonts w:eastAsia="仿宋_GB2312"/>
                <w:sz w:val="32"/>
                <w:szCs w:val="32"/>
              </w:rPr>
            </w:pPr>
            <w:r>
              <w:rPr>
                <w:rFonts w:hint="eastAsia" w:eastAsia="仿宋_GB2312"/>
                <w:sz w:val="32"/>
                <w:szCs w:val="32"/>
              </w:rPr>
              <w:t>判断维度</w:t>
            </w:r>
          </w:p>
        </w:tc>
        <w:tc>
          <w:tcPr>
            <w:tcW w:w="6882" w:type="dxa"/>
            <w:vAlign w:val="center"/>
          </w:tcPr>
          <w:p w14:paraId="70129E7B">
            <w:pPr>
              <w:spacing w:line="520" w:lineRule="exact"/>
              <w:rPr>
                <w:rFonts w:eastAsia="仿宋_GB2312"/>
                <w:sz w:val="32"/>
                <w:szCs w:val="32"/>
              </w:rPr>
            </w:pPr>
            <w:r>
              <w:rPr>
                <w:rFonts w:hint="eastAsia" w:eastAsia="仿宋_GB2312"/>
                <w:sz w:val="32"/>
                <w:szCs w:val="32"/>
              </w:rPr>
              <w:t>要求</w:t>
            </w:r>
          </w:p>
        </w:tc>
      </w:tr>
      <w:tr w14:paraId="33C3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BAB42D2">
            <w:pPr>
              <w:spacing w:line="520" w:lineRule="exact"/>
              <w:rPr>
                <w:rFonts w:eastAsia="仿宋_GB2312"/>
                <w:sz w:val="32"/>
                <w:szCs w:val="32"/>
              </w:rPr>
            </w:pPr>
            <w:r>
              <w:rPr>
                <w:rFonts w:hint="eastAsia" w:eastAsia="仿宋_GB2312"/>
                <w:sz w:val="32"/>
                <w:szCs w:val="32"/>
              </w:rPr>
              <w:t>分析模块</w:t>
            </w:r>
          </w:p>
          <w:p w14:paraId="342F484F">
            <w:pPr>
              <w:spacing w:line="520" w:lineRule="exact"/>
              <w:rPr>
                <w:rFonts w:eastAsia="仿宋_GB2312"/>
                <w:sz w:val="32"/>
                <w:szCs w:val="32"/>
              </w:rPr>
            </w:pPr>
            <w:r>
              <w:rPr>
                <w:rFonts w:hint="eastAsia" w:eastAsia="仿宋_GB2312"/>
                <w:sz w:val="32"/>
                <w:szCs w:val="32"/>
              </w:rPr>
              <w:t>技术一致性</w:t>
            </w:r>
          </w:p>
        </w:tc>
        <w:tc>
          <w:tcPr>
            <w:tcW w:w="6882" w:type="dxa"/>
            <w:vAlign w:val="center"/>
          </w:tcPr>
          <w:p w14:paraId="14F5C642">
            <w:pPr>
              <w:spacing w:line="520" w:lineRule="exact"/>
              <w:rPr>
                <w:rFonts w:eastAsia="仿宋_GB2312"/>
                <w:sz w:val="32"/>
                <w:szCs w:val="32"/>
              </w:rPr>
            </w:pPr>
            <w:r>
              <w:rPr>
                <w:rFonts w:hint="eastAsia" w:eastAsia="仿宋_GB2312"/>
                <w:sz w:val="32"/>
                <w:szCs w:val="32"/>
              </w:rPr>
              <w:t>生化免疫分析仪器中所有分析模块，按照各自单机指导原则，属于同一技术系列（即技术原理、结构组成、关键部件相近，可归入同一注册单元）</w:t>
            </w:r>
          </w:p>
        </w:tc>
      </w:tr>
    </w:tbl>
    <w:p w14:paraId="1D27D4D3">
      <w:pPr>
        <w:spacing w:line="520" w:lineRule="exact"/>
        <w:ind w:firstLine="640" w:firstLineChars="200"/>
        <w:rPr>
          <w:rFonts w:eastAsia="仿宋_GB2312"/>
          <w:sz w:val="32"/>
          <w:szCs w:val="32"/>
        </w:rPr>
      </w:pPr>
      <w:r>
        <w:rPr>
          <w:rFonts w:eastAsia="仿宋_GB2312"/>
          <w:kern w:val="0"/>
          <w:sz w:val="32"/>
          <w:szCs w:val="32"/>
        </w:rPr>
        <w:t>单一功能模块数量不同导致样本处理量存在差异的产品可以作为同一注册单元。</w:t>
      </w:r>
    </w:p>
    <w:p w14:paraId="1C1C5754">
      <w:pPr>
        <w:spacing w:line="520" w:lineRule="exact"/>
        <w:ind w:firstLine="640" w:firstLineChars="200"/>
        <w:outlineLvl w:val="2"/>
        <w:rPr>
          <w:rFonts w:hint="eastAsia" w:eastAsia="仿宋_GB2312"/>
          <w:sz w:val="32"/>
          <w:szCs w:val="32"/>
        </w:rPr>
      </w:pPr>
      <w:r>
        <w:rPr>
          <w:rFonts w:hint="eastAsia" w:eastAsia="仿宋_GB2312"/>
          <w:sz w:val="32"/>
          <w:szCs w:val="32"/>
        </w:rPr>
        <w:t>3.2不同注册单元的判定</w:t>
      </w:r>
    </w:p>
    <w:p w14:paraId="064EFF98">
      <w:pPr>
        <w:spacing w:line="520" w:lineRule="exact"/>
        <w:ind w:firstLine="640" w:firstLineChars="200"/>
        <w:rPr>
          <w:rFonts w:eastAsia="仿宋_GB2312"/>
          <w:sz w:val="32"/>
          <w:szCs w:val="32"/>
        </w:rPr>
      </w:pPr>
      <w:r>
        <w:rPr>
          <w:rFonts w:eastAsia="仿宋_GB2312"/>
          <w:sz w:val="32"/>
          <w:szCs w:val="32"/>
        </w:rPr>
        <w:t>符合以下条件的产品，原则上应划分为不同的注册单元：</w:t>
      </w:r>
    </w:p>
    <w:p w14:paraId="1FB02809">
      <w:pPr>
        <w:spacing w:line="520" w:lineRule="exact"/>
        <w:ind w:firstLine="640" w:firstLineChars="200"/>
        <w:rPr>
          <w:rFonts w:eastAsia="仿宋_GB2312"/>
          <w:sz w:val="32"/>
          <w:szCs w:val="32"/>
        </w:rPr>
      </w:pPr>
      <w:r>
        <w:rPr>
          <w:rFonts w:hint="eastAsia" w:eastAsia="仿宋_GB2312"/>
          <w:sz w:val="32"/>
          <w:szCs w:val="32"/>
        </w:rPr>
        <w:t>分析模块技术原理存在本质差异，生化免疫分析仪器</w:t>
      </w:r>
      <w:r>
        <w:rPr>
          <w:rFonts w:eastAsia="仿宋_GB2312"/>
          <w:sz w:val="32"/>
          <w:szCs w:val="32"/>
        </w:rPr>
        <w:t>中的免疫模块和生化模块，其注册单元归属应分别遵循相应单机指导原则的规定。若分析模块本身的技术原理存在本质差异（按单机指导原则应划分为不同注册单元），则</w:t>
      </w:r>
      <w:r>
        <w:rPr>
          <w:rFonts w:hint="eastAsia" w:eastAsia="仿宋_GB2312"/>
          <w:sz w:val="32"/>
          <w:szCs w:val="32"/>
        </w:rPr>
        <w:t>生化免疫分析仪器</w:t>
      </w:r>
      <w:r>
        <w:rPr>
          <w:rFonts w:eastAsia="仿宋_GB2312"/>
          <w:sz w:val="32"/>
          <w:szCs w:val="32"/>
        </w:rPr>
        <w:t>也应划分为不同的注册单元：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7"/>
        <w:gridCol w:w="2913"/>
      </w:tblGrid>
      <w:tr w14:paraId="24AA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14:paraId="43FCB57D">
            <w:pPr>
              <w:spacing w:line="520" w:lineRule="exact"/>
              <w:rPr>
                <w:rFonts w:eastAsia="仿宋_GB2312"/>
                <w:sz w:val="32"/>
                <w:szCs w:val="32"/>
              </w:rPr>
            </w:pPr>
            <w:r>
              <w:rPr>
                <w:rFonts w:hint="eastAsia" w:eastAsia="仿宋_GB2312"/>
                <w:sz w:val="32"/>
                <w:szCs w:val="32"/>
              </w:rPr>
              <w:t>情形</w:t>
            </w:r>
          </w:p>
        </w:tc>
        <w:tc>
          <w:tcPr>
            <w:tcW w:w="2913" w:type="dxa"/>
          </w:tcPr>
          <w:p w14:paraId="50CB5C8B">
            <w:pPr>
              <w:spacing w:line="520" w:lineRule="exact"/>
              <w:rPr>
                <w:rFonts w:eastAsia="仿宋_GB2312"/>
                <w:sz w:val="32"/>
                <w:szCs w:val="32"/>
              </w:rPr>
            </w:pPr>
            <w:r>
              <w:rPr>
                <w:rFonts w:hint="eastAsia" w:eastAsia="仿宋_GB2312"/>
                <w:sz w:val="32"/>
                <w:szCs w:val="32"/>
              </w:rPr>
              <w:t>划分原则</w:t>
            </w:r>
          </w:p>
        </w:tc>
      </w:tr>
      <w:tr w14:paraId="7AD0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14:paraId="2D0343F1">
            <w:pPr>
              <w:spacing w:line="520" w:lineRule="exact"/>
              <w:rPr>
                <w:rFonts w:eastAsia="仿宋_GB2312"/>
                <w:sz w:val="32"/>
                <w:szCs w:val="32"/>
              </w:rPr>
            </w:pPr>
            <w:r>
              <w:rPr>
                <w:rFonts w:hint="eastAsia" w:eastAsia="仿宋_GB2312"/>
                <w:sz w:val="32"/>
                <w:szCs w:val="32"/>
              </w:rPr>
              <w:t>生化免疫分析仪器</w:t>
            </w:r>
            <w:r>
              <w:rPr>
                <w:rFonts w:eastAsia="仿宋_GB2312"/>
                <w:sz w:val="32"/>
                <w:szCs w:val="32"/>
              </w:rPr>
              <w:t>中包含的免疫模块，按免疫指导原则应划分为不同注册单元</w:t>
            </w:r>
          </w:p>
        </w:tc>
        <w:tc>
          <w:tcPr>
            <w:tcW w:w="2913" w:type="dxa"/>
          </w:tcPr>
          <w:p w14:paraId="71523BE1">
            <w:pPr>
              <w:spacing w:line="520" w:lineRule="exact"/>
              <w:rPr>
                <w:rFonts w:eastAsia="仿宋_GB2312"/>
                <w:sz w:val="32"/>
                <w:szCs w:val="32"/>
              </w:rPr>
            </w:pPr>
            <w:r>
              <w:rPr>
                <w:rFonts w:hint="eastAsia" w:eastAsia="仿宋_GB2312"/>
                <w:sz w:val="32"/>
                <w:szCs w:val="32"/>
              </w:rPr>
              <w:t>不同注册单元</w:t>
            </w:r>
          </w:p>
        </w:tc>
      </w:tr>
      <w:tr w14:paraId="29AA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14:paraId="1DFFC279">
            <w:pPr>
              <w:spacing w:line="520" w:lineRule="exact"/>
              <w:rPr>
                <w:rFonts w:eastAsia="仿宋_GB2312"/>
                <w:sz w:val="32"/>
                <w:szCs w:val="32"/>
              </w:rPr>
            </w:pPr>
            <w:r>
              <w:rPr>
                <w:rFonts w:hint="eastAsia" w:eastAsia="仿宋_GB2312"/>
                <w:sz w:val="32"/>
                <w:szCs w:val="32"/>
              </w:rPr>
              <w:t>生化免疫分析仪器</w:t>
            </w:r>
            <w:r>
              <w:rPr>
                <w:rFonts w:eastAsia="仿宋_GB2312"/>
                <w:sz w:val="32"/>
                <w:szCs w:val="32"/>
              </w:rPr>
              <w:t>中包含的生化模块，按生化指导原则应划分为不同注册单元</w:t>
            </w:r>
          </w:p>
        </w:tc>
        <w:tc>
          <w:tcPr>
            <w:tcW w:w="2913" w:type="dxa"/>
          </w:tcPr>
          <w:p w14:paraId="77D4616A">
            <w:pPr>
              <w:spacing w:line="520" w:lineRule="exact"/>
              <w:rPr>
                <w:rFonts w:eastAsia="仿宋_GB2312"/>
                <w:sz w:val="32"/>
                <w:szCs w:val="32"/>
              </w:rPr>
            </w:pPr>
            <w:r>
              <w:rPr>
                <w:rFonts w:hint="eastAsia" w:eastAsia="仿宋_GB2312"/>
                <w:sz w:val="32"/>
                <w:szCs w:val="32"/>
              </w:rPr>
              <w:t>不同注册单元</w:t>
            </w:r>
          </w:p>
        </w:tc>
      </w:tr>
      <w:tr w14:paraId="0155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14:paraId="7B0023EF">
            <w:pPr>
              <w:spacing w:line="520" w:lineRule="exact"/>
              <w:rPr>
                <w:rFonts w:eastAsia="仿宋_GB2312"/>
                <w:sz w:val="32"/>
                <w:szCs w:val="32"/>
              </w:rPr>
            </w:pPr>
            <w:r>
              <w:rPr>
                <w:rFonts w:eastAsia="仿宋_GB2312"/>
                <w:sz w:val="32"/>
                <w:szCs w:val="32"/>
              </w:rPr>
              <w:t>同时存在上述两种情形</w:t>
            </w:r>
          </w:p>
        </w:tc>
        <w:tc>
          <w:tcPr>
            <w:tcW w:w="2913" w:type="dxa"/>
          </w:tcPr>
          <w:p w14:paraId="4F6F712C">
            <w:pPr>
              <w:spacing w:line="520" w:lineRule="exact"/>
              <w:rPr>
                <w:rFonts w:eastAsia="仿宋_GB2312"/>
                <w:sz w:val="32"/>
                <w:szCs w:val="32"/>
              </w:rPr>
            </w:pPr>
            <w:r>
              <w:rPr>
                <w:rFonts w:hint="eastAsia" w:eastAsia="仿宋_GB2312"/>
                <w:sz w:val="32"/>
                <w:szCs w:val="32"/>
              </w:rPr>
              <w:t>不同注册单元</w:t>
            </w:r>
          </w:p>
        </w:tc>
      </w:tr>
    </w:tbl>
    <w:p w14:paraId="4A2E1C75">
      <w:pPr>
        <w:spacing w:line="520" w:lineRule="exact"/>
        <w:ind w:firstLine="640" w:firstLineChars="200"/>
        <w:rPr>
          <w:rFonts w:eastAsia="仿宋_GB2312"/>
          <w:sz w:val="32"/>
          <w:szCs w:val="32"/>
        </w:rPr>
      </w:pPr>
      <w:r>
        <w:rPr>
          <w:rFonts w:hint="eastAsia" w:eastAsia="仿宋_GB2312"/>
          <w:sz w:val="32"/>
          <w:szCs w:val="32"/>
        </w:rPr>
        <w:t>示例：企业开发了两款生化免疫分析仪器：产品A的免疫模块采用吖啶酯直接化学发光；产品B的免疫模块采用ALP/AMPPD酶促化学发光。根据《全自动化学发光免疫分析仪注册审查指导原则》，化学发光反应类型不同的免疫模块应划分为不同的注册单元。因此，产品A与产品B分别与同一款生化分析模块，组成的生化免疫分析仪器，应划分为不同注册单元。同理，两款划分在不同注册单元的生化分析模块，与同一款免疫分析模块组成的生化免疫分析仪器，也应划分为不同注册单元。</w:t>
      </w:r>
    </w:p>
    <w:p w14:paraId="6606A1AC">
      <w:pPr>
        <w:spacing w:line="520" w:lineRule="exact"/>
        <w:ind w:right="-67" w:rightChars="-32" w:firstLine="640" w:firstLineChars="200"/>
        <w:outlineLvl w:val="1"/>
        <w:rPr>
          <w:rFonts w:eastAsia="楷体_GB2312"/>
          <w:sz w:val="32"/>
          <w:szCs w:val="32"/>
        </w:rPr>
      </w:pPr>
      <w:r>
        <w:rPr>
          <w:rFonts w:eastAsia="楷体_GB2312"/>
          <w:sz w:val="32"/>
          <w:szCs w:val="32"/>
        </w:rPr>
        <w:t>（二）综述资料</w:t>
      </w:r>
    </w:p>
    <w:p w14:paraId="277541BE">
      <w:pPr>
        <w:spacing w:line="520" w:lineRule="exact"/>
        <w:ind w:firstLine="640" w:firstLineChars="200"/>
        <w:outlineLvl w:val="2"/>
        <w:rPr>
          <w:rFonts w:eastAsia="楷体_GB2312"/>
          <w:b/>
        </w:rPr>
      </w:pPr>
      <w:r>
        <w:rPr>
          <w:rFonts w:hint="eastAsia" w:eastAsia="仿宋_GB2312"/>
          <w:sz w:val="32"/>
          <w:szCs w:val="32"/>
        </w:rPr>
        <w:t>1</w:t>
      </w:r>
      <w:r>
        <w:rPr>
          <w:rFonts w:eastAsia="仿宋_GB2312"/>
          <w:sz w:val="32"/>
          <w:szCs w:val="32"/>
        </w:rPr>
        <w:t>.结构组成</w:t>
      </w:r>
    </w:p>
    <w:p w14:paraId="5867CBF8">
      <w:pPr>
        <w:spacing w:line="520" w:lineRule="exact"/>
        <w:ind w:firstLine="640" w:firstLineChars="200"/>
        <w:rPr>
          <w:rFonts w:eastAsia="仿宋_GB2312"/>
          <w:sz w:val="32"/>
          <w:szCs w:val="32"/>
        </w:rPr>
      </w:pPr>
      <w:r>
        <w:rPr>
          <w:rFonts w:hint="eastAsia" w:eastAsia="仿宋_GB2312"/>
          <w:sz w:val="32"/>
          <w:szCs w:val="32"/>
        </w:rPr>
        <w:t>模块化生化免疫分析仪器是由样本管理模块、生化分析模块和免疫分析模块组成。</w:t>
      </w:r>
    </w:p>
    <w:p w14:paraId="2108E0E8">
      <w:pPr>
        <w:spacing w:line="520" w:lineRule="exact"/>
        <w:ind w:firstLine="640" w:firstLineChars="200"/>
        <w:rPr>
          <w:rFonts w:eastAsia="仿宋_GB2312"/>
          <w:sz w:val="32"/>
          <w:szCs w:val="32"/>
        </w:rPr>
      </w:pPr>
      <w:r>
        <w:rPr>
          <w:rFonts w:hint="eastAsia" w:eastAsia="仿宋_GB2312"/>
          <w:sz w:val="32"/>
          <w:szCs w:val="32"/>
        </w:rPr>
        <w:t>其中样本管理模块一般包括：进样管理、样本传输、出样管理功能。按照运行方式，可分为架式、座式等；按照结构，可分为轨道式、磁动式等。</w:t>
      </w:r>
    </w:p>
    <w:p w14:paraId="6CA8E8C3">
      <w:pPr>
        <w:spacing w:line="520" w:lineRule="exact"/>
        <w:ind w:firstLine="640" w:firstLineChars="200"/>
        <w:rPr>
          <w:rFonts w:eastAsia="仿宋_GB2312"/>
          <w:sz w:val="32"/>
          <w:szCs w:val="32"/>
        </w:rPr>
      </w:pPr>
      <w:r>
        <w:rPr>
          <w:rFonts w:hint="eastAsia" w:eastAsia="仿宋_GB2312"/>
          <w:sz w:val="32"/>
          <w:szCs w:val="32"/>
        </w:rPr>
        <w:t>生化分析模块的结构一般按比色池的型式分为分立式或流动式；按单色装置分为滤光片式（干涉滤光片或吸收滤光片）、光栅式、固体发光器件或其他等效方式；按光路型式分为前分光或后分光；按比色容器类型分为循环使用式或一次性使用式。仪器组成一般由光电比色部分、进样系统、控制单元、数据处理系统、清洗系统等。</w:t>
      </w:r>
    </w:p>
    <w:p w14:paraId="26F681CB">
      <w:pPr>
        <w:spacing w:line="520" w:lineRule="exact"/>
        <w:ind w:firstLine="640" w:firstLineChars="200"/>
        <w:rPr>
          <w:rFonts w:eastAsia="仿宋_GB2312"/>
          <w:kern w:val="0"/>
          <w:sz w:val="32"/>
          <w:szCs w:val="32"/>
        </w:rPr>
      </w:pPr>
      <w:r>
        <w:rPr>
          <w:rFonts w:eastAsia="仿宋_GB2312"/>
          <w:kern w:val="0"/>
          <w:sz w:val="32"/>
          <w:szCs w:val="32"/>
        </w:rPr>
        <w:t>免疫分析模块主要由材料配备（反应杯、样品/试剂仓、清洗液及废液装置）、液路（真空泵、管道、探针）、温度控制（孵育器、试剂保温器）、机械传动（传感器、轨道、机械臂）、光路检测（PMT）、电路控制（电源、线路板）及软件（程控、数据处理、判定）组成。不同产品结构可能略有差异。</w:t>
      </w:r>
    </w:p>
    <w:p w14:paraId="59DE1373">
      <w:pPr>
        <w:spacing w:line="520" w:lineRule="exact"/>
        <w:ind w:firstLine="640" w:firstLineChars="200"/>
        <w:rPr>
          <w:rFonts w:eastAsia="仿宋_GB2312"/>
          <w:kern w:val="0"/>
          <w:sz w:val="32"/>
          <w:szCs w:val="32"/>
        </w:rPr>
      </w:pPr>
      <w:r>
        <w:rPr>
          <w:rFonts w:eastAsia="仿宋_GB2312"/>
          <w:kern w:val="0"/>
          <w:sz w:val="32"/>
          <w:szCs w:val="32"/>
        </w:rPr>
        <w:t>申请人应当根据拟申报产品的具体特征详细描述各组成模块、各模块的具体组成部分以及各关键元器件/部件的名称、生产企业和质量标准，并详细描述申报产品的主要功能及各组成模块的功能，可以采用图示结合文字描述的形式给予明确说明。</w:t>
      </w:r>
    </w:p>
    <w:p w14:paraId="379D004A">
      <w:pPr>
        <w:spacing w:line="520" w:lineRule="exact"/>
        <w:ind w:firstLine="640" w:firstLineChars="200"/>
        <w:rPr>
          <w:rFonts w:eastAsia="仿宋_GB2312"/>
          <w:sz w:val="32"/>
          <w:szCs w:val="32"/>
        </w:rPr>
      </w:pPr>
      <w:r>
        <w:rPr>
          <w:rFonts w:eastAsia="仿宋_GB2312"/>
          <w:sz w:val="32"/>
          <w:szCs w:val="32"/>
        </w:rPr>
        <w:t xml:space="preserve">产品图示举例： </w:t>
      </w:r>
    </w:p>
    <w:p w14:paraId="1D20E4BC">
      <w:pPr>
        <w:pStyle w:val="10"/>
        <w:jc w:val="center"/>
        <w:rPr>
          <w:rFonts w:ascii="宋体" w:hAnsi="宋体" w:cs="宋体"/>
          <w:kern w:val="0"/>
        </w:rPr>
      </w:pPr>
      <w:r>
        <w:rPr>
          <w:rFonts w:hint="eastAsia" w:eastAsia="仿宋_GB2312"/>
          <w:sz w:val="32"/>
          <w:szCs w:val="32"/>
          <w:lang w:eastAsia="zh-CN"/>
        </w:rPr>
        <w:drawing>
          <wp:inline distT="0" distB="0" distL="114300" distR="114300">
            <wp:extent cx="4945380" cy="2261235"/>
            <wp:effectExtent l="0" t="0" r="7620" b="12065"/>
            <wp:docPr id="3" name="图片 3" descr="74b889b15750b7bf1e401e519393a6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4b889b15750b7bf1e401e519393a6e4"/>
                    <pic:cNvPicPr>
                      <a:picLocks noChangeAspect="1"/>
                    </pic:cNvPicPr>
                  </pic:nvPicPr>
                  <pic:blipFill>
                    <a:blip r:embed="rId6"/>
                    <a:stretch>
                      <a:fillRect/>
                    </a:stretch>
                  </pic:blipFill>
                  <pic:spPr>
                    <a:xfrm>
                      <a:off x="0" y="0"/>
                      <a:ext cx="4945380" cy="2261235"/>
                    </a:xfrm>
                    <a:prstGeom prst="rect">
                      <a:avLst/>
                    </a:prstGeom>
                  </pic:spPr>
                </pic:pic>
              </a:graphicData>
            </a:graphic>
          </wp:inline>
        </w:drawing>
      </w:r>
    </w:p>
    <w:p w14:paraId="516EF49F">
      <w:pPr>
        <w:spacing w:before="156" w:beforeLines="50" w:line="520" w:lineRule="exact"/>
        <w:jc w:val="center"/>
        <w:rPr>
          <w:rFonts w:eastAsia="仿宋_GB2312"/>
          <w:sz w:val="32"/>
          <w:szCs w:val="32"/>
        </w:rPr>
      </w:pPr>
      <w:r>
        <w:rPr>
          <w:rFonts w:eastAsia="黑体"/>
          <w:kern w:val="0"/>
          <w:sz w:val="28"/>
          <w:szCs w:val="28"/>
        </w:rPr>
        <w:t xml:space="preserve">     图1</w:t>
      </w:r>
      <w:r>
        <w:rPr>
          <w:rFonts w:hint="eastAsia" w:eastAsia="黑体"/>
          <w:kern w:val="0"/>
          <w:sz w:val="28"/>
          <w:szCs w:val="28"/>
        </w:rPr>
        <w:t>模块化生化免疫分析仪器</w:t>
      </w:r>
    </w:p>
    <w:p w14:paraId="28AB56C6">
      <w:pPr>
        <w:ind w:firstLine="640" w:firstLineChars="200"/>
        <w:rPr>
          <w:rFonts w:eastAsia="仿宋_GB2312"/>
          <w:sz w:val="32"/>
          <w:szCs w:val="32"/>
        </w:rPr>
      </w:pPr>
      <w:r>
        <w:rPr>
          <w:rFonts w:hint="eastAsia" w:eastAsia="仿宋_GB2312"/>
          <w:sz w:val="32"/>
          <w:szCs w:val="32"/>
        </w:rPr>
        <w:t>2</w:t>
      </w:r>
      <w:r>
        <w:rPr>
          <w:rFonts w:eastAsia="仿宋_GB2312"/>
          <w:sz w:val="32"/>
          <w:szCs w:val="32"/>
        </w:rPr>
        <w:t>.</w:t>
      </w:r>
      <w:r>
        <w:rPr>
          <w:rFonts w:hint="eastAsia" w:eastAsia="仿宋_GB2312"/>
          <w:sz w:val="32"/>
          <w:szCs w:val="32"/>
        </w:rPr>
        <w:t>工作原理</w:t>
      </w:r>
    </w:p>
    <w:p w14:paraId="502CA9B1">
      <w:pPr>
        <w:tabs>
          <w:tab w:val="left" w:pos="8040"/>
        </w:tabs>
        <w:adjustRightInd w:val="0"/>
        <w:snapToGrid w:val="0"/>
        <w:spacing w:line="520" w:lineRule="exact"/>
        <w:ind w:firstLine="640" w:firstLineChars="200"/>
        <w:rPr>
          <w:rFonts w:eastAsia="仿宋_GB2312"/>
          <w:sz w:val="32"/>
          <w:szCs w:val="32"/>
        </w:rPr>
      </w:pPr>
      <w:r>
        <w:rPr>
          <w:rFonts w:hint="eastAsia" w:eastAsia="仿宋_GB2312"/>
          <w:sz w:val="32"/>
          <w:szCs w:val="32"/>
        </w:rPr>
        <w:t>生化免疫分析仪器应具有至少一组通用的样本管理调度模块，负责管理所有样本从进入系统到完成检测的全过程，确保流程高效、有序。它通过样本识别与信息获取、样本传输路径规划、样本传递执行与动态调度等原理，通过轨道、机械手等运动传输装置，实现样本的装载、识别、规划、检测执行、样本回收。</w:t>
      </w:r>
    </w:p>
    <w:p w14:paraId="5C76DB3E">
      <w:pPr>
        <w:tabs>
          <w:tab w:val="left" w:pos="8040"/>
        </w:tabs>
        <w:adjustRightInd w:val="0"/>
        <w:snapToGrid w:val="0"/>
        <w:spacing w:line="520" w:lineRule="exact"/>
        <w:ind w:firstLine="640" w:firstLineChars="200"/>
        <w:rPr>
          <w:rFonts w:eastAsia="仿宋_GB2312"/>
          <w:sz w:val="32"/>
          <w:szCs w:val="32"/>
        </w:rPr>
      </w:pPr>
      <w:r>
        <w:rPr>
          <w:rFonts w:hint="eastAsia" w:eastAsia="仿宋_GB2312"/>
          <w:sz w:val="32"/>
          <w:szCs w:val="32"/>
        </w:rPr>
        <w:t>生化分析模块的设计理论依据：根据物质在紫外、红外、可见光区产生的特征吸收光谱和朗伯</w:t>
      </w:r>
      <w:r>
        <w:rPr>
          <w:rFonts w:hint="eastAsia" w:eastAsia="仿宋_GB2312"/>
          <w:sz w:val="32"/>
          <w:szCs w:val="32"/>
        </w:rPr>
        <w:softHyphen/>
      </w:r>
      <w:r>
        <w:rPr>
          <w:rFonts w:hint="eastAsia" w:eastAsia="仿宋_GB2312"/>
          <w:sz w:val="32"/>
          <w:szCs w:val="32"/>
        </w:rPr>
        <w:t>比尔定律的原理，用未知浓度的样品与已知浓度标准物质比较或根据摩尔吸光系数方法进行定量分析。工作原理主要为以一束单色光/白光射入被检测液体，透过被测液体的光信号被检测后转换成电信号，对该信号进行适当转换及运算处理，参照标准曲线，从而可得到被测液体的浓度。</w:t>
      </w:r>
    </w:p>
    <w:p w14:paraId="56C5C199">
      <w:pPr>
        <w:tabs>
          <w:tab w:val="left" w:pos="8040"/>
        </w:tabs>
        <w:adjustRightInd w:val="0"/>
        <w:snapToGrid w:val="0"/>
        <w:spacing w:line="520" w:lineRule="exact"/>
        <w:ind w:firstLine="640" w:firstLineChars="200"/>
        <w:rPr>
          <w:rFonts w:eastAsia="仿宋_GB2312"/>
          <w:sz w:val="32"/>
          <w:szCs w:val="32"/>
        </w:rPr>
      </w:pPr>
      <w:r>
        <w:rPr>
          <w:rFonts w:hint="eastAsia" w:eastAsia="仿宋_GB2312"/>
          <w:sz w:val="32"/>
          <w:szCs w:val="32"/>
        </w:rPr>
        <w:t>免疫分析基于抗原-抗体特异性结合，通过标记放大与信号检测实现定性和/或定量分析。化学发光免疫分析包括化学发光和免疫反应两部分：前者利用鲁米诺</w:t>
      </w:r>
      <w:r>
        <w:rPr>
          <w:rFonts w:eastAsia="仿宋_GB2312"/>
          <w:sz w:val="32"/>
          <w:szCs w:val="32"/>
        </w:rPr>
        <w:t>（luminol）</w:t>
      </w:r>
      <w:r>
        <w:rPr>
          <w:rFonts w:hint="eastAsia" w:eastAsia="仿宋_GB2312"/>
          <w:sz w:val="32"/>
          <w:szCs w:val="32"/>
        </w:rPr>
        <w:t>、</w:t>
      </w:r>
      <w:r>
        <w:rPr>
          <w:rFonts w:eastAsia="仿宋_GB2312"/>
          <w:sz w:val="32"/>
          <w:szCs w:val="32"/>
        </w:rPr>
        <w:t>金刚烷（AMPPD）</w:t>
      </w:r>
      <w:r>
        <w:rPr>
          <w:rFonts w:hint="eastAsia" w:eastAsia="仿宋_GB2312"/>
          <w:sz w:val="32"/>
          <w:szCs w:val="32"/>
        </w:rPr>
        <w:t>、吖啶酯</w:t>
      </w:r>
      <w:r>
        <w:rPr>
          <w:rFonts w:eastAsia="仿宋_GB2312"/>
          <w:sz w:val="32"/>
          <w:szCs w:val="32"/>
        </w:rPr>
        <w:t>（AE）</w:t>
      </w:r>
      <w:r>
        <w:rPr>
          <w:rFonts w:hint="eastAsia" w:eastAsia="仿宋_GB2312"/>
          <w:sz w:val="32"/>
          <w:szCs w:val="32"/>
        </w:rPr>
        <w:t>等化合物经氧化或催化后发射光子，由光检测装置测量光信号；后者可采用夹心法、竞争法、捕获法等模式，将发光物质标记于抗原/抗体或借助酶促底物，使光信号强度与待测物浓度成正比。</w:t>
      </w:r>
    </w:p>
    <w:p w14:paraId="7BA0EFE2">
      <w:pPr>
        <w:tabs>
          <w:tab w:val="left" w:pos="8040"/>
        </w:tabs>
        <w:adjustRightInd w:val="0"/>
        <w:snapToGrid w:val="0"/>
        <w:spacing w:line="520" w:lineRule="exact"/>
        <w:ind w:firstLine="640" w:firstLineChars="200"/>
        <w:rPr>
          <w:rFonts w:eastAsia="仿宋_GB2312"/>
          <w:kern w:val="0"/>
          <w:sz w:val="32"/>
          <w:szCs w:val="32"/>
        </w:rPr>
      </w:pPr>
      <w:r>
        <w:rPr>
          <w:rFonts w:eastAsia="仿宋_GB2312"/>
          <w:kern w:val="0"/>
          <w:sz w:val="32"/>
          <w:szCs w:val="32"/>
        </w:rPr>
        <w:t>无论基于何种化学发光免疫原理和免疫反应模式，其最终结果均需要通过光检测装置检测反应的光强度，通过软件</w:t>
      </w:r>
      <w:r>
        <w:rPr>
          <w:rFonts w:hint="eastAsia" w:eastAsia="仿宋_GB2312"/>
          <w:kern w:val="0"/>
          <w:sz w:val="32"/>
          <w:szCs w:val="32"/>
        </w:rPr>
        <w:t>组件</w:t>
      </w:r>
      <w:r>
        <w:rPr>
          <w:rFonts w:eastAsia="仿宋_GB2312"/>
          <w:kern w:val="0"/>
          <w:sz w:val="32"/>
          <w:szCs w:val="32"/>
        </w:rPr>
        <w:t>将发光强度转化为被分析物的浓度。目前，</w:t>
      </w:r>
      <w:r>
        <w:rPr>
          <w:rFonts w:eastAsia="仿宋_GB2312"/>
          <w:sz w:val="32"/>
          <w:szCs w:val="32"/>
        </w:rPr>
        <w:t>化学发光免疫分析仪器中核心探测器件为光电倍增管（PMT）或其他高灵敏度传感器，由单光子检测并传输至放大器，并加高压电流放大，放大器将模拟信号转化为数字信号，数字信号将发光信号传输给数据处理软件并加以计算，得出</w:t>
      </w:r>
      <w:r>
        <w:rPr>
          <w:rFonts w:eastAsia="仿宋_GB2312"/>
          <w:kern w:val="0"/>
          <w:sz w:val="32"/>
          <w:szCs w:val="32"/>
        </w:rPr>
        <w:t>被分析物的浓度</w:t>
      </w:r>
      <w:r>
        <w:rPr>
          <w:rFonts w:eastAsia="仿宋_GB2312"/>
          <w:sz w:val="32"/>
          <w:szCs w:val="32"/>
        </w:rPr>
        <w:t>。</w:t>
      </w:r>
    </w:p>
    <w:p w14:paraId="681FA11E">
      <w:pPr>
        <w:spacing w:line="520" w:lineRule="exact"/>
        <w:ind w:firstLine="640" w:firstLineChars="200"/>
        <w:rPr>
          <w:rFonts w:eastAsia="仿宋_GB2312"/>
          <w:kern w:val="0"/>
          <w:sz w:val="32"/>
          <w:szCs w:val="32"/>
        </w:rPr>
      </w:pPr>
      <w:r>
        <w:rPr>
          <w:rFonts w:eastAsia="仿宋_GB2312"/>
          <w:kern w:val="0"/>
          <w:sz w:val="32"/>
          <w:szCs w:val="32"/>
        </w:rPr>
        <w:t>申请人应当根据申报产品的特点按照反应步骤写明工作原理，重点对</w:t>
      </w:r>
      <w:r>
        <w:rPr>
          <w:rFonts w:hint="eastAsia" w:eastAsia="仿宋_GB2312"/>
          <w:kern w:val="0"/>
          <w:sz w:val="32"/>
          <w:szCs w:val="32"/>
        </w:rPr>
        <w:t>样本管理调度装置、生化反应及检测装置、</w:t>
      </w:r>
      <w:r>
        <w:rPr>
          <w:rFonts w:eastAsia="仿宋_GB2312"/>
          <w:kern w:val="0"/>
          <w:sz w:val="32"/>
          <w:szCs w:val="32"/>
        </w:rPr>
        <w:t>化学</w:t>
      </w:r>
      <w:r>
        <w:rPr>
          <w:rFonts w:hint="eastAsia" w:eastAsia="仿宋_GB2312"/>
          <w:kern w:val="0"/>
          <w:sz w:val="32"/>
          <w:szCs w:val="32"/>
        </w:rPr>
        <w:t>发光</w:t>
      </w:r>
      <w:r>
        <w:rPr>
          <w:rFonts w:eastAsia="仿宋_GB2312"/>
          <w:kern w:val="0"/>
          <w:sz w:val="32"/>
          <w:szCs w:val="32"/>
        </w:rPr>
        <w:t>免疫</w:t>
      </w:r>
      <w:r>
        <w:rPr>
          <w:rFonts w:hint="eastAsia" w:eastAsia="仿宋_GB2312"/>
          <w:kern w:val="0"/>
          <w:sz w:val="32"/>
          <w:szCs w:val="32"/>
        </w:rPr>
        <w:t>分析</w:t>
      </w:r>
      <w:r>
        <w:rPr>
          <w:rFonts w:eastAsia="仿宋_GB2312"/>
          <w:kern w:val="0"/>
          <w:sz w:val="32"/>
          <w:szCs w:val="32"/>
        </w:rPr>
        <w:t>及光检测装置进行详细描述，免疫反应部分应采用文字加图示的方式对申报产品能够进行的反应类型分别描述，光检测装置部分应结合申报产品采用发光剂的具体情况进行描述，并写明申报产品区别于其他同类已上市产品的特征（可以表格形式逐条进行描述）。</w:t>
      </w:r>
    </w:p>
    <w:p w14:paraId="2074EB05">
      <w:pPr>
        <w:spacing w:line="520" w:lineRule="exact"/>
        <w:ind w:firstLine="640" w:firstLineChars="200"/>
        <w:rPr>
          <w:rFonts w:eastAsia="仿宋_GB2312"/>
          <w:sz w:val="32"/>
          <w:szCs w:val="32"/>
        </w:rPr>
      </w:pPr>
      <w:r>
        <w:rPr>
          <w:rFonts w:eastAsia="仿宋_GB2312"/>
          <w:sz w:val="32"/>
          <w:szCs w:val="32"/>
        </w:rPr>
        <w:t>因该产品为非治疗类医疗器械，故本指导原则不包含产品作用机理的内容。</w:t>
      </w:r>
    </w:p>
    <w:p w14:paraId="4068E09B">
      <w:pPr>
        <w:spacing w:line="520" w:lineRule="exact"/>
        <w:ind w:firstLine="640" w:firstLineChars="200"/>
        <w:rPr>
          <w:rFonts w:eastAsia="仿宋_GB2312"/>
          <w:kern w:val="0"/>
          <w:sz w:val="32"/>
          <w:szCs w:val="32"/>
        </w:rPr>
      </w:pPr>
      <w:r>
        <w:rPr>
          <w:rFonts w:hint="eastAsia" w:eastAsia="仿宋_GB2312"/>
          <w:sz w:val="32"/>
          <w:szCs w:val="32"/>
        </w:rPr>
        <w:t>3</w:t>
      </w:r>
      <w:r>
        <w:rPr>
          <w:rFonts w:eastAsia="仿宋_GB2312"/>
          <w:sz w:val="32"/>
          <w:szCs w:val="32"/>
        </w:rPr>
        <w:t>.</w:t>
      </w:r>
      <w:r>
        <w:rPr>
          <w:rFonts w:eastAsia="仿宋_GB2312"/>
          <w:kern w:val="0"/>
          <w:sz w:val="32"/>
          <w:szCs w:val="32"/>
        </w:rPr>
        <w:t>产品型号规格</w:t>
      </w:r>
    </w:p>
    <w:p w14:paraId="127D6038">
      <w:pPr>
        <w:spacing w:line="520" w:lineRule="exact"/>
        <w:ind w:firstLine="640" w:firstLineChars="200"/>
        <w:rPr>
          <w:rFonts w:eastAsia="仿宋_GB2312"/>
          <w:kern w:val="0"/>
          <w:sz w:val="32"/>
          <w:szCs w:val="32"/>
        </w:rPr>
      </w:pPr>
      <w:r>
        <w:rPr>
          <w:rFonts w:eastAsia="仿宋_GB2312"/>
          <w:kern w:val="0"/>
          <w:sz w:val="32"/>
          <w:szCs w:val="32"/>
        </w:rPr>
        <w:t>对于同一注册单元申报产品存在多种型号规格的，应当明确各型号规格之间的区别，应当采用表格加说明性文字的图片、图表，对各型号规格的结构组成</w:t>
      </w:r>
      <w:r>
        <w:rPr>
          <w:rFonts w:eastAsia="仿宋_GB2312"/>
          <w:sz w:val="32"/>
          <w:szCs w:val="32"/>
        </w:rPr>
        <w:t>（或配置）</w:t>
      </w:r>
      <w:r>
        <w:rPr>
          <w:rFonts w:eastAsia="仿宋_GB2312"/>
          <w:kern w:val="0"/>
          <w:sz w:val="32"/>
          <w:szCs w:val="32"/>
        </w:rPr>
        <w:t>、功能、</w:t>
      </w:r>
      <w:r>
        <w:rPr>
          <w:rFonts w:eastAsia="仿宋_GB2312"/>
          <w:sz w:val="32"/>
          <w:szCs w:val="32"/>
        </w:rPr>
        <w:t>产品特征和运行模式、技术参数、</w:t>
      </w:r>
      <w:r>
        <w:rPr>
          <w:rFonts w:eastAsia="仿宋_GB2312"/>
          <w:kern w:val="0"/>
          <w:sz w:val="32"/>
          <w:szCs w:val="32"/>
        </w:rPr>
        <w:t>性能指标等方面的差异进行描述。</w:t>
      </w:r>
    </w:p>
    <w:p w14:paraId="6EE109E0">
      <w:pPr>
        <w:spacing w:line="520" w:lineRule="exact"/>
        <w:ind w:firstLine="640" w:firstLineChars="200"/>
        <w:outlineLvl w:val="2"/>
        <w:rPr>
          <w:rFonts w:eastAsia="仿宋_GB2312"/>
          <w:sz w:val="32"/>
          <w:szCs w:val="32"/>
          <w:lang w:eastAsia="zh-Hans"/>
        </w:rPr>
      </w:pPr>
      <w:r>
        <w:rPr>
          <w:rFonts w:hint="eastAsia" w:eastAsia="仿宋_GB2312"/>
          <w:sz w:val="32"/>
          <w:szCs w:val="32"/>
        </w:rPr>
        <w:t>4</w:t>
      </w:r>
      <w:r>
        <w:rPr>
          <w:rFonts w:eastAsia="仿宋_GB2312"/>
          <w:sz w:val="32"/>
          <w:szCs w:val="32"/>
        </w:rPr>
        <w:t>.适用范围和</w:t>
      </w:r>
      <w:r>
        <w:rPr>
          <w:rFonts w:eastAsia="仿宋_GB2312"/>
          <w:sz w:val="32"/>
          <w:szCs w:val="32"/>
          <w:lang w:eastAsia="zh-Hans"/>
        </w:rPr>
        <w:t>禁忌证</w:t>
      </w:r>
    </w:p>
    <w:p w14:paraId="4A44C5CB">
      <w:pPr>
        <w:spacing w:line="520" w:lineRule="exact"/>
        <w:ind w:firstLine="640" w:firstLineChars="200"/>
        <w:rPr>
          <w:rFonts w:eastAsia="仿宋_GB2312"/>
          <w:sz w:val="32"/>
          <w:szCs w:val="32"/>
        </w:rPr>
      </w:pPr>
      <w:r>
        <w:rPr>
          <w:rFonts w:eastAsia="仿宋_GB2312"/>
          <w:kern w:val="0"/>
          <w:sz w:val="32"/>
          <w:szCs w:val="32"/>
        </w:rPr>
        <w:t>明确写明申报产品的预期用途，</w:t>
      </w:r>
      <w:r>
        <w:rPr>
          <w:rFonts w:hint="eastAsia" w:eastAsia="仿宋_GB2312"/>
          <w:kern w:val="0"/>
          <w:sz w:val="32"/>
          <w:szCs w:val="32"/>
        </w:rPr>
        <w:t>如：</w:t>
      </w:r>
      <w:r>
        <w:rPr>
          <w:rFonts w:eastAsia="仿宋_GB2312"/>
          <w:sz w:val="32"/>
          <w:szCs w:val="32"/>
        </w:rPr>
        <w:t>与适配</w:t>
      </w:r>
      <w:r>
        <w:rPr>
          <w:rFonts w:hint="eastAsia" w:eastAsia="仿宋_GB2312"/>
          <w:sz w:val="32"/>
          <w:szCs w:val="32"/>
        </w:rPr>
        <w:t>生化、免疫</w:t>
      </w:r>
      <w:r>
        <w:rPr>
          <w:rFonts w:eastAsia="仿宋_GB2312"/>
          <w:sz w:val="32"/>
          <w:szCs w:val="32"/>
        </w:rPr>
        <w:t>试剂配合使用，用于人体样本中待测物的定性和/或定量分析。</w:t>
      </w:r>
    </w:p>
    <w:p w14:paraId="4B64DA7B">
      <w:pPr>
        <w:spacing w:line="520" w:lineRule="exact"/>
        <w:ind w:firstLine="640" w:firstLineChars="200"/>
        <w:rPr>
          <w:rFonts w:eastAsia="仿宋_GB2312"/>
          <w:sz w:val="32"/>
          <w:szCs w:val="32"/>
        </w:rPr>
      </w:pPr>
      <w:r>
        <w:rPr>
          <w:rFonts w:eastAsia="仿宋_GB2312"/>
          <w:sz w:val="32"/>
          <w:szCs w:val="32"/>
        </w:rPr>
        <w:t>建议描述中说明与配套试剂共同使用，明确被测样本类型和预期检测项目类型。样本类型包括血清、血浆、尿液、脑脊液等临床分析常见的样本类型。预期检测项目类型包括肝功、肾功、离子代谢、血糖、血脂、心肌酶谱、</w:t>
      </w:r>
      <w:r>
        <w:rPr>
          <w:rFonts w:hint="eastAsia" w:eastAsia="仿宋_GB2312"/>
          <w:sz w:val="32"/>
          <w:szCs w:val="32"/>
        </w:rPr>
        <w:t>特定蛋白、甲功、激素、传染病、肿瘤标志物、自身</w:t>
      </w:r>
      <w:r>
        <w:rPr>
          <w:rFonts w:eastAsia="仿宋_GB2312"/>
          <w:sz w:val="32"/>
          <w:szCs w:val="32"/>
        </w:rPr>
        <w:t>免疫</w:t>
      </w:r>
      <w:r>
        <w:rPr>
          <w:rFonts w:hint="eastAsia" w:eastAsia="仿宋_GB2312"/>
          <w:sz w:val="32"/>
          <w:szCs w:val="32"/>
        </w:rPr>
        <w:t>蛋白</w:t>
      </w:r>
      <w:r>
        <w:rPr>
          <w:rFonts w:eastAsia="仿宋_GB2312"/>
          <w:sz w:val="32"/>
          <w:szCs w:val="32"/>
        </w:rPr>
        <w:t>等项目</w:t>
      </w:r>
      <w:r>
        <w:rPr>
          <w:rFonts w:hint="eastAsia" w:eastAsia="仿宋_GB2312"/>
          <w:sz w:val="32"/>
          <w:szCs w:val="32"/>
        </w:rPr>
        <w:t>；项目应当根据研究资料的具体结果写明申报产品可以检测的被分析物的大类名称，如蛋白质、激素、酶类、肿瘤标志物、维生素、药物、过敏原等。</w:t>
      </w:r>
    </w:p>
    <w:p w14:paraId="771E8370">
      <w:pPr>
        <w:spacing w:line="520" w:lineRule="exact"/>
        <w:ind w:firstLine="640" w:firstLineChars="200"/>
        <w:rPr>
          <w:rFonts w:eastAsia="仿宋_GB2312"/>
          <w:kern w:val="0"/>
          <w:sz w:val="32"/>
          <w:szCs w:val="32"/>
        </w:rPr>
      </w:pPr>
      <w:r>
        <w:rPr>
          <w:rFonts w:eastAsia="仿宋_GB2312"/>
          <w:kern w:val="0"/>
          <w:sz w:val="32"/>
          <w:szCs w:val="32"/>
        </w:rPr>
        <w:t>应当依据申报产品</w:t>
      </w:r>
      <w:r>
        <w:rPr>
          <w:rFonts w:hint="eastAsia" w:eastAsia="仿宋_GB2312"/>
          <w:kern w:val="0"/>
          <w:sz w:val="32"/>
          <w:szCs w:val="32"/>
        </w:rPr>
        <w:t>的光学检测原理，写明适用的发光剂类型及具体反应方法</w:t>
      </w:r>
      <w:r>
        <w:rPr>
          <w:rFonts w:eastAsia="仿宋_GB2312"/>
          <w:kern w:val="0"/>
          <w:sz w:val="32"/>
          <w:szCs w:val="32"/>
        </w:rPr>
        <w:t>，如基于吖啶酯的直接化学发光法、基于AMPPD和碱性磷酸酶的间接化学发光法、基于辣根过氧化物酶和鲁米诺的间接化学发光法等；</w:t>
      </w:r>
    </w:p>
    <w:p w14:paraId="68A548F6">
      <w:pPr>
        <w:spacing w:line="52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.1目标用户</w:t>
      </w:r>
    </w:p>
    <w:p w14:paraId="27ECE727">
      <w:pPr>
        <w:spacing w:line="520" w:lineRule="exact"/>
        <w:ind w:firstLine="640" w:firstLineChars="200"/>
        <w:rPr>
          <w:rFonts w:eastAsia="仿宋_GB2312"/>
          <w:sz w:val="32"/>
          <w:szCs w:val="32"/>
        </w:rPr>
      </w:pPr>
      <w:r>
        <w:rPr>
          <w:rFonts w:hint="eastAsia" w:eastAsia="仿宋_GB2312"/>
          <w:sz w:val="32"/>
          <w:szCs w:val="32"/>
        </w:rPr>
        <w:t>明确写明目标用户为经专业培训的医疗卫生机构的检验人员，并写明相关人员操作申报产品应当具备的基本能力要求。</w:t>
      </w:r>
    </w:p>
    <w:p w14:paraId="466C7838">
      <w:pPr>
        <w:spacing w:line="52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.2预期使用环境</w:t>
      </w:r>
    </w:p>
    <w:p w14:paraId="4A4CC6E6">
      <w:pPr>
        <w:spacing w:line="52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.2.1明确写明申报产品预期使用的地点，如医疗卫生机构检验科。</w:t>
      </w:r>
    </w:p>
    <w:p w14:paraId="7E773520">
      <w:pPr>
        <w:spacing w:line="52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.2.2明确写明可能会影响申报产品安全性和有效性的环境条件，即申报产品的正常工作条件，包括温度、湿度、海拔高度、电源要求等，对每一条件均应给出具体的指标要求，如温度范围在10℃～30℃。</w:t>
      </w:r>
    </w:p>
    <w:p w14:paraId="3E3E0915">
      <w:pPr>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 xml:space="preserve">.3 </w:t>
      </w:r>
      <w:r>
        <w:rPr>
          <w:rFonts w:hint="eastAsia" w:eastAsia="仿宋_GB2312"/>
          <w:sz w:val="32"/>
          <w:szCs w:val="32"/>
        </w:rPr>
        <w:t>禁忌</w:t>
      </w:r>
      <w:r>
        <w:rPr>
          <w:rFonts w:hint="eastAsia" w:eastAsia="仿宋_GB2312"/>
          <w:sz w:val="32"/>
          <w:szCs w:val="32"/>
          <w:lang w:val="en-US" w:eastAsia="zh-CN"/>
        </w:rPr>
        <w:t>证</w:t>
      </w:r>
      <w:r>
        <w:rPr>
          <w:rFonts w:hint="eastAsia" w:eastAsia="仿宋_GB2312"/>
          <w:sz w:val="32"/>
          <w:szCs w:val="32"/>
        </w:rPr>
        <w:t>：</w:t>
      </w:r>
      <w:r>
        <w:rPr>
          <w:rFonts w:eastAsia="仿宋_GB2312"/>
          <w:sz w:val="32"/>
          <w:szCs w:val="32"/>
        </w:rPr>
        <w:t>目前尚无研究资料或研究结果表明此产品的禁忌证。</w:t>
      </w:r>
    </w:p>
    <w:p w14:paraId="6CEF393A">
      <w:pPr>
        <w:spacing w:line="520" w:lineRule="exact"/>
        <w:ind w:right="-67" w:rightChars="-32" w:firstLine="640" w:firstLineChars="200"/>
        <w:outlineLvl w:val="1"/>
        <w:rPr>
          <w:rFonts w:eastAsia="仿宋_GB2312"/>
          <w:sz w:val="32"/>
          <w:szCs w:val="32"/>
        </w:rPr>
      </w:pPr>
      <w:r>
        <w:rPr>
          <w:rFonts w:eastAsia="楷体_GB2312"/>
          <w:sz w:val="32"/>
          <w:szCs w:val="32"/>
        </w:rPr>
        <w:t>（三）非临床资料</w:t>
      </w:r>
    </w:p>
    <w:p w14:paraId="307354AA">
      <w:pPr>
        <w:spacing w:line="520" w:lineRule="exact"/>
        <w:ind w:firstLine="640" w:firstLineChars="200"/>
        <w:outlineLvl w:val="2"/>
        <w:rPr>
          <w:rFonts w:eastAsia="仿宋_GB2312"/>
          <w:sz w:val="32"/>
          <w:szCs w:val="32"/>
        </w:rPr>
      </w:pPr>
      <w:r>
        <w:rPr>
          <w:rFonts w:eastAsia="仿宋_GB2312"/>
          <w:sz w:val="32"/>
          <w:szCs w:val="32"/>
        </w:rPr>
        <w:t>1.产品风险管理资料</w:t>
      </w:r>
    </w:p>
    <w:p w14:paraId="5383DB7E">
      <w:pPr>
        <w:spacing w:line="520" w:lineRule="exact"/>
        <w:ind w:firstLine="640" w:firstLineChars="200"/>
        <w:rPr>
          <w:rFonts w:eastAsia="仿宋_GB2312"/>
          <w:kern w:val="0"/>
          <w:sz w:val="32"/>
          <w:szCs w:val="32"/>
        </w:rPr>
      </w:pPr>
      <w:r>
        <w:rPr>
          <w:rFonts w:eastAsia="仿宋_GB2312"/>
          <w:kern w:val="0"/>
          <w:sz w:val="32"/>
          <w:szCs w:val="32"/>
        </w:rPr>
        <w:t>申请人应参考GB/T 42062《医疗器械 风险管理对医疗器械的应用》规定的过程和方法，在产品生命周期内对申报产品可能造成的危险进行判定（YY/T 1437），对每一危险处境的风险进行判定和评价，形成风险管理报告，控制这些风险并监视控制的有效性，充分保证产品的安全性和有效性。</w:t>
      </w:r>
    </w:p>
    <w:p w14:paraId="04885388">
      <w:pPr>
        <w:spacing w:line="520" w:lineRule="exact"/>
        <w:ind w:firstLine="640" w:firstLineChars="200"/>
        <w:rPr>
          <w:rFonts w:eastAsia="仿宋_GB2312"/>
          <w:sz w:val="32"/>
          <w:szCs w:val="32"/>
          <w:lang w:val="zh-CN"/>
        </w:rPr>
      </w:pPr>
      <w:r>
        <w:rPr>
          <w:rFonts w:eastAsia="仿宋_GB2312"/>
          <w:sz w:val="32"/>
          <w:szCs w:val="32"/>
        </w:rPr>
        <w:t>注册</w:t>
      </w:r>
      <w:r>
        <w:rPr>
          <w:rFonts w:eastAsia="仿宋_GB2312"/>
          <w:sz w:val="32"/>
          <w:szCs w:val="32"/>
          <w:lang w:val="zh-CN"/>
        </w:rPr>
        <w:t>申请人需重点说明：申报产品的研制阶段已对有关可能的危</w:t>
      </w:r>
      <w:r>
        <w:rPr>
          <w:rFonts w:eastAsia="仿宋_GB2312"/>
          <w:sz w:val="32"/>
          <w:szCs w:val="32"/>
        </w:rPr>
        <w:t>险</w:t>
      </w:r>
      <w:r>
        <w:rPr>
          <w:rFonts w:eastAsia="仿宋_GB2312"/>
          <w:sz w:val="32"/>
          <w:szCs w:val="32"/>
          <w:lang w:val="zh-CN"/>
        </w:rPr>
        <w:t>及产生的风险进行了估计和评价，针对性地实施了降低风险的技术和管理方面的措施。产品性能测试对上述措施的有效性进行了验证，达到了通用和专用标准的要求。</w:t>
      </w:r>
      <w:r>
        <w:rPr>
          <w:rFonts w:eastAsia="仿宋_GB2312"/>
          <w:sz w:val="32"/>
          <w:szCs w:val="32"/>
        </w:rPr>
        <w:t>注册</w:t>
      </w:r>
      <w:r>
        <w:rPr>
          <w:rFonts w:eastAsia="仿宋_GB2312"/>
          <w:sz w:val="32"/>
          <w:szCs w:val="32"/>
          <w:lang w:val="zh-CN"/>
        </w:rPr>
        <w:t>申请人对所有剩余风险进行了评价，全部达到可接受的水平。产品风险分析资料需为</w:t>
      </w:r>
      <w:r>
        <w:rPr>
          <w:rFonts w:eastAsia="仿宋_GB2312"/>
          <w:sz w:val="32"/>
          <w:szCs w:val="32"/>
        </w:rPr>
        <w:t>注册</w:t>
      </w:r>
      <w:r>
        <w:rPr>
          <w:rFonts w:eastAsia="仿宋_GB2312"/>
          <w:sz w:val="32"/>
          <w:szCs w:val="32"/>
          <w:lang w:val="zh-CN"/>
        </w:rPr>
        <w:t>申请人关于产品安全性的承诺提供支持。</w:t>
      </w:r>
    </w:p>
    <w:p w14:paraId="7CF94B50">
      <w:pPr>
        <w:spacing w:line="520" w:lineRule="exact"/>
        <w:ind w:firstLine="640" w:firstLineChars="200"/>
        <w:rPr>
          <w:rFonts w:eastAsia="仿宋_GB2312"/>
          <w:sz w:val="32"/>
          <w:szCs w:val="32"/>
          <w:lang w:val="zh-CN"/>
        </w:rPr>
      </w:pPr>
      <w:r>
        <w:rPr>
          <w:rFonts w:eastAsia="仿宋_GB2312"/>
          <w:sz w:val="32"/>
          <w:szCs w:val="32"/>
          <w:lang w:val="zh-CN"/>
        </w:rPr>
        <w:t>风险管理报告一般包括以下内容：</w:t>
      </w:r>
    </w:p>
    <w:p w14:paraId="02CB4423">
      <w:pPr>
        <w:pStyle w:val="34"/>
        <w:numPr>
          <w:ilvl w:val="0"/>
          <w:numId w:val="1"/>
        </w:numPr>
        <w:spacing w:line="520" w:lineRule="exact"/>
        <w:ind w:firstLineChars="0"/>
        <w:rPr>
          <w:rFonts w:eastAsia="仿宋_GB2312"/>
          <w:sz w:val="32"/>
          <w:szCs w:val="32"/>
          <w:lang w:val="zh-CN"/>
        </w:rPr>
      </w:pPr>
      <w:r>
        <w:rPr>
          <w:rFonts w:hint="eastAsia" w:eastAsia="仿宋_GB2312"/>
          <w:sz w:val="32"/>
          <w:szCs w:val="32"/>
          <w:lang w:val="zh-CN"/>
        </w:rPr>
        <w:t>申报产品的风险管理组织；</w:t>
      </w:r>
    </w:p>
    <w:p w14:paraId="4B01A0CC">
      <w:pPr>
        <w:pStyle w:val="34"/>
        <w:numPr>
          <w:ilvl w:val="0"/>
          <w:numId w:val="1"/>
        </w:numPr>
        <w:spacing w:line="520" w:lineRule="exact"/>
        <w:ind w:firstLineChars="0"/>
        <w:rPr>
          <w:rFonts w:eastAsia="仿宋_GB2312"/>
          <w:sz w:val="32"/>
          <w:szCs w:val="32"/>
          <w:lang w:val="zh-CN"/>
        </w:rPr>
      </w:pPr>
      <w:r>
        <w:rPr>
          <w:rFonts w:hint="eastAsia" w:eastAsia="仿宋_GB2312"/>
          <w:sz w:val="32"/>
          <w:szCs w:val="32"/>
          <w:lang w:val="zh-CN"/>
        </w:rPr>
        <w:t>申报产品的组成；</w:t>
      </w:r>
    </w:p>
    <w:p w14:paraId="188280CA">
      <w:pPr>
        <w:pStyle w:val="34"/>
        <w:numPr>
          <w:ilvl w:val="0"/>
          <w:numId w:val="1"/>
        </w:numPr>
        <w:spacing w:line="520" w:lineRule="exact"/>
        <w:ind w:firstLineChars="0"/>
        <w:rPr>
          <w:rFonts w:eastAsia="仿宋_GB2312"/>
          <w:sz w:val="32"/>
          <w:szCs w:val="32"/>
          <w:lang w:val="zh-CN"/>
        </w:rPr>
      </w:pPr>
      <w:r>
        <w:rPr>
          <w:rFonts w:hint="eastAsia" w:eastAsia="仿宋_GB2312"/>
          <w:sz w:val="32"/>
          <w:szCs w:val="32"/>
          <w:lang w:val="zh-CN"/>
        </w:rPr>
        <w:t>申报产品符合的安全标准；</w:t>
      </w:r>
    </w:p>
    <w:p w14:paraId="61938538">
      <w:pPr>
        <w:pStyle w:val="34"/>
        <w:numPr>
          <w:ilvl w:val="0"/>
          <w:numId w:val="1"/>
        </w:numPr>
        <w:spacing w:line="520" w:lineRule="exact"/>
        <w:ind w:firstLineChars="0"/>
        <w:rPr>
          <w:rFonts w:eastAsia="仿宋_GB2312"/>
          <w:sz w:val="32"/>
          <w:szCs w:val="32"/>
          <w:lang w:val="zh-CN"/>
        </w:rPr>
      </w:pPr>
      <w:r>
        <w:rPr>
          <w:rFonts w:hint="eastAsia" w:eastAsia="仿宋_GB2312"/>
          <w:sz w:val="32"/>
          <w:szCs w:val="32"/>
          <w:lang w:val="zh-CN"/>
        </w:rPr>
        <w:t>申报产品的预期用途，与安全性有关的特征的判定；</w:t>
      </w:r>
    </w:p>
    <w:p w14:paraId="736AAC41">
      <w:pPr>
        <w:pStyle w:val="34"/>
        <w:numPr>
          <w:ilvl w:val="0"/>
          <w:numId w:val="1"/>
        </w:numPr>
        <w:spacing w:line="520" w:lineRule="exact"/>
        <w:ind w:firstLineChars="0"/>
        <w:rPr>
          <w:rFonts w:eastAsia="仿宋_GB2312"/>
          <w:sz w:val="32"/>
          <w:szCs w:val="32"/>
          <w:lang w:val="zh-CN"/>
        </w:rPr>
      </w:pPr>
      <w:r>
        <w:rPr>
          <w:rFonts w:hint="eastAsia" w:eastAsia="仿宋_GB2312"/>
          <w:sz w:val="32"/>
          <w:szCs w:val="32"/>
          <w:lang w:val="zh-CN"/>
        </w:rPr>
        <w:t>对申报产品的可能危</w:t>
      </w:r>
      <w:r>
        <w:rPr>
          <w:rFonts w:hint="eastAsia" w:eastAsia="仿宋_GB2312"/>
          <w:sz w:val="32"/>
          <w:szCs w:val="32"/>
        </w:rPr>
        <w:t>险</w:t>
      </w:r>
      <w:r>
        <w:rPr>
          <w:rFonts w:hint="eastAsia" w:eastAsia="仿宋_GB2312"/>
          <w:sz w:val="32"/>
          <w:szCs w:val="32"/>
          <w:lang w:val="zh-CN"/>
        </w:rPr>
        <w:t>做出判定；</w:t>
      </w:r>
    </w:p>
    <w:p w14:paraId="5E5F1D91">
      <w:pPr>
        <w:pStyle w:val="34"/>
        <w:numPr>
          <w:ilvl w:val="0"/>
          <w:numId w:val="1"/>
        </w:numPr>
        <w:spacing w:line="520" w:lineRule="exact"/>
        <w:ind w:firstLineChars="0"/>
        <w:rPr>
          <w:rFonts w:eastAsia="仿宋_GB2312"/>
          <w:sz w:val="32"/>
          <w:szCs w:val="32"/>
          <w:lang w:val="zh-CN"/>
        </w:rPr>
      </w:pPr>
      <w:r>
        <w:rPr>
          <w:rFonts w:hint="eastAsia" w:eastAsia="仿宋_GB2312"/>
          <w:sz w:val="32"/>
          <w:szCs w:val="32"/>
          <w:lang w:val="zh-CN"/>
        </w:rPr>
        <w:t>对所判定的危</w:t>
      </w:r>
      <w:r>
        <w:rPr>
          <w:rFonts w:hint="eastAsia" w:eastAsia="仿宋_GB2312"/>
          <w:sz w:val="32"/>
          <w:szCs w:val="32"/>
        </w:rPr>
        <w:t>险</w:t>
      </w:r>
      <w:r>
        <w:rPr>
          <w:rFonts w:hint="eastAsia" w:eastAsia="仿宋_GB2312"/>
          <w:sz w:val="32"/>
          <w:szCs w:val="32"/>
          <w:lang w:val="zh-CN"/>
        </w:rPr>
        <w:t>采取的降低风险的控制措施；</w:t>
      </w:r>
    </w:p>
    <w:p w14:paraId="01FE2982">
      <w:pPr>
        <w:pStyle w:val="34"/>
        <w:numPr>
          <w:ilvl w:val="0"/>
          <w:numId w:val="1"/>
        </w:numPr>
        <w:spacing w:line="520" w:lineRule="exact"/>
        <w:ind w:firstLineChars="0"/>
        <w:rPr>
          <w:rFonts w:eastAsia="仿宋_GB2312"/>
          <w:sz w:val="32"/>
          <w:szCs w:val="32"/>
        </w:rPr>
      </w:pPr>
      <w:r>
        <w:rPr>
          <w:rFonts w:hint="eastAsia" w:eastAsia="仿宋_GB2312"/>
          <w:sz w:val="32"/>
          <w:szCs w:val="32"/>
          <w:lang w:val="zh-CN"/>
        </w:rPr>
        <w:t>对采取控制措施后的剩余风险进行估计和评价；</w:t>
      </w:r>
    </w:p>
    <w:p w14:paraId="0E8B0DF0">
      <w:pPr>
        <w:pStyle w:val="34"/>
        <w:widowControl/>
        <w:numPr>
          <w:ilvl w:val="0"/>
          <w:numId w:val="1"/>
        </w:numPr>
        <w:spacing w:line="520" w:lineRule="exact"/>
        <w:ind w:firstLineChars="0"/>
        <w:rPr>
          <w:rFonts w:eastAsia="仿宋_GB2312"/>
          <w:kern w:val="0"/>
          <w:sz w:val="32"/>
          <w:szCs w:val="32"/>
          <w:lang w:val="zh-CN"/>
        </w:rPr>
      </w:pPr>
      <w:r>
        <w:rPr>
          <w:rFonts w:hint="eastAsia" w:eastAsia="仿宋_GB2312"/>
          <w:kern w:val="0"/>
          <w:sz w:val="32"/>
          <w:szCs w:val="32"/>
          <w:lang w:val="zh-CN"/>
        </w:rPr>
        <w:t>对风险管理计划的实施情况进行评审；</w:t>
      </w:r>
    </w:p>
    <w:p w14:paraId="07A25C07">
      <w:pPr>
        <w:pStyle w:val="34"/>
        <w:widowControl/>
        <w:numPr>
          <w:ilvl w:val="0"/>
          <w:numId w:val="1"/>
        </w:numPr>
        <w:spacing w:line="520" w:lineRule="exact"/>
        <w:ind w:firstLineChars="0"/>
        <w:rPr>
          <w:rFonts w:eastAsia="仿宋_GB2312"/>
          <w:kern w:val="0"/>
          <w:sz w:val="32"/>
          <w:szCs w:val="32"/>
        </w:rPr>
      </w:pPr>
      <w:r>
        <w:rPr>
          <w:rFonts w:hint="eastAsia" w:eastAsia="仿宋_GB2312"/>
          <w:kern w:val="0"/>
          <w:sz w:val="32"/>
          <w:szCs w:val="32"/>
          <w:lang w:val="zh-CN"/>
        </w:rPr>
        <w:t>对生产和生产后活动收集与评审信息。</w:t>
      </w:r>
    </w:p>
    <w:p w14:paraId="7AB1269F">
      <w:pPr>
        <w:widowControl/>
        <w:spacing w:line="520" w:lineRule="exact"/>
        <w:ind w:firstLine="641"/>
        <w:rPr>
          <w:rFonts w:eastAsia="仿宋_GB2312"/>
          <w:kern w:val="0"/>
          <w:sz w:val="32"/>
          <w:szCs w:val="32"/>
        </w:rPr>
      </w:pPr>
      <w:r>
        <w:rPr>
          <w:rFonts w:hint="eastAsia" w:eastAsia="仿宋_GB2312"/>
          <w:sz w:val="32"/>
          <w:szCs w:val="32"/>
        </w:rPr>
        <w:t>生化免疫分析仪器</w:t>
      </w:r>
      <w:r>
        <w:rPr>
          <w:rFonts w:eastAsia="仿宋_GB2312"/>
          <w:kern w:val="0"/>
          <w:sz w:val="32"/>
          <w:szCs w:val="32"/>
        </w:rPr>
        <w:t>的初始可预见危险主要存在于产品的设计、生产和使用环节。如产品设计方面的初始可预见危险主要有：电能危险、生物不相容性（容器材料对样本的影响等）、检测和报警参数的范围和精度设置等；生产方面的初始可预见危险主要有：不合格材料、部件的非预期使用（采购或供方控制不充分），部件焊接、粘合和连接的不完整（制造过程控制不充分）等等；使用的初始可预见危险主要有：未限制非预期使用，未限制使用环境及人员，未告知正确使用、维护、保养设备的方法等导致设备不能正常使用等。</w:t>
      </w:r>
    </w:p>
    <w:p w14:paraId="792396CC">
      <w:pPr>
        <w:widowControl/>
        <w:spacing w:line="520" w:lineRule="exact"/>
        <w:ind w:firstLine="641"/>
        <w:rPr>
          <w:rFonts w:eastAsia="仿宋_GB2312"/>
          <w:kern w:val="0"/>
          <w:sz w:val="32"/>
          <w:szCs w:val="32"/>
        </w:rPr>
      </w:pPr>
      <w:r>
        <w:rPr>
          <w:rFonts w:hint="eastAsia" w:eastAsia="仿宋_GB2312"/>
          <w:kern w:val="0"/>
          <w:sz w:val="32"/>
          <w:szCs w:val="32"/>
        </w:rPr>
        <w:t>1</w:t>
      </w:r>
      <w:r>
        <w:rPr>
          <w:rFonts w:eastAsia="仿宋_GB2312"/>
          <w:kern w:val="0"/>
          <w:sz w:val="32"/>
          <w:szCs w:val="32"/>
        </w:rPr>
        <w:t>.1产品的主要危险</w:t>
      </w:r>
    </w:p>
    <w:p w14:paraId="655D05D2">
      <w:pPr>
        <w:spacing w:line="520" w:lineRule="exact"/>
        <w:ind w:firstLine="640" w:firstLineChars="200"/>
        <w:rPr>
          <w:rFonts w:eastAsia="仿宋_GB2312"/>
          <w:kern w:val="0"/>
          <w:sz w:val="32"/>
          <w:szCs w:val="32"/>
        </w:rPr>
      </w:pPr>
      <w:r>
        <w:rPr>
          <w:rFonts w:eastAsia="仿宋_GB2312"/>
          <w:kern w:val="0"/>
          <w:sz w:val="32"/>
          <w:szCs w:val="32"/>
        </w:rPr>
        <w:t>1.1.1能量危险</w:t>
      </w:r>
    </w:p>
    <w:p w14:paraId="3CB530EA">
      <w:pPr>
        <w:spacing w:line="520" w:lineRule="exact"/>
        <w:ind w:firstLine="640" w:firstLineChars="200"/>
        <w:rPr>
          <w:rFonts w:eastAsia="仿宋_GB2312"/>
          <w:kern w:val="0"/>
          <w:sz w:val="32"/>
          <w:szCs w:val="32"/>
        </w:rPr>
      </w:pPr>
      <w:r>
        <w:rPr>
          <w:rFonts w:eastAsia="仿宋_GB2312"/>
          <w:kern w:val="0"/>
          <w:sz w:val="32"/>
          <w:szCs w:val="32"/>
        </w:rPr>
        <w:t>电磁能：漏电流，可能共同使用的设备（移动电话、离心机等）对申报产品的电磁干扰，静电放电对申报产品产生的干扰，申报产品正常工作中产生的电磁场对可能共同使用的其他设备的影响等引发的危险。</w:t>
      </w:r>
    </w:p>
    <w:p w14:paraId="0E2262DE">
      <w:pPr>
        <w:spacing w:line="520" w:lineRule="exact"/>
        <w:ind w:firstLine="640" w:firstLineChars="200"/>
        <w:rPr>
          <w:rFonts w:eastAsia="仿宋_GB2312"/>
          <w:kern w:val="0"/>
          <w:sz w:val="32"/>
          <w:szCs w:val="32"/>
        </w:rPr>
      </w:pPr>
      <w:r>
        <w:rPr>
          <w:rFonts w:eastAsia="仿宋_GB2312"/>
          <w:kern w:val="0"/>
          <w:sz w:val="32"/>
          <w:szCs w:val="32"/>
        </w:rPr>
        <w:t xml:space="preserve">坠落：坠落导致机械部件松动，导致测量错误、误差过大或显示异常。 </w:t>
      </w:r>
    </w:p>
    <w:p w14:paraId="58379AAA">
      <w:pPr>
        <w:spacing w:line="520" w:lineRule="exact"/>
        <w:ind w:firstLine="640" w:firstLineChars="200"/>
        <w:rPr>
          <w:rFonts w:eastAsia="仿宋_GB2312"/>
          <w:kern w:val="0"/>
          <w:sz w:val="32"/>
          <w:szCs w:val="32"/>
        </w:rPr>
      </w:pPr>
      <w:r>
        <w:rPr>
          <w:rFonts w:eastAsia="仿宋_GB2312"/>
          <w:kern w:val="0"/>
          <w:sz w:val="32"/>
          <w:szCs w:val="32"/>
        </w:rPr>
        <w:t>1.1.2生物学和化学危险</w:t>
      </w:r>
    </w:p>
    <w:p w14:paraId="6835588D">
      <w:pPr>
        <w:spacing w:line="520" w:lineRule="exact"/>
        <w:ind w:firstLine="640" w:firstLineChars="200"/>
        <w:rPr>
          <w:rFonts w:eastAsia="仿宋_GB2312"/>
          <w:kern w:val="0"/>
          <w:sz w:val="32"/>
          <w:szCs w:val="32"/>
        </w:rPr>
      </w:pPr>
      <w:r>
        <w:rPr>
          <w:rFonts w:eastAsia="仿宋_GB2312"/>
          <w:kern w:val="0"/>
          <w:sz w:val="32"/>
          <w:szCs w:val="32"/>
        </w:rPr>
        <w:t>生物学：公共场所未经清洗、消毒的与人体接触的部件引起的交叉感染、申报产品的原材料有毒有害对人体造成的危险、检测完成后剩余样本、试剂和废弃物处理不当引起的交叉感染。</w:t>
      </w:r>
    </w:p>
    <w:p w14:paraId="61930F88">
      <w:pPr>
        <w:spacing w:line="520" w:lineRule="exact"/>
        <w:ind w:firstLine="640" w:firstLineChars="200"/>
        <w:rPr>
          <w:rFonts w:eastAsia="仿宋_GB2312"/>
          <w:kern w:val="0"/>
          <w:sz w:val="32"/>
          <w:szCs w:val="32"/>
        </w:rPr>
      </w:pPr>
      <w:r>
        <w:rPr>
          <w:rFonts w:eastAsia="仿宋_GB2312"/>
          <w:kern w:val="0"/>
          <w:sz w:val="32"/>
          <w:szCs w:val="32"/>
        </w:rPr>
        <w:t>化学：使用的清洁剂、消毒剂残留引发的危险。</w:t>
      </w:r>
    </w:p>
    <w:p w14:paraId="61C7CD57">
      <w:pPr>
        <w:spacing w:line="520" w:lineRule="exact"/>
        <w:ind w:firstLine="640" w:firstLineChars="200"/>
        <w:rPr>
          <w:rFonts w:eastAsia="仿宋_GB2312"/>
          <w:kern w:val="0"/>
          <w:sz w:val="32"/>
          <w:szCs w:val="32"/>
        </w:rPr>
      </w:pPr>
      <w:r>
        <w:rPr>
          <w:rFonts w:eastAsia="仿宋_GB2312"/>
          <w:kern w:val="0"/>
          <w:sz w:val="32"/>
          <w:szCs w:val="32"/>
        </w:rPr>
        <w:t>1.1.3性能有关的危险</w:t>
      </w:r>
    </w:p>
    <w:p w14:paraId="491D62E3">
      <w:pPr>
        <w:spacing w:line="520" w:lineRule="exact"/>
        <w:ind w:firstLine="640" w:firstLineChars="200"/>
        <w:rPr>
          <w:rFonts w:eastAsia="仿宋_GB2312"/>
          <w:kern w:val="0"/>
          <w:sz w:val="32"/>
          <w:szCs w:val="32"/>
        </w:rPr>
      </w:pPr>
      <w:r>
        <w:rPr>
          <w:rFonts w:eastAsia="仿宋_GB2312"/>
          <w:kern w:val="0"/>
          <w:sz w:val="32"/>
          <w:szCs w:val="32"/>
        </w:rPr>
        <w:t>不正确的测量：产品的检测装置超过寿命或长时间未经校准，导致误差过大。</w:t>
      </w:r>
    </w:p>
    <w:p w14:paraId="076787F8">
      <w:pPr>
        <w:spacing w:line="520" w:lineRule="exact"/>
        <w:ind w:firstLine="640" w:firstLineChars="200"/>
        <w:rPr>
          <w:rFonts w:eastAsia="仿宋_GB2312"/>
          <w:kern w:val="0"/>
          <w:sz w:val="32"/>
          <w:szCs w:val="32"/>
        </w:rPr>
      </w:pPr>
      <w:r>
        <w:rPr>
          <w:rFonts w:eastAsia="仿宋_GB2312"/>
          <w:kern w:val="0"/>
          <w:sz w:val="32"/>
          <w:szCs w:val="32"/>
        </w:rPr>
        <w:t>未按使用说明书中的要求进行测量，造成的测量失败、测量误差过大。</w:t>
      </w:r>
    </w:p>
    <w:p w14:paraId="29D7DEFB">
      <w:pPr>
        <w:spacing w:line="520" w:lineRule="exact"/>
        <w:ind w:firstLine="640" w:firstLineChars="200"/>
        <w:rPr>
          <w:rFonts w:eastAsia="仿宋_GB2312"/>
          <w:kern w:val="0"/>
          <w:sz w:val="32"/>
          <w:szCs w:val="32"/>
        </w:rPr>
      </w:pPr>
      <w:r>
        <w:rPr>
          <w:rFonts w:eastAsia="仿宋_GB2312"/>
          <w:kern w:val="0"/>
          <w:sz w:val="32"/>
          <w:szCs w:val="32"/>
        </w:rPr>
        <w:t>使用不同厂家的或与分析仪不相匹配的试剂，造成的测量失败、测量误差过大。</w:t>
      </w:r>
    </w:p>
    <w:p w14:paraId="59920B43">
      <w:pPr>
        <w:spacing w:line="520" w:lineRule="exact"/>
        <w:ind w:firstLine="640" w:firstLineChars="200"/>
        <w:rPr>
          <w:rFonts w:eastAsia="仿宋_GB2312"/>
          <w:kern w:val="0"/>
          <w:sz w:val="32"/>
          <w:szCs w:val="32"/>
        </w:rPr>
      </w:pPr>
      <w:r>
        <w:rPr>
          <w:rFonts w:eastAsia="仿宋_GB2312"/>
          <w:kern w:val="0"/>
          <w:sz w:val="32"/>
          <w:szCs w:val="32"/>
        </w:rPr>
        <w:t>在制造商规定的使用环境条件外使用产品，可能造成测量误差过大，产品寿命降低。</w:t>
      </w:r>
    </w:p>
    <w:p w14:paraId="52C6FF80">
      <w:pPr>
        <w:spacing w:line="520" w:lineRule="exact"/>
        <w:ind w:firstLine="640" w:firstLineChars="200"/>
        <w:rPr>
          <w:rFonts w:eastAsia="仿宋_GB2312"/>
          <w:kern w:val="0"/>
          <w:sz w:val="32"/>
          <w:szCs w:val="32"/>
        </w:rPr>
      </w:pPr>
      <w:r>
        <w:rPr>
          <w:rFonts w:eastAsia="仿宋_GB2312"/>
          <w:kern w:val="0"/>
          <w:sz w:val="32"/>
          <w:szCs w:val="32"/>
        </w:rPr>
        <w:t>未按产品说明书的规定对申报产品进行保养、未按产品说明书的规定更换具有使用寿命的元器件，造成的产品工作不正常。</w:t>
      </w:r>
    </w:p>
    <w:p w14:paraId="3744BC80">
      <w:pPr>
        <w:spacing w:line="520" w:lineRule="exact"/>
        <w:ind w:firstLine="640" w:firstLineChars="200"/>
        <w:rPr>
          <w:rFonts w:eastAsia="仿宋_GB2312"/>
          <w:kern w:val="0"/>
          <w:sz w:val="32"/>
          <w:szCs w:val="32"/>
        </w:rPr>
      </w:pPr>
      <w:r>
        <w:rPr>
          <w:rFonts w:eastAsia="仿宋_GB2312"/>
          <w:kern w:val="0"/>
          <w:sz w:val="32"/>
          <w:szCs w:val="32"/>
        </w:rPr>
        <w:t>说明书未对限制充分告知，未对不正确的操作、与其他设备共同使用时易产生的危险进行警告，未正确标示储存条件、消毒方法、维护信息，未对因长期使用产生功能丧失而可能引发的危险进行警告，未对合理可预见的误用进行警告等引发的危险。</w:t>
      </w:r>
    </w:p>
    <w:p w14:paraId="63003CA9">
      <w:pPr>
        <w:spacing w:line="520" w:lineRule="exact"/>
        <w:ind w:firstLine="640" w:firstLineChars="200"/>
        <w:rPr>
          <w:rFonts w:eastAsia="仿宋_GB2312"/>
          <w:kern w:val="0"/>
          <w:sz w:val="32"/>
          <w:szCs w:val="32"/>
        </w:rPr>
      </w:pPr>
      <w:r>
        <w:rPr>
          <w:rFonts w:eastAsia="仿宋_GB2312"/>
          <w:kern w:val="0"/>
          <w:sz w:val="32"/>
          <w:szCs w:val="32"/>
        </w:rPr>
        <w:t>1.2可参考的附件</w:t>
      </w:r>
    </w:p>
    <w:p w14:paraId="1B240826">
      <w:pPr>
        <w:spacing w:line="520" w:lineRule="exact"/>
        <w:ind w:firstLine="640" w:firstLineChars="200"/>
        <w:rPr>
          <w:rFonts w:eastAsia="仿宋_GB2312"/>
          <w:kern w:val="0"/>
          <w:sz w:val="32"/>
          <w:szCs w:val="32"/>
        </w:rPr>
      </w:pPr>
      <w:r>
        <w:rPr>
          <w:rFonts w:eastAsia="仿宋_GB2312"/>
          <w:kern w:val="0"/>
          <w:sz w:val="32"/>
          <w:szCs w:val="32"/>
        </w:rPr>
        <w:t>1.2.1与产品有关的安全性特征判定可参考YY/T 1437。</w:t>
      </w:r>
    </w:p>
    <w:p w14:paraId="50594ABB">
      <w:pPr>
        <w:spacing w:line="520" w:lineRule="exact"/>
        <w:ind w:firstLine="640" w:firstLineChars="200"/>
        <w:rPr>
          <w:rFonts w:eastAsia="仿宋_GB2312"/>
          <w:kern w:val="0"/>
          <w:sz w:val="32"/>
          <w:szCs w:val="32"/>
        </w:rPr>
      </w:pPr>
      <w:r>
        <w:rPr>
          <w:rFonts w:eastAsia="仿宋_GB2312"/>
          <w:kern w:val="0"/>
          <w:sz w:val="32"/>
          <w:szCs w:val="32"/>
        </w:rPr>
        <w:t>1.2.2危险、可预见的事件序列和危险处境判断可参考GB/T 42062的附件C。</w:t>
      </w:r>
    </w:p>
    <w:p w14:paraId="0C94D93B">
      <w:pPr>
        <w:spacing w:line="520" w:lineRule="exact"/>
        <w:ind w:firstLine="640" w:firstLineChars="200"/>
        <w:outlineLvl w:val="2"/>
        <w:rPr>
          <w:rFonts w:eastAsia="仿宋_GB2312"/>
          <w:kern w:val="0"/>
          <w:sz w:val="32"/>
          <w:szCs w:val="32"/>
        </w:rPr>
      </w:pPr>
      <w:r>
        <w:rPr>
          <w:rFonts w:eastAsia="仿宋_GB2312"/>
          <w:kern w:val="0"/>
          <w:sz w:val="32"/>
          <w:szCs w:val="32"/>
        </w:rPr>
        <w:t>1.2.3风险控制的方案与实施、综合剩余风险的可接受性评价及生产和生产后监视相关方法可参考YY/T 1437。</w:t>
      </w:r>
    </w:p>
    <w:p w14:paraId="455E521F">
      <w:pPr>
        <w:spacing w:line="520" w:lineRule="exact"/>
        <w:ind w:firstLine="640" w:firstLineChars="200"/>
        <w:outlineLvl w:val="2"/>
        <w:rPr>
          <w:rFonts w:eastAsia="仿宋_GB2312"/>
          <w:sz w:val="32"/>
          <w:szCs w:val="32"/>
        </w:rPr>
      </w:pPr>
      <w:r>
        <w:rPr>
          <w:rFonts w:eastAsia="仿宋_GB2312"/>
          <w:sz w:val="32"/>
          <w:szCs w:val="32"/>
        </w:rPr>
        <w:t>2.产品技术要求及检验报告</w:t>
      </w:r>
    </w:p>
    <w:p w14:paraId="4E81571D">
      <w:pPr>
        <w:widowControl/>
        <w:spacing w:line="520" w:lineRule="exact"/>
        <w:ind w:firstLine="640" w:firstLineChars="200"/>
        <w:rPr>
          <w:rFonts w:eastAsia="仿宋_GB2312"/>
          <w:sz w:val="32"/>
          <w:szCs w:val="32"/>
        </w:rPr>
      </w:pPr>
      <w:r>
        <w:rPr>
          <w:rFonts w:eastAsia="仿宋_GB2312"/>
          <w:sz w:val="32"/>
          <w:szCs w:val="32"/>
        </w:rPr>
        <w:t>2.1产品技术要求</w:t>
      </w:r>
    </w:p>
    <w:p w14:paraId="52F7C3EF">
      <w:pPr>
        <w:widowControl/>
        <w:spacing w:line="520" w:lineRule="exact"/>
        <w:ind w:firstLine="640" w:firstLineChars="200"/>
        <w:rPr>
          <w:rFonts w:eastAsia="仿宋_GB2312"/>
          <w:sz w:val="32"/>
          <w:szCs w:val="32"/>
        </w:rPr>
      </w:pPr>
      <w:r>
        <w:rPr>
          <w:rFonts w:eastAsia="仿宋_GB2312"/>
          <w:sz w:val="32"/>
          <w:szCs w:val="32"/>
        </w:rPr>
        <w:t>注册申请人应按照《医疗器械产品技术要求编写指导原则》编写产品技术要求。</w:t>
      </w:r>
      <w:r>
        <w:rPr>
          <w:rFonts w:eastAsia="仿宋_GB2312"/>
          <w:kern w:val="0"/>
          <w:sz w:val="32"/>
          <w:szCs w:val="32"/>
        </w:rPr>
        <w:t>内容应包括产品名称、产品型号/规格及其划分说明、性能指标、检验方法和产品技术要求编号。其中，产品名称、产品型号/规格及其划分说明的内容应与综述资料的相应内容保持一致</w:t>
      </w:r>
      <w:r>
        <w:rPr>
          <w:rFonts w:hint="eastAsia" w:eastAsia="仿宋_GB2312"/>
          <w:kern w:val="0"/>
          <w:sz w:val="32"/>
          <w:szCs w:val="32"/>
        </w:rPr>
        <w:t>。</w:t>
      </w:r>
    </w:p>
    <w:p w14:paraId="06247DD9">
      <w:pPr>
        <w:widowControl/>
        <w:spacing w:line="520" w:lineRule="exact"/>
        <w:ind w:firstLine="640" w:firstLineChars="200"/>
        <w:rPr>
          <w:rFonts w:eastAsia="仿宋_GB2312"/>
          <w:sz w:val="32"/>
          <w:szCs w:val="32"/>
        </w:rPr>
      </w:pPr>
      <w:r>
        <w:rPr>
          <w:rFonts w:eastAsia="仿宋_GB2312"/>
          <w:sz w:val="32"/>
          <w:szCs w:val="32"/>
        </w:rPr>
        <w:t>2.1.1产品型号/规格及其划分的说明</w:t>
      </w:r>
    </w:p>
    <w:p w14:paraId="40FC8F07">
      <w:pPr>
        <w:widowControl/>
        <w:spacing w:line="520" w:lineRule="exact"/>
        <w:ind w:firstLine="640" w:firstLineChars="200"/>
        <w:rPr>
          <w:rFonts w:eastAsia="仿宋_GB2312"/>
          <w:sz w:val="32"/>
          <w:szCs w:val="32"/>
        </w:rPr>
      </w:pPr>
      <w:r>
        <w:rPr>
          <w:rFonts w:eastAsia="仿宋_GB2312"/>
          <w:sz w:val="32"/>
          <w:szCs w:val="32"/>
        </w:rPr>
        <w:t>说明产品的型号、规格，明确产品型号、规格的划分说明。</w:t>
      </w:r>
    </w:p>
    <w:p w14:paraId="3407C4ED">
      <w:pPr>
        <w:widowControl/>
        <w:spacing w:line="520" w:lineRule="exact"/>
        <w:ind w:firstLine="640" w:firstLineChars="200"/>
        <w:rPr>
          <w:rFonts w:eastAsia="仿宋_GB2312"/>
          <w:sz w:val="32"/>
          <w:szCs w:val="32"/>
        </w:rPr>
      </w:pPr>
      <w:r>
        <w:rPr>
          <w:rFonts w:eastAsia="仿宋_GB2312"/>
          <w:sz w:val="32"/>
          <w:szCs w:val="32"/>
        </w:rPr>
        <w:t>产品中包含软件组件，应明确软件的名称、型号规格（若适用）、发布版本、版本命名规则，软件模块若有单独的版本、版本命名规则均需说明。</w:t>
      </w:r>
    </w:p>
    <w:p w14:paraId="291A9995">
      <w:pPr>
        <w:widowControl/>
        <w:spacing w:line="520" w:lineRule="exact"/>
        <w:ind w:firstLine="640" w:firstLineChars="200"/>
        <w:rPr>
          <w:rFonts w:eastAsia="仿宋_GB2312"/>
          <w:sz w:val="32"/>
          <w:szCs w:val="32"/>
        </w:rPr>
      </w:pPr>
      <w:r>
        <w:rPr>
          <w:rFonts w:eastAsia="仿宋_GB2312"/>
          <w:sz w:val="32"/>
          <w:szCs w:val="32"/>
        </w:rPr>
        <w:t>2.1.2性能指标</w:t>
      </w:r>
    </w:p>
    <w:p w14:paraId="7C82A8AA">
      <w:pPr>
        <w:spacing w:line="520" w:lineRule="exact"/>
        <w:ind w:firstLine="640" w:firstLineChars="200"/>
        <w:rPr>
          <w:rFonts w:eastAsia="仿宋_GB2312"/>
          <w:kern w:val="0"/>
          <w:sz w:val="32"/>
          <w:szCs w:val="32"/>
        </w:rPr>
      </w:pPr>
      <w:r>
        <w:rPr>
          <w:rFonts w:eastAsia="仿宋_GB2312"/>
          <w:kern w:val="0"/>
          <w:sz w:val="32"/>
          <w:szCs w:val="32"/>
        </w:rPr>
        <w:t>性能指标、检验方法的内容包括仪器性能、软件功能、安全要求、电磁兼容要求、网络安全等。</w:t>
      </w:r>
      <w:r>
        <w:rPr>
          <w:rFonts w:eastAsia="仿宋_GB2312"/>
          <w:sz w:val="32"/>
          <w:szCs w:val="32"/>
        </w:rPr>
        <w:t>生化分析</w:t>
      </w:r>
      <w:r>
        <w:rPr>
          <w:rFonts w:hint="eastAsia" w:eastAsia="仿宋_GB2312"/>
          <w:sz w:val="32"/>
          <w:szCs w:val="32"/>
        </w:rPr>
        <w:t>模块建议</w:t>
      </w:r>
      <w:r>
        <w:rPr>
          <w:rFonts w:eastAsia="仿宋_GB2312"/>
          <w:sz w:val="32"/>
          <w:szCs w:val="32"/>
        </w:rPr>
        <w:t>符合YY/T 0654要求</w:t>
      </w:r>
      <w:r>
        <w:rPr>
          <w:rFonts w:hint="eastAsia" w:eastAsia="仿宋_GB2312"/>
          <w:sz w:val="32"/>
          <w:szCs w:val="32"/>
        </w:rPr>
        <w:t>，免疫分析模块建议</w:t>
      </w:r>
      <w:r>
        <w:rPr>
          <w:rFonts w:eastAsia="仿宋_GB2312"/>
          <w:color w:val="000000"/>
          <w:sz w:val="32"/>
          <w:szCs w:val="32"/>
        </w:rPr>
        <w:t>符合</w:t>
      </w:r>
      <w:r>
        <w:rPr>
          <w:rFonts w:eastAsia="仿宋_GB2312"/>
          <w:kern w:val="0"/>
          <w:sz w:val="32"/>
          <w:szCs w:val="32"/>
        </w:rPr>
        <w:t>YY/T 1155</w:t>
      </w:r>
      <w:r>
        <w:rPr>
          <w:rFonts w:eastAsia="仿宋_GB2312"/>
          <w:color w:val="000000"/>
          <w:sz w:val="32"/>
          <w:szCs w:val="32"/>
        </w:rPr>
        <w:t>要求</w:t>
      </w:r>
      <w:r>
        <w:rPr>
          <w:rFonts w:eastAsia="仿宋_GB2312"/>
          <w:sz w:val="32"/>
          <w:szCs w:val="32"/>
        </w:rPr>
        <w:t>。</w:t>
      </w:r>
    </w:p>
    <w:p w14:paraId="3B8D8329">
      <w:pPr>
        <w:widowControl/>
        <w:spacing w:line="520" w:lineRule="exact"/>
        <w:ind w:firstLine="640" w:firstLineChars="200"/>
        <w:rPr>
          <w:rFonts w:eastAsia="仿宋_GB2312"/>
          <w:sz w:val="32"/>
          <w:szCs w:val="32"/>
        </w:rPr>
      </w:pPr>
      <w:r>
        <w:rPr>
          <w:rFonts w:eastAsia="仿宋_GB2312"/>
          <w:sz w:val="32"/>
          <w:szCs w:val="32"/>
        </w:rPr>
        <w:t>若申报产品结构特征、适用范围、使用方式等与上述标准的适用范围不一致，注册申请人应当提出不适用相关标准的说明，并提供经验证的证明性资料。</w:t>
      </w:r>
    </w:p>
    <w:p w14:paraId="3EED8A0C">
      <w:pPr>
        <w:widowControl/>
        <w:spacing w:line="520" w:lineRule="exact"/>
        <w:ind w:firstLine="640" w:firstLineChars="200"/>
        <w:rPr>
          <w:rFonts w:eastAsia="仿宋_GB2312"/>
          <w:sz w:val="32"/>
          <w:szCs w:val="32"/>
        </w:rPr>
      </w:pPr>
      <w:r>
        <w:rPr>
          <w:rFonts w:eastAsia="仿宋_GB2312"/>
          <w:sz w:val="32"/>
          <w:szCs w:val="32"/>
        </w:rPr>
        <w:t>生化分析</w:t>
      </w:r>
      <w:r>
        <w:rPr>
          <w:rFonts w:hint="eastAsia" w:eastAsia="仿宋_GB2312"/>
          <w:sz w:val="32"/>
          <w:szCs w:val="32"/>
        </w:rPr>
        <w:t>模块的</w:t>
      </w:r>
      <w:r>
        <w:rPr>
          <w:rFonts w:eastAsia="仿宋_GB2312"/>
          <w:sz w:val="32"/>
          <w:szCs w:val="32"/>
        </w:rPr>
        <w:t>性能指标项目主要包括以下要求：杂散光、吸光度线性范围、吸光度准确性、吸光度的稳定性、吸光度的重复性、温度准确度与波动度、样品携带污染率、加样准确度与重复性、临床项目的批内精密度要求。</w:t>
      </w:r>
    </w:p>
    <w:p w14:paraId="5646628A">
      <w:pPr>
        <w:widowControl/>
        <w:spacing w:line="520" w:lineRule="exact"/>
        <w:ind w:firstLine="640" w:firstLineChars="200"/>
        <w:rPr>
          <w:rFonts w:eastAsia="仿宋_GB2312"/>
          <w:sz w:val="32"/>
          <w:szCs w:val="32"/>
          <w:highlight w:val="yellow"/>
        </w:rPr>
      </w:pPr>
      <w:r>
        <w:rPr>
          <w:rFonts w:hint="eastAsia" w:eastAsia="仿宋_GB2312"/>
          <w:sz w:val="32"/>
          <w:szCs w:val="32"/>
        </w:rPr>
        <w:t>免疫分析模块的性能指标项目主要包括以下要求：加样正确度与重复性、反应区温度控制的正确度和波动度、仪器噪声、发光值的线性、发光值的重复性、发光值的稳定性、携带污染率、临床项目的批内精密度</w:t>
      </w:r>
      <w:r>
        <w:rPr>
          <w:rFonts w:eastAsia="仿宋_GB2312"/>
          <w:sz w:val="32"/>
          <w:szCs w:val="32"/>
        </w:rPr>
        <w:t>要求。</w:t>
      </w:r>
    </w:p>
    <w:p w14:paraId="653F28A3">
      <w:pPr>
        <w:widowControl/>
        <w:spacing w:line="520" w:lineRule="exact"/>
        <w:ind w:firstLine="640" w:firstLineChars="200"/>
        <w:rPr>
          <w:rFonts w:eastAsia="仿宋_GB2312"/>
          <w:sz w:val="32"/>
          <w:szCs w:val="32"/>
        </w:rPr>
      </w:pPr>
      <w:r>
        <w:rPr>
          <w:rFonts w:hint="eastAsia" w:eastAsia="仿宋_GB2312"/>
          <w:sz w:val="32"/>
          <w:szCs w:val="32"/>
        </w:rPr>
        <w:t>除各模块专项性能外，申报产品需考虑整机的样本携带污染率（模块间样本携带污染）、产品</w:t>
      </w:r>
      <w:r>
        <w:rPr>
          <w:rFonts w:eastAsia="仿宋_GB2312"/>
          <w:sz w:val="32"/>
          <w:szCs w:val="32"/>
        </w:rPr>
        <w:t>外观、安全性能、电磁兼容</w:t>
      </w:r>
      <w:r>
        <w:rPr>
          <w:rFonts w:hint="eastAsia" w:eastAsia="仿宋_GB2312"/>
          <w:sz w:val="32"/>
          <w:szCs w:val="32"/>
        </w:rPr>
        <w:t>、网络安全等通用要求。</w:t>
      </w:r>
    </w:p>
    <w:p w14:paraId="4306F39E">
      <w:pPr>
        <w:widowControl/>
        <w:spacing w:line="520" w:lineRule="exact"/>
        <w:ind w:firstLine="640" w:firstLineChars="200"/>
        <w:rPr>
          <w:rFonts w:eastAsia="仿宋_GB2312"/>
          <w:sz w:val="32"/>
          <w:szCs w:val="32"/>
        </w:rPr>
      </w:pPr>
      <w:r>
        <w:rPr>
          <w:rFonts w:eastAsia="仿宋_GB2312"/>
          <w:sz w:val="32"/>
          <w:szCs w:val="32"/>
        </w:rPr>
        <w:t>需要注意的是，</w:t>
      </w:r>
      <w:r>
        <w:rPr>
          <w:rFonts w:hint="eastAsia" w:eastAsia="仿宋_GB2312"/>
          <w:sz w:val="32"/>
          <w:szCs w:val="32"/>
        </w:rPr>
        <w:t>涉及的相关</w:t>
      </w:r>
      <w:r>
        <w:rPr>
          <w:rFonts w:eastAsia="仿宋_GB2312"/>
          <w:sz w:val="32"/>
          <w:szCs w:val="32"/>
        </w:rPr>
        <w:t>行业标准中的技术指标未包含报警功能，审查中应考虑报警功能的必要性，如：对需定期更换光源部件的仪器，除使用说明书中应指出定期更换的周期、要求外，仪器还应在超过规定线性吸光度范围时，具有提示或报警功能。其他情况的吸光度异常也应考虑设置报警功能。另外，当样本、试剂不足时，仪器应有提示或报警措施，否则在临床使用中会产生风险。如果根据风险分析报警是必须的，建议写入产品技术要求中。</w:t>
      </w:r>
    </w:p>
    <w:p w14:paraId="7CBCDEA5">
      <w:pPr>
        <w:widowControl/>
        <w:spacing w:line="520" w:lineRule="exact"/>
        <w:ind w:firstLine="640" w:firstLineChars="200"/>
        <w:rPr>
          <w:rFonts w:eastAsia="仿宋_GB2312"/>
          <w:sz w:val="32"/>
          <w:szCs w:val="32"/>
        </w:rPr>
      </w:pPr>
      <w:r>
        <w:rPr>
          <w:rFonts w:eastAsia="仿宋_GB2312"/>
          <w:sz w:val="32"/>
          <w:szCs w:val="32"/>
        </w:rPr>
        <w:t>2.1.3安全要求</w:t>
      </w:r>
    </w:p>
    <w:p w14:paraId="74B64F82">
      <w:pPr>
        <w:widowControl/>
        <w:spacing w:line="520" w:lineRule="exact"/>
        <w:ind w:firstLine="640" w:firstLineChars="200"/>
        <w:rPr>
          <w:rFonts w:eastAsia="仿宋_GB2312"/>
          <w:sz w:val="32"/>
          <w:szCs w:val="32"/>
        </w:rPr>
      </w:pPr>
      <w:r>
        <w:rPr>
          <w:rFonts w:eastAsia="仿宋_GB2312"/>
          <w:sz w:val="32"/>
          <w:szCs w:val="32"/>
        </w:rPr>
        <w:t>应符合GB 4793、GB</w:t>
      </w:r>
      <w:r>
        <w:rPr>
          <w:rFonts w:hint="eastAsia" w:eastAsia="仿宋_GB2312"/>
          <w:sz w:val="32"/>
          <w:szCs w:val="32"/>
        </w:rPr>
        <w:t>/</w:t>
      </w:r>
      <w:r>
        <w:rPr>
          <w:rFonts w:eastAsia="仿宋_GB2312"/>
          <w:sz w:val="32"/>
          <w:szCs w:val="32"/>
        </w:rPr>
        <w:t>T 42125.1</w:t>
      </w:r>
      <w:r>
        <w:rPr>
          <w:rFonts w:hint="eastAsia" w:eastAsia="仿宋_GB2312"/>
          <w:sz w:val="32"/>
          <w:szCs w:val="32"/>
        </w:rPr>
        <w:t>、</w:t>
      </w:r>
      <w:r>
        <w:rPr>
          <w:rFonts w:eastAsia="仿宋_GB2312"/>
          <w:sz w:val="32"/>
          <w:szCs w:val="32"/>
        </w:rPr>
        <w:t>GB/T</w:t>
      </w:r>
      <w:r>
        <w:rPr>
          <w:rFonts w:hint="eastAsia" w:eastAsia="仿宋_GB2312"/>
          <w:sz w:val="32"/>
          <w:szCs w:val="32"/>
        </w:rPr>
        <w:t xml:space="preserve"> </w:t>
      </w:r>
      <w:r>
        <w:rPr>
          <w:rFonts w:eastAsia="仿宋_GB2312"/>
          <w:sz w:val="32"/>
          <w:szCs w:val="32"/>
        </w:rPr>
        <w:t>42125.2、YY</w:t>
      </w:r>
      <w:r>
        <w:rPr>
          <w:rFonts w:hint="eastAsia" w:eastAsia="仿宋_GB2312"/>
          <w:sz w:val="32"/>
          <w:szCs w:val="32"/>
        </w:rPr>
        <w:t>/</w:t>
      </w:r>
      <w:r>
        <w:rPr>
          <w:rFonts w:eastAsia="仿宋_GB2312"/>
          <w:sz w:val="32"/>
          <w:szCs w:val="32"/>
        </w:rPr>
        <w:t>T 0648中适用条款的要求。</w:t>
      </w:r>
    </w:p>
    <w:p w14:paraId="111519E7">
      <w:pPr>
        <w:widowControl/>
        <w:spacing w:line="520" w:lineRule="exact"/>
        <w:ind w:firstLine="640" w:firstLineChars="200"/>
        <w:rPr>
          <w:rFonts w:eastAsia="仿宋_GB2312"/>
          <w:sz w:val="32"/>
          <w:szCs w:val="32"/>
        </w:rPr>
      </w:pPr>
      <w:r>
        <w:rPr>
          <w:rFonts w:eastAsia="仿宋_GB2312"/>
          <w:sz w:val="32"/>
          <w:szCs w:val="32"/>
        </w:rPr>
        <w:t>2.1.4电磁兼容要求</w:t>
      </w:r>
    </w:p>
    <w:p w14:paraId="718F6724">
      <w:pPr>
        <w:widowControl/>
        <w:spacing w:line="520" w:lineRule="exact"/>
        <w:ind w:firstLine="640" w:firstLineChars="200"/>
        <w:rPr>
          <w:rFonts w:eastAsia="仿宋_GB2312"/>
          <w:sz w:val="32"/>
          <w:szCs w:val="32"/>
        </w:rPr>
      </w:pPr>
      <w:r>
        <w:rPr>
          <w:rFonts w:eastAsia="仿宋_GB2312"/>
          <w:sz w:val="32"/>
          <w:szCs w:val="32"/>
        </w:rPr>
        <w:t>应符合GB/T 18268.1、GB/T 18268.26中适用条款的要求。</w:t>
      </w:r>
    </w:p>
    <w:p w14:paraId="2574C112">
      <w:pPr>
        <w:widowControl/>
        <w:spacing w:line="520" w:lineRule="exact"/>
        <w:ind w:firstLine="640" w:firstLineChars="200"/>
        <w:rPr>
          <w:rFonts w:eastAsia="仿宋_GB2312"/>
          <w:sz w:val="32"/>
          <w:szCs w:val="32"/>
        </w:rPr>
      </w:pPr>
      <w:r>
        <w:rPr>
          <w:rFonts w:eastAsia="仿宋_GB2312"/>
          <w:sz w:val="32"/>
          <w:szCs w:val="32"/>
        </w:rPr>
        <w:t>2.1.5软件功能要求</w:t>
      </w:r>
    </w:p>
    <w:p w14:paraId="0B1FA616">
      <w:pPr>
        <w:widowControl/>
        <w:spacing w:line="520" w:lineRule="exact"/>
        <w:ind w:firstLine="640" w:firstLineChars="200"/>
        <w:rPr>
          <w:rFonts w:eastAsia="仿宋_GB2312"/>
          <w:sz w:val="32"/>
          <w:szCs w:val="32"/>
        </w:rPr>
      </w:pPr>
      <w:r>
        <w:rPr>
          <w:rFonts w:eastAsia="仿宋_GB2312"/>
          <w:sz w:val="32"/>
          <w:szCs w:val="32"/>
        </w:rPr>
        <w:t>应参照《医疗器械软件注册审查指导原则（2022年修订版）》的相关要求，明确软件的性能指标。</w:t>
      </w:r>
      <w:r>
        <w:rPr>
          <w:rFonts w:eastAsia="仿宋_GB2312"/>
          <w:kern w:val="0"/>
          <w:sz w:val="32"/>
          <w:szCs w:val="32"/>
        </w:rPr>
        <w:t>需要说明软件组件名称、软件发布版本、软件版本命名规则，明确软件版本的全部字段及每个字段的含义。还应在“性能指标”和“检验方法”中明确写明软件组件的全部核心功能纲要和检验方法。</w:t>
      </w:r>
    </w:p>
    <w:p w14:paraId="58334599">
      <w:pPr>
        <w:widowControl/>
        <w:spacing w:line="520" w:lineRule="exact"/>
        <w:ind w:firstLine="640" w:firstLineChars="200"/>
        <w:rPr>
          <w:rFonts w:eastAsia="仿宋_GB2312"/>
          <w:sz w:val="32"/>
          <w:szCs w:val="32"/>
        </w:rPr>
      </w:pPr>
      <w:r>
        <w:rPr>
          <w:rFonts w:eastAsia="仿宋_GB2312"/>
          <w:sz w:val="32"/>
          <w:szCs w:val="32"/>
        </w:rPr>
        <w:t>2.2检验报告</w:t>
      </w:r>
    </w:p>
    <w:p w14:paraId="4201F3D8">
      <w:pPr>
        <w:widowControl/>
        <w:spacing w:line="520" w:lineRule="exact"/>
        <w:ind w:firstLine="640" w:firstLineChars="200"/>
        <w:rPr>
          <w:rFonts w:eastAsia="仿宋_GB2312"/>
          <w:sz w:val="32"/>
          <w:szCs w:val="32"/>
        </w:rPr>
      </w:pPr>
      <w:r>
        <w:rPr>
          <w:rFonts w:eastAsia="仿宋_GB2312"/>
          <w:sz w:val="32"/>
          <w:szCs w:val="32"/>
        </w:rPr>
        <w:t>可提交以下任一形式的检验报告：</w:t>
      </w:r>
    </w:p>
    <w:p w14:paraId="5FF48992">
      <w:pPr>
        <w:widowControl/>
        <w:spacing w:line="520" w:lineRule="exact"/>
        <w:ind w:firstLine="640" w:firstLineChars="200"/>
        <w:rPr>
          <w:rFonts w:eastAsia="仿宋_GB2312"/>
          <w:sz w:val="32"/>
          <w:szCs w:val="32"/>
        </w:rPr>
      </w:pPr>
      <w:r>
        <w:rPr>
          <w:rFonts w:eastAsia="仿宋_GB2312"/>
          <w:sz w:val="32"/>
          <w:szCs w:val="32"/>
        </w:rPr>
        <w:t>2.2.1注册申请人出具的自检报告</w:t>
      </w:r>
      <w:r>
        <w:rPr>
          <w:rFonts w:hint="eastAsia" w:eastAsia="仿宋_GB2312"/>
          <w:sz w:val="32"/>
          <w:szCs w:val="32"/>
        </w:rPr>
        <w:t>。</w:t>
      </w:r>
    </w:p>
    <w:p w14:paraId="434E99A7">
      <w:pPr>
        <w:widowControl/>
        <w:spacing w:line="520" w:lineRule="exact"/>
        <w:ind w:firstLine="640" w:firstLineChars="200"/>
        <w:rPr>
          <w:rFonts w:eastAsia="仿宋_GB2312"/>
          <w:sz w:val="32"/>
          <w:szCs w:val="32"/>
        </w:rPr>
      </w:pPr>
      <w:r>
        <w:rPr>
          <w:rFonts w:eastAsia="仿宋_GB2312"/>
          <w:sz w:val="32"/>
          <w:szCs w:val="32"/>
        </w:rPr>
        <w:t>2.2.2委托有资质的医疗器械检验机构出具的检验报告。</w:t>
      </w:r>
    </w:p>
    <w:p w14:paraId="37003690">
      <w:pPr>
        <w:widowControl/>
        <w:spacing w:line="520" w:lineRule="exact"/>
        <w:ind w:firstLine="640" w:firstLineChars="200"/>
        <w:rPr>
          <w:rFonts w:eastAsia="仿宋_GB2312"/>
          <w:sz w:val="32"/>
          <w:szCs w:val="32"/>
        </w:rPr>
      </w:pPr>
      <w:r>
        <w:rPr>
          <w:rFonts w:eastAsia="仿宋_GB2312"/>
          <w:sz w:val="32"/>
          <w:szCs w:val="32"/>
        </w:rPr>
        <w:t>上述</w:t>
      </w:r>
      <w:r>
        <w:rPr>
          <w:rFonts w:hint="default" w:eastAsia="仿宋_GB2312"/>
          <w:sz w:val="32"/>
          <w:szCs w:val="32"/>
        </w:rPr>
        <w:t>电气安全及电磁兼容检验应</w:t>
      </w:r>
      <w:r>
        <w:rPr>
          <w:rFonts w:hint="eastAsia" w:eastAsia="仿宋_GB2312"/>
          <w:sz w:val="32"/>
          <w:szCs w:val="32"/>
          <w:lang w:val="en-US" w:eastAsia="zh-CN"/>
        </w:rPr>
        <w:t>以</w:t>
      </w:r>
      <w:r>
        <w:rPr>
          <w:rFonts w:hint="default" w:eastAsia="仿宋_GB2312"/>
          <w:sz w:val="32"/>
          <w:szCs w:val="32"/>
        </w:rPr>
        <w:t>系统整体为评价对象，选取电磁环境和电气安全风险最高的典型配置进行检验，并在检验报告中注明所检配置。</w:t>
      </w:r>
    </w:p>
    <w:p w14:paraId="39697FEC">
      <w:pPr>
        <w:spacing w:line="520" w:lineRule="exact"/>
        <w:ind w:firstLine="640" w:firstLineChars="200"/>
        <w:rPr>
          <w:rFonts w:eastAsia="仿宋_GB2312"/>
          <w:sz w:val="32"/>
          <w:szCs w:val="32"/>
        </w:rPr>
      </w:pPr>
      <w:r>
        <w:rPr>
          <w:rFonts w:eastAsia="仿宋_GB2312"/>
          <w:sz w:val="32"/>
          <w:szCs w:val="32"/>
        </w:rPr>
        <w:t>2.3同一注册单元内检验典型性产品确定原则</w:t>
      </w:r>
    </w:p>
    <w:p w14:paraId="1F5D5BED">
      <w:pPr>
        <w:spacing w:line="520" w:lineRule="exact"/>
        <w:ind w:firstLine="640" w:firstLineChars="200"/>
        <w:rPr>
          <w:rFonts w:eastAsia="仿宋_GB2312"/>
          <w:sz w:val="32"/>
          <w:szCs w:val="32"/>
        </w:rPr>
      </w:pPr>
      <w:r>
        <w:rPr>
          <w:rFonts w:eastAsia="仿宋_GB2312"/>
          <w:sz w:val="32"/>
          <w:szCs w:val="32"/>
        </w:rPr>
        <w:t>应说明检验用型号规格的典型性，如所检型号规格部分性能指标不足以覆盖其他型号规格时，应针对差异部分进行检验。同一注册单元内注册检验典型性产品确定原则和实例如下：</w:t>
      </w:r>
    </w:p>
    <w:p w14:paraId="5B9C48BF">
      <w:pPr>
        <w:widowControl/>
        <w:spacing w:line="520" w:lineRule="exact"/>
        <w:ind w:firstLine="640" w:firstLineChars="200"/>
        <w:rPr>
          <w:rFonts w:eastAsia="仿宋_GB2312"/>
          <w:sz w:val="32"/>
          <w:szCs w:val="32"/>
        </w:rPr>
      </w:pPr>
      <w:r>
        <w:rPr>
          <w:rFonts w:eastAsia="仿宋_GB2312"/>
          <w:sz w:val="32"/>
          <w:szCs w:val="32"/>
        </w:rPr>
        <w:t>功能的覆盖按最不利的原则确定，不能覆盖的差异性应作检测；产品的结构、性能指标的覆盖；涉及安全性、有效性的关键件的一致性（关键件的规格类型等），不一致的应作检测。</w:t>
      </w:r>
    </w:p>
    <w:p w14:paraId="159FA354">
      <w:pPr>
        <w:widowControl/>
        <w:spacing w:line="520" w:lineRule="exact"/>
        <w:ind w:firstLine="640" w:firstLineChars="200"/>
        <w:rPr>
          <w:rFonts w:eastAsia="仿宋_GB2312"/>
          <w:kern w:val="0"/>
          <w:sz w:val="32"/>
          <w:szCs w:val="32"/>
        </w:rPr>
      </w:pPr>
      <w:r>
        <w:rPr>
          <w:rFonts w:eastAsia="仿宋_GB2312"/>
          <w:kern w:val="0"/>
          <w:sz w:val="32"/>
          <w:szCs w:val="32"/>
        </w:rPr>
        <w:t>对于代表产品的选择，申请人应当提供相关资料予以证明。对于不同型号规格产品之间电磁兼容性能可以覆盖的情形，需由出具检验报告的医疗器械检验机构提供相关说明。</w:t>
      </w:r>
    </w:p>
    <w:p w14:paraId="28497C1F">
      <w:pPr>
        <w:spacing w:line="520" w:lineRule="exact"/>
        <w:ind w:firstLine="640" w:firstLineChars="200"/>
        <w:outlineLvl w:val="3"/>
        <w:rPr>
          <w:rFonts w:eastAsia="仿宋_GB2312"/>
          <w:sz w:val="32"/>
          <w:szCs w:val="32"/>
          <w:lang w:eastAsia="zh-Hans"/>
        </w:rPr>
      </w:pPr>
      <w:r>
        <w:rPr>
          <w:rFonts w:eastAsia="仿宋_GB2312"/>
          <w:sz w:val="32"/>
          <w:szCs w:val="32"/>
        </w:rPr>
        <w:t>3</w:t>
      </w:r>
      <w:r>
        <w:rPr>
          <w:rFonts w:eastAsia="仿宋_GB2312"/>
          <w:sz w:val="32"/>
          <w:szCs w:val="32"/>
          <w:lang w:eastAsia="zh-Hans"/>
        </w:rPr>
        <w:t>.研究资料</w:t>
      </w:r>
    </w:p>
    <w:p w14:paraId="262B8A5A">
      <w:pPr>
        <w:spacing w:line="520" w:lineRule="exact"/>
        <w:ind w:firstLine="640" w:firstLineChars="200"/>
        <w:outlineLvl w:val="3"/>
        <w:rPr>
          <w:rFonts w:eastAsia="仿宋_GB2312"/>
          <w:sz w:val="32"/>
          <w:szCs w:val="32"/>
        </w:rPr>
      </w:pPr>
      <w:r>
        <w:rPr>
          <w:rFonts w:eastAsia="仿宋_GB2312"/>
          <w:sz w:val="32"/>
          <w:szCs w:val="32"/>
        </w:rPr>
        <w:t>3.1产品性能研究资料</w:t>
      </w:r>
    </w:p>
    <w:p w14:paraId="6F677768">
      <w:pPr>
        <w:spacing w:line="520" w:lineRule="exact"/>
        <w:ind w:firstLine="640" w:firstLineChars="200"/>
        <w:outlineLvl w:val="3"/>
        <w:rPr>
          <w:rFonts w:eastAsia="仿宋_GB2312"/>
          <w:sz w:val="32"/>
          <w:szCs w:val="32"/>
        </w:rPr>
      </w:pPr>
      <w:r>
        <w:rPr>
          <w:rFonts w:eastAsia="仿宋_GB2312"/>
          <w:sz w:val="32"/>
          <w:szCs w:val="32"/>
        </w:rPr>
        <w:t>申请人应依据申报产品的具体特性，提供详细的研究资料，以证明产品的安全有效性。研究资料应涵盖生化分析模块、化学发光免疫分析模块各自的性能，以及作为一体化集成系统的整体性能。</w:t>
      </w:r>
    </w:p>
    <w:p w14:paraId="6F5CD361">
      <w:pPr>
        <w:spacing w:line="520" w:lineRule="exact"/>
        <w:ind w:firstLine="640" w:firstLineChars="200"/>
        <w:outlineLvl w:val="3"/>
        <w:rPr>
          <w:rFonts w:eastAsia="仿宋_GB2312"/>
          <w:sz w:val="32"/>
          <w:szCs w:val="32"/>
        </w:rPr>
      </w:pPr>
      <w:r>
        <w:rPr>
          <w:rFonts w:eastAsia="仿宋_GB2312"/>
          <w:sz w:val="32"/>
          <w:szCs w:val="32"/>
        </w:rPr>
        <w:t xml:space="preserve">3.1.1 </w:t>
      </w:r>
      <w:r>
        <w:rPr>
          <w:rFonts w:hint="eastAsia" w:eastAsia="仿宋_GB2312"/>
          <w:sz w:val="32"/>
          <w:szCs w:val="32"/>
        </w:rPr>
        <w:t>生化分析模块性能研究</w:t>
      </w:r>
    </w:p>
    <w:p w14:paraId="57262127">
      <w:pPr>
        <w:spacing w:line="520" w:lineRule="exact"/>
        <w:ind w:firstLine="640" w:firstLineChars="200"/>
        <w:outlineLvl w:val="3"/>
        <w:rPr>
          <w:rFonts w:eastAsia="仿宋_GB2312"/>
          <w:sz w:val="32"/>
          <w:szCs w:val="32"/>
        </w:rPr>
      </w:pPr>
      <w:r>
        <w:rPr>
          <w:rFonts w:eastAsia="仿宋_GB2312"/>
          <w:sz w:val="32"/>
          <w:szCs w:val="32"/>
        </w:rPr>
        <w:t>应根据申报产品生化分析模块的具体结构组成和技术特征，参照YY/T 0654《全自动生化分析仪》的要求，提供详细的研究资料。研究项目应至少包括：</w:t>
      </w:r>
    </w:p>
    <w:p w14:paraId="6CD2CB2D">
      <w:pPr>
        <w:spacing w:line="520" w:lineRule="exact"/>
        <w:ind w:firstLine="640" w:firstLineChars="200"/>
        <w:outlineLvl w:val="4"/>
        <w:rPr>
          <w:rFonts w:eastAsia="仿宋_GB2312"/>
          <w:sz w:val="32"/>
          <w:szCs w:val="32"/>
        </w:rPr>
      </w:pPr>
      <w:r>
        <w:rPr>
          <w:rFonts w:eastAsia="仿宋_GB2312"/>
          <w:sz w:val="32"/>
          <w:szCs w:val="32"/>
        </w:rPr>
        <w:t>3.1.1.1 功能性指标</w:t>
      </w:r>
      <w:r>
        <w:rPr>
          <w:rFonts w:hint="eastAsia" w:eastAsia="仿宋_GB2312"/>
          <w:sz w:val="32"/>
          <w:szCs w:val="32"/>
        </w:rPr>
        <w:t>研究</w:t>
      </w:r>
    </w:p>
    <w:p w14:paraId="6DC980C5">
      <w:pPr>
        <w:spacing w:line="520" w:lineRule="exact"/>
        <w:ind w:firstLine="640" w:firstLineChars="200"/>
        <w:rPr>
          <w:rFonts w:eastAsia="仿宋_GB2312"/>
          <w:sz w:val="32"/>
          <w:szCs w:val="32"/>
        </w:rPr>
      </w:pPr>
      <w:r>
        <w:rPr>
          <w:rFonts w:eastAsia="仿宋_GB2312"/>
          <w:sz w:val="32"/>
          <w:szCs w:val="32"/>
        </w:rPr>
        <w:t>应根据综述资料中有关申报产品结构组成和各主要组件、模块的情况，提供详细的组件的功能性指标或者模块中主要元器件功能性指标的研究资料。</w:t>
      </w:r>
    </w:p>
    <w:p w14:paraId="665DF67B">
      <w:pPr>
        <w:spacing w:line="520" w:lineRule="exact"/>
        <w:ind w:firstLine="640" w:firstLineChars="200"/>
        <w:outlineLvl w:val="4"/>
        <w:rPr>
          <w:rFonts w:eastAsia="仿宋_GB2312"/>
          <w:sz w:val="32"/>
          <w:szCs w:val="32"/>
        </w:rPr>
      </w:pPr>
      <w:r>
        <w:rPr>
          <w:rFonts w:hint="eastAsia" w:eastAsia="仿宋_GB2312"/>
          <w:sz w:val="32"/>
          <w:szCs w:val="32"/>
        </w:rPr>
        <w:t>生化分析模块</w:t>
      </w:r>
      <w:r>
        <w:rPr>
          <w:rFonts w:eastAsia="仿宋_GB2312"/>
          <w:sz w:val="32"/>
          <w:szCs w:val="32"/>
        </w:rPr>
        <w:t>应包括杂散光、吸光度（线性范围、准确度、稳定性、重复性）、温度准确度与波动度、样品携带污染率、加样准确度与重复性等研究项目。结合产品</w:t>
      </w:r>
      <w:r>
        <w:rPr>
          <w:rFonts w:hint="eastAsia" w:eastAsia="仿宋_GB2312"/>
          <w:sz w:val="32"/>
          <w:szCs w:val="32"/>
        </w:rPr>
        <w:t>生化分析模块</w:t>
      </w:r>
      <w:r>
        <w:rPr>
          <w:rFonts w:eastAsia="仿宋_GB2312"/>
          <w:sz w:val="32"/>
          <w:szCs w:val="32"/>
        </w:rPr>
        <w:t>各主要组件、</w:t>
      </w:r>
      <w:r>
        <w:rPr>
          <w:rFonts w:hint="eastAsia" w:eastAsia="仿宋_GB2312"/>
          <w:sz w:val="32"/>
          <w:szCs w:val="32"/>
        </w:rPr>
        <w:t>子</w:t>
      </w:r>
      <w:r>
        <w:rPr>
          <w:rFonts w:eastAsia="仿宋_GB2312"/>
          <w:sz w:val="32"/>
          <w:szCs w:val="32"/>
        </w:rPr>
        <w:t>模块的情况，还应考虑对</w:t>
      </w:r>
      <w:r>
        <w:rPr>
          <w:rFonts w:hint="eastAsia" w:eastAsia="仿宋_GB2312"/>
          <w:sz w:val="32"/>
          <w:szCs w:val="32"/>
        </w:rPr>
        <w:t>生化分析模块</w:t>
      </w:r>
      <w:r>
        <w:rPr>
          <w:rFonts w:eastAsia="仿宋_GB2312"/>
          <w:sz w:val="32"/>
          <w:szCs w:val="32"/>
        </w:rPr>
        <w:t>的光电比色部分、进样系统 、温控装置、数据处理系统等部分提交研究资料。</w:t>
      </w:r>
    </w:p>
    <w:p w14:paraId="3DC5C2B2">
      <w:pPr>
        <w:spacing w:line="520" w:lineRule="exact"/>
        <w:ind w:firstLine="640" w:firstLineChars="200"/>
        <w:outlineLvl w:val="4"/>
        <w:rPr>
          <w:rFonts w:eastAsia="仿宋_GB2312"/>
          <w:sz w:val="32"/>
          <w:szCs w:val="32"/>
        </w:rPr>
      </w:pPr>
      <w:r>
        <w:rPr>
          <w:rFonts w:eastAsia="仿宋_GB2312"/>
          <w:sz w:val="32"/>
          <w:szCs w:val="32"/>
        </w:rPr>
        <w:t>3.1.1.2临床项目分析性能研究</w:t>
      </w:r>
    </w:p>
    <w:p w14:paraId="04435CD8">
      <w:pPr>
        <w:spacing w:line="520" w:lineRule="exact"/>
        <w:ind w:firstLine="640" w:firstLineChars="200"/>
        <w:outlineLvl w:val="4"/>
        <w:rPr>
          <w:rFonts w:hint="eastAsia" w:eastAsia="仿宋_GB2312"/>
          <w:sz w:val="32"/>
          <w:szCs w:val="32"/>
        </w:rPr>
      </w:pPr>
      <w:r>
        <w:rPr>
          <w:rFonts w:hint="eastAsia" w:eastAsia="仿宋_GB2312"/>
          <w:sz w:val="32"/>
          <w:szCs w:val="32"/>
          <w:lang w:val="en-US" w:eastAsia="zh-CN"/>
        </w:rPr>
        <w:t>建议注册申请人根据样本类型，结合临床可检测项目，在仪器可检测范围内选择选择配套试剂型号或试剂组合，对配套试剂产品的主要性能进行系统性评估，提交临床项目分析性能的研究资料，包括但不限于重复性、准确度、线性、分析灵敏度等项目。应</w:t>
      </w:r>
      <w:r>
        <w:rPr>
          <w:rFonts w:hint="eastAsia" w:eastAsia="仿宋_GB2312"/>
          <w:sz w:val="32"/>
          <w:szCs w:val="32"/>
        </w:rPr>
        <w:t>详细说明项目选择的依据及研究方案的科学性。</w:t>
      </w:r>
    </w:p>
    <w:p w14:paraId="155AC0FA">
      <w:pPr>
        <w:spacing w:line="520" w:lineRule="exact"/>
        <w:ind w:firstLine="640" w:firstLineChars="200"/>
        <w:outlineLvl w:val="4"/>
        <w:rPr>
          <w:rFonts w:eastAsia="仿宋_GB2312"/>
          <w:sz w:val="32"/>
          <w:szCs w:val="32"/>
        </w:rPr>
      </w:pPr>
      <w:r>
        <w:rPr>
          <w:rFonts w:hint="eastAsia" w:eastAsia="仿宋_GB2312"/>
          <w:sz w:val="32"/>
          <w:szCs w:val="32"/>
        </w:rPr>
        <w:t>3</w:t>
      </w:r>
      <w:r>
        <w:rPr>
          <w:rFonts w:eastAsia="仿宋_GB2312"/>
          <w:sz w:val="32"/>
          <w:szCs w:val="32"/>
        </w:rPr>
        <w:t xml:space="preserve">.1.2 </w:t>
      </w:r>
      <w:r>
        <w:rPr>
          <w:rFonts w:hint="eastAsia" w:eastAsia="仿宋_GB2312"/>
          <w:sz w:val="32"/>
          <w:szCs w:val="32"/>
        </w:rPr>
        <w:t>化学发光免疫分析模块性能研究</w:t>
      </w:r>
    </w:p>
    <w:p w14:paraId="55A9F875">
      <w:pPr>
        <w:spacing w:line="520" w:lineRule="exact"/>
        <w:ind w:firstLine="640" w:firstLineChars="200"/>
        <w:outlineLvl w:val="4"/>
        <w:rPr>
          <w:rFonts w:eastAsia="仿宋_GB2312"/>
          <w:sz w:val="32"/>
          <w:szCs w:val="32"/>
        </w:rPr>
      </w:pPr>
      <w:r>
        <w:rPr>
          <w:rFonts w:eastAsia="仿宋_GB2312"/>
          <w:sz w:val="32"/>
          <w:szCs w:val="32"/>
        </w:rPr>
        <w:t>应根据申报产品化学发光免疫分析模块的具体结构组成、采用的发光剂类型及反应模式，参照YY/T 1155《全自动发光免疫分析仪》的要求，提供详细的研究资料。</w:t>
      </w:r>
    </w:p>
    <w:p w14:paraId="74AD7ED6">
      <w:pPr>
        <w:spacing w:line="520" w:lineRule="exact"/>
        <w:ind w:firstLine="640" w:firstLineChars="200"/>
        <w:outlineLvl w:val="4"/>
        <w:rPr>
          <w:rFonts w:eastAsia="仿宋_GB2312"/>
          <w:sz w:val="32"/>
          <w:szCs w:val="32"/>
        </w:rPr>
      </w:pPr>
      <w:r>
        <w:rPr>
          <w:rFonts w:hint="eastAsia" w:eastAsia="仿宋_GB2312"/>
          <w:sz w:val="32"/>
          <w:szCs w:val="32"/>
        </w:rPr>
        <w:t>3</w:t>
      </w:r>
      <w:r>
        <w:rPr>
          <w:rFonts w:eastAsia="仿宋_GB2312"/>
          <w:sz w:val="32"/>
          <w:szCs w:val="32"/>
        </w:rPr>
        <w:t xml:space="preserve">.1.2.1 </w:t>
      </w:r>
      <w:r>
        <w:rPr>
          <w:rFonts w:hint="eastAsia" w:eastAsia="仿宋_GB2312"/>
          <w:sz w:val="32"/>
          <w:szCs w:val="32"/>
        </w:rPr>
        <w:t>模块性能研究</w:t>
      </w:r>
    </w:p>
    <w:p w14:paraId="3EE7CBE2">
      <w:pPr>
        <w:spacing w:line="520" w:lineRule="exact"/>
        <w:ind w:firstLine="640" w:firstLineChars="200"/>
        <w:rPr>
          <w:rFonts w:eastAsia="仿宋_GB2312"/>
          <w:kern w:val="0"/>
          <w:sz w:val="32"/>
          <w:szCs w:val="32"/>
        </w:rPr>
      </w:pPr>
      <w:r>
        <w:rPr>
          <w:rFonts w:eastAsia="仿宋_GB2312"/>
          <w:kern w:val="0"/>
          <w:sz w:val="32"/>
          <w:szCs w:val="32"/>
        </w:rPr>
        <w:t>应根据综述资料中有关申报产品结构组成和各主要组成模块的情况进行，提供详细的研究资料，如对材料配备模块、液路模块、温度控制模块、机械传动模块、光路检测模块、电路控制模块的功能性指标或者模块中关键元器件功能性指标及质量控制指标的研究资料。</w:t>
      </w:r>
    </w:p>
    <w:p w14:paraId="5D85658E">
      <w:pPr>
        <w:spacing w:line="520" w:lineRule="exact"/>
        <w:ind w:firstLine="640" w:firstLineChars="200"/>
        <w:rPr>
          <w:rFonts w:eastAsia="仿宋_GB2312"/>
          <w:kern w:val="0"/>
          <w:sz w:val="32"/>
          <w:szCs w:val="32"/>
        </w:rPr>
      </w:pPr>
      <w:r>
        <w:rPr>
          <w:rFonts w:eastAsia="仿宋_GB2312"/>
          <w:kern w:val="0"/>
          <w:sz w:val="32"/>
          <w:szCs w:val="32"/>
        </w:rPr>
        <w:t>研究资料中应详细写明通过研究验证确定的分析仪性能及关键元器件信息（如元器件的名称、生产企业、型号、主要性能参数等）。</w:t>
      </w:r>
    </w:p>
    <w:p w14:paraId="6195EB39">
      <w:pPr>
        <w:spacing w:line="520" w:lineRule="exact"/>
        <w:ind w:firstLine="640" w:firstLineChars="200"/>
        <w:rPr>
          <w:rFonts w:eastAsia="仿宋_GB2312"/>
          <w:kern w:val="0"/>
          <w:sz w:val="32"/>
          <w:szCs w:val="32"/>
        </w:rPr>
      </w:pPr>
      <w:r>
        <w:rPr>
          <w:rFonts w:hint="eastAsia" w:eastAsia="仿宋_GB2312"/>
          <w:kern w:val="0"/>
          <w:sz w:val="32"/>
          <w:szCs w:val="32"/>
        </w:rPr>
        <w:t>3</w:t>
      </w:r>
      <w:r>
        <w:rPr>
          <w:rFonts w:eastAsia="仿宋_GB2312"/>
          <w:kern w:val="0"/>
          <w:sz w:val="32"/>
          <w:szCs w:val="32"/>
        </w:rPr>
        <w:t xml:space="preserve">.1.2.2 </w:t>
      </w:r>
      <w:r>
        <w:rPr>
          <w:rFonts w:hint="eastAsia" w:eastAsia="仿宋_GB2312"/>
          <w:kern w:val="0"/>
          <w:sz w:val="32"/>
          <w:szCs w:val="32"/>
        </w:rPr>
        <w:t>临床项目分析性能研究</w:t>
      </w:r>
    </w:p>
    <w:p w14:paraId="4F6DE676">
      <w:pPr>
        <w:spacing w:line="520" w:lineRule="exact"/>
        <w:ind w:firstLine="640" w:firstLineChars="200"/>
        <w:rPr>
          <w:rFonts w:eastAsia="仿宋_GB2312"/>
          <w:kern w:val="0"/>
          <w:sz w:val="32"/>
          <w:szCs w:val="32"/>
        </w:rPr>
      </w:pPr>
      <w:r>
        <w:rPr>
          <w:rFonts w:eastAsia="仿宋_GB2312"/>
          <w:kern w:val="0"/>
          <w:sz w:val="32"/>
          <w:szCs w:val="32"/>
        </w:rPr>
        <w:t>建议申请人根据配套检测试剂分析性能评估的基础研究结果，综合考虑申报产品的反应模式及可检测的被分析物情况，按照对申报产品评价最不利原则，对每一个适用范围中的被分析物类别，采用临床样本进行研究，并提供详细的分析性能研究资料，包括准确度/阴阳性符合率、精密度、检测限、线性（如适用）等。所选项目应涵盖申报产品</w:t>
      </w:r>
      <w:r>
        <w:rPr>
          <w:rFonts w:hint="eastAsia" w:eastAsia="仿宋_GB2312"/>
          <w:kern w:val="0"/>
          <w:sz w:val="32"/>
          <w:szCs w:val="32"/>
        </w:rPr>
        <w:t>化学发光免疫分析模块</w:t>
      </w:r>
      <w:r>
        <w:rPr>
          <w:rFonts w:eastAsia="仿宋_GB2312"/>
          <w:kern w:val="0"/>
          <w:sz w:val="32"/>
          <w:szCs w:val="32"/>
        </w:rPr>
        <w:t>的反应模式、可检测的样本类型及被分析物大类。并在研究资料中详述选择的依据，以支持所选项目的代表性及研究方案的科学性。</w:t>
      </w:r>
    </w:p>
    <w:p w14:paraId="462F2744">
      <w:pPr>
        <w:spacing w:line="520" w:lineRule="exact"/>
        <w:ind w:firstLine="640" w:firstLineChars="200"/>
        <w:rPr>
          <w:rFonts w:eastAsia="仿宋_GB2312"/>
          <w:kern w:val="0"/>
          <w:sz w:val="32"/>
          <w:szCs w:val="32"/>
        </w:rPr>
      </w:pPr>
      <w:r>
        <w:rPr>
          <w:rFonts w:eastAsia="仿宋_GB2312"/>
          <w:kern w:val="0"/>
          <w:sz w:val="32"/>
          <w:szCs w:val="32"/>
        </w:rPr>
        <w:t>对于某些分析性能项目，如难以直接获得相应浓度水平的临床样本，此种情形下，申请人可采用临床样本进行人工添加的方法制备特殊浓度水平样本，但应当在研究资料中对此情况进行详细说明。</w:t>
      </w:r>
    </w:p>
    <w:p w14:paraId="1A0232D9">
      <w:pPr>
        <w:spacing w:line="520" w:lineRule="exact"/>
        <w:ind w:firstLine="640" w:firstLineChars="200"/>
        <w:rPr>
          <w:rFonts w:eastAsia="仿宋_GB2312"/>
          <w:kern w:val="0"/>
          <w:sz w:val="32"/>
          <w:szCs w:val="32"/>
        </w:rPr>
      </w:pPr>
      <w:r>
        <w:rPr>
          <w:rFonts w:eastAsia="仿宋_GB2312"/>
          <w:kern w:val="0"/>
          <w:sz w:val="32"/>
          <w:szCs w:val="32"/>
        </w:rPr>
        <w:t>对于由已批准产品</w:t>
      </w:r>
      <w:r>
        <w:rPr>
          <w:rFonts w:hint="eastAsia" w:eastAsia="仿宋_GB2312"/>
          <w:kern w:val="0"/>
          <w:sz w:val="32"/>
          <w:szCs w:val="32"/>
        </w:rPr>
        <w:t>或已批准产品化学发光免疫分析模块</w:t>
      </w:r>
      <w:r>
        <w:rPr>
          <w:rFonts w:eastAsia="仿宋_GB2312"/>
          <w:kern w:val="0"/>
          <w:sz w:val="32"/>
          <w:szCs w:val="32"/>
        </w:rPr>
        <w:t>进行改进形成的新型号</w:t>
      </w:r>
      <w:r>
        <w:rPr>
          <w:rFonts w:hint="eastAsia" w:eastAsia="仿宋_GB2312"/>
          <w:kern w:val="0"/>
          <w:sz w:val="32"/>
          <w:szCs w:val="32"/>
        </w:rPr>
        <w:t>化学发光免疫分析模块</w:t>
      </w:r>
      <w:r>
        <w:rPr>
          <w:rFonts w:eastAsia="仿宋_GB2312"/>
          <w:kern w:val="0"/>
          <w:sz w:val="32"/>
          <w:szCs w:val="32"/>
        </w:rPr>
        <w:t>，注册人应当考虑新型号</w:t>
      </w:r>
      <w:r>
        <w:rPr>
          <w:rFonts w:hint="eastAsia" w:eastAsia="仿宋_GB2312"/>
          <w:kern w:val="0"/>
          <w:sz w:val="32"/>
          <w:szCs w:val="32"/>
        </w:rPr>
        <w:t>化学发光免疫分析模块</w:t>
      </w:r>
      <w:r>
        <w:rPr>
          <w:rFonts w:eastAsia="仿宋_GB2312"/>
          <w:kern w:val="0"/>
          <w:sz w:val="32"/>
          <w:szCs w:val="32"/>
        </w:rPr>
        <w:t>是否与已批准产品</w:t>
      </w:r>
      <w:r>
        <w:rPr>
          <w:rFonts w:hint="eastAsia" w:eastAsia="仿宋_GB2312"/>
          <w:kern w:val="0"/>
          <w:sz w:val="32"/>
          <w:szCs w:val="32"/>
        </w:rPr>
        <w:t>化学发光免疫分析模块</w:t>
      </w:r>
      <w:r>
        <w:rPr>
          <w:rFonts w:eastAsia="仿宋_GB2312"/>
          <w:kern w:val="0"/>
          <w:sz w:val="32"/>
          <w:szCs w:val="32"/>
        </w:rPr>
        <w:t>属于同一注册单元，如属于，注册人应当分析改进部分对产品</w:t>
      </w:r>
      <w:r>
        <w:rPr>
          <w:rFonts w:hint="eastAsia" w:eastAsia="仿宋_GB2312"/>
          <w:kern w:val="0"/>
          <w:sz w:val="32"/>
          <w:szCs w:val="32"/>
        </w:rPr>
        <w:t>化学发光免疫分析模块</w:t>
      </w:r>
      <w:r>
        <w:rPr>
          <w:rFonts w:eastAsia="仿宋_GB2312"/>
          <w:kern w:val="0"/>
          <w:sz w:val="32"/>
          <w:szCs w:val="32"/>
        </w:rPr>
        <w:t>安全性、有效性的影响，针对改进部分进行相应的组成</w:t>
      </w:r>
      <w:r>
        <w:rPr>
          <w:rFonts w:hint="eastAsia" w:eastAsia="仿宋_GB2312"/>
          <w:kern w:val="0"/>
          <w:sz w:val="32"/>
          <w:szCs w:val="32"/>
        </w:rPr>
        <w:t>子</w:t>
      </w:r>
      <w:r>
        <w:rPr>
          <w:rFonts w:eastAsia="仿宋_GB2312"/>
          <w:kern w:val="0"/>
          <w:sz w:val="32"/>
          <w:szCs w:val="32"/>
        </w:rPr>
        <w:t>模块或关键部件的性能研究和临床项目分析性能的研究，并提供详细的研究资料；如不属于，应当按照新产品进行产品注册申请。</w:t>
      </w:r>
    </w:p>
    <w:p w14:paraId="61656BD2">
      <w:pPr>
        <w:spacing w:line="520" w:lineRule="exact"/>
        <w:ind w:firstLine="640" w:firstLineChars="200"/>
        <w:rPr>
          <w:rFonts w:eastAsia="仿宋_GB2312"/>
          <w:kern w:val="0"/>
          <w:sz w:val="32"/>
          <w:szCs w:val="32"/>
        </w:rPr>
      </w:pPr>
      <w:r>
        <w:rPr>
          <w:rFonts w:hint="eastAsia" w:eastAsia="仿宋_GB2312"/>
          <w:kern w:val="0"/>
          <w:sz w:val="32"/>
          <w:szCs w:val="32"/>
        </w:rPr>
        <w:t>3.1.3 系统集成性能研究</w:t>
      </w:r>
    </w:p>
    <w:p w14:paraId="0AE651F3">
      <w:pPr>
        <w:spacing w:line="520" w:lineRule="exact"/>
        <w:ind w:firstLine="640" w:firstLineChars="200"/>
        <w:rPr>
          <w:rFonts w:eastAsia="仿宋_GB2312"/>
          <w:kern w:val="0"/>
          <w:sz w:val="32"/>
          <w:szCs w:val="32"/>
        </w:rPr>
      </w:pPr>
      <w:r>
        <w:rPr>
          <w:rFonts w:hint="eastAsia" w:eastAsia="仿宋_GB2312"/>
          <w:kern w:val="0"/>
          <w:sz w:val="32"/>
          <w:szCs w:val="32"/>
        </w:rPr>
        <w:t>申请人必须针对申报产品作为一体化集成系统的特性，提供专门的系统集成性能研究资料，以证明模块间协同工作的安全性、有效性与稳定性。研究应至少包括以下内容：</w:t>
      </w:r>
    </w:p>
    <w:p w14:paraId="40E29804">
      <w:pPr>
        <w:spacing w:line="520" w:lineRule="exact"/>
        <w:ind w:firstLine="640" w:firstLineChars="200"/>
        <w:rPr>
          <w:rFonts w:eastAsia="仿宋_GB2312"/>
          <w:kern w:val="0"/>
          <w:sz w:val="32"/>
          <w:szCs w:val="32"/>
        </w:rPr>
      </w:pPr>
      <w:r>
        <w:rPr>
          <w:rFonts w:hint="eastAsia" w:eastAsia="仿宋_GB2312"/>
          <w:kern w:val="0"/>
          <w:sz w:val="32"/>
          <w:szCs w:val="32"/>
        </w:rPr>
        <w:t>3.1.3.1模块间样本携带污染研究</w:t>
      </w:r>
    </w:p>
    <w:p w14:paraId="4FEEA8E5">
      <w:pPr>
        <w:spacing w:line="520" w:lineRule="exact"/>
        <w:ind w:firstLine="640" w:firstLineChars="200"/>
        <w:rPr>
          <w:rFonts w:eastAsia="仿宋_GB2312"/>
          <w:kern w:val="0"/>
          <w:sz w:val="32"/>
          <w:szCs w:val="32"/>
        </w:rPr>
      </w:pPr>
      <w:r>
        <w:rPr>
          <w:rFonts w:eastAsia="仿宋_GB2312"/>
          <w:kern w:val="0"/>
          <w:sz w:val="32"/>
          <w:szCs w:val="32"/>
        </w:rPr>
        <w:t>研究对象：应评估</w:t>
      </w:r>
      <w:r>
        <w:rPr>
          <w:rFonts w:hint="eastAsia" w:eastAsia="仿宋_GB2312"/>
          <w:kern w:val="0"/>
          <w:sz w:val="32"/>
          <w:szCs w:val="32"/>
        </w:rPr>
        <w:t>生化、免疫模块间的样本携带污染情况</w:t>
      </w:r>
      <w:r>
        <w:rPr>
          <w:rFonts w:eastAsia="仿宋_GB2312"/>
          <w:kern w:val="0"/>
          <w:sz w:val="32"/>
          <w:szCs w:val="32"/>
        </w:rPr>
        <w:t>。</w:t>
      </w:r>
    </w:p>
    <w:p w14:paraId="11D2320F">
      <w:pPr>
        <w:spacing w:line="520" w:lineRule="exact"/>
        <w:ind w:firstLine="640" w:firstLineChars="200"/>
        <w:rPr>
          <w:rFonts w:eastAsia="仿宋_GB2312"/>
          <w:kern w:val="0"/>
          <w:sz w:val="32"/>
          <w:szCs w:val="32"/>
        </w:rPr>
      </w:pPr>
      <w:r>
        <w:rPr>
          <w:rFonts w:eastAsia="仿宋_GB2312"/>
          <w:kern w:val="0"/>
          <w:sz w:val="32"/>
          <w:szCs w:val="32"/>
        </w:rPr>
        <w:t>研究设计：设计最不利的污染传递路径（如通过共用样本</w:t>
      </w:r>
      <w:r>
        <w:rPr>
          <w:rFonts w:hint="eastAsia" w:eastAsia="仿宋_GB2312"/>
          <w:kern w:val="0"/>
          <w:sz w:val="32"/>
          <w:szCs w:val="32"/>
        </w:rPr>
        <w:t>探</w:t>
      </w:r>
      <w:r>
        <w:rPr>
          <w:rFonts w:eastAsia="仿宋_GB2312"/>
          <w:kern w:val="0"/>
          <w:sz w:val="32"/>
          <w:szCs w:val="32"/>
        </w:rPr>
        <w:t>针、试剂</w:t>
      </w:r>
      <w:r>
        <w:rPr>
          <w:rFonts w:hint="eastAsia" w:eastAsia="仿宋_GB2312"/>
          <w:kern w:val="0"/>
          <w:sz w:val="32"/>
          <w:szCs w:val="32"/>
        </w:rPr>
        <w:t>探</w:t>
      </w:r>
      <w:r>
        <w:rPr>
          <w:rFonts w:eastAsia="仿宋_GB2312"/>
          <w:kern w:val="0"/>
          <w:sz w:val="32"/>
          <w:szCs w:val="32"/>
        </w:rPr>
        <w:t>针、搅拌杆、气溶胶等），采用高浓度分析物样本或干扰物质在源模块进行测试后，立即在目标模块测试低浓度或阴性样本。</w:t>
      </w:r>
    </w:p>
    <w:p w14:paraId="47D72D42">
      <w:pPr>
        <w:spacing w:line="520" w:lineRule="exact"/>
        <w:ind w:firstLine="640" w:firstLineChars="200"/>
        <w:rPr>
          <w:rFonts w:eastAsia="仿宋_GB2312"/>
          <w:kern w:val="0"/>
          <w:sz w:val="32"/>
          <w:szCs w:val="32"/>
        </w:rPr>
      </w:pPr>
      <w:r>
        <w:rPr>
          <w:rFonts w:hint="eastAsia" w:eastAsia="仿宋_GB2312"/>
          <w:kern w:val="0"/>
          <w:sz w:val="32"/>
          <w:szCs w:val="32"/>
        </w:rPr>
        <w:t>评价指标：测定携带污染率，并确认其低于可接受标准（申请人应在研究资料中明确设定依据）。</w:t>
      </w:r>
    </w:p>
    <w:p w14:paraId="24F02594">
      <w:pPr>
        <w:spacing w:line="520" w:lineRule="exact"/>
        <w:ind w:firstLine="640" w:firstLineChars="200"/>
        <w:rPr>
          <w:rFonts w:eastAsia="仿宋_GB2312"/>
          <w:kern w:val="0"/>
          <w:sz w:val="32"/>
          <w:szCs w:val="32"/>
        </w:rPr>
      </w:pPr>
      <w:r>
        <w:rPr>
          <w:rFonts w:hint="eastAsia" w:eastAsia="仿宋_GB2312"/>
          <w:kern w:val="0"/>
          <w:sz w:val="32"/>
          <w:szCs w:val="32"/>
        </w:rPr>
        <w:t>3.1.3.2系统任务调度与稳定性研究</w:t>
      </w:r>
    </w:p>
    <w:p w14:paraId="2BDE681F">
      <w:pPr>
        <w:spacing w:line="520" w:lineRule="exact"/>
        <w:ind w:firstLine="640" w:firstLineChars="200"/>
        <w:rPr>
          <w:rFonts w:eastAsia="仿宋_GB2312"/>
          <w:kern w:val="0"/>
          <w:sz w:val="32"/>
          <w:szCs w:val="32"/>
        </w:rPr>
      </w:pPr>
      <w:r>
        <w:rPr>
          <w:rFonts w:eastAsia="仿宋_GB2312"/>
          <w:kern w:val="0"/>
          <w:sz w:val="32"/>
          <w:szCs w:val="32"/>
        </w:rPr>
        <w:t>混合任务压力测试：模拟临床实际工作场景，设计包含高比例生化项目、高比例免疫项目以及生化免疫项目混合的检测任务单，并插入急诊样本</w:t>
      </w:r>
      <w:r>
        <w:rPr>
          <w:rFonts w:hint="eastAsia" w:eastAsia="仿宋_GB2312"/>
          <w:kern w:val="0"/>
          <w:sz w:val="32"/>
          <w:szCs w:val="32"/>
        </w:rPr>
        <w:t>、复查样本</w:t>
      </w:r>
      <w:r>
        <w:rPr>
          <w:rFonts w:eastAsia="仿宋_GB2312"/>
          <w:kern w:val="0"/>
          <w:sz w:val="32"/>
          <w:szCs w:val="32"/>
        </w:rPr>
        <w:t>，长时间连续运行。评估系统软件的任务调度逻辑是否正确，是否存在任务丢失、顺序错误、死机或报错。</w:t>
      </w:r>
    </w:p>
    <w:p w14:paraId="0E4D406F">
      <w:pPr>
        <w:spacing w:line="520" w:lineRule="exact"/>
        <w:ind w:firstLine="640" w:firstLineChars="200"/>
        <w:rPr>
          <w:rFonts w:eastAsia="仿宋_GB2312"/>
          <w:kern w:val="0"/>
          <w:sz w:val="32"/>
          <w:szCs w:val="32"/>
        </w:rPr>
      </w:pPr>
      <w:r>
        <w:rPr>
          <w:rFonts w:eastAsia="仿宋_GB2312"/>
          <w:kern w:val="0"/>
          <w:sz w:val="32"/>
          <w:szCs w:val="32"/>
        </w:rPr>
        <w:t>资源冲突测试：验证在机械运动（如样本臂移动）、液路操作、光学检测等可能产生资源冲突的时序点上，系统的避让或排队机制是否有效，是否会导致检测</w:t>
      </w:r>
      <w:r>
        <w:rPr>
          <w:rFonts w:hint="eastAsia" w:eastAsia="仿宋_GB2312"/>
          <w:kern w:val="0"/>
          <w:sz w:val="32"/>
          <w:szCs w:val="32"/>
        </w:rPr>
        <w:t>速度</w:t>
      </w:r>
      <w:r>
        <w:rPr>
          <w:rFonts w:eastAsia="仿宋_GB2312"/>
          <w:kern w:val="0"/>
          <w:sz w:val="32"/>
          <w:szCs w:val="32"/>
        </w:rPr>
        <w:t>异常延长或结果异常。</w:t>
      </w:r>
    </w:p>
    <w:p w14:paraId="44ADADA1">
      <w:pPr>
        <w:spacing w:line="520" w:lineRule="exact"/>
        <w:ind w:firstLine="640" w:firstLineChars="200"/>
        <w:rPr>
          <w:rFonts w:eastAsia="仿宋_GB2312"/>
          <w:kern w:val="0"/>
          <w:sz w:val="32"/>
          <w:szCs w:val="32"/>
        </w:rPr>
      </w:pPr>
      <w:r>
        <w:rPr>
          <w:rFonts w:hint="eastAsia" w:eastAsia="仿宋_GB2312"/>
          <w:kern w:val="0"/>
          <w:sz w:val="32"/>
          <w:szCs w:val="32"/>
        </w:rPr>
        <w:t>3</w:t>
      </w:r>
      <w:r>
        <w:rPr>
          <w:rFonts w:eastAsia="仿宋_GB2312"/>
          <w:kern w:val="0"/>
          <w:sz w:val="32"/>
          <w:szCs w:val="32"/>
        </w:rPr>
        <w:t>.1.3.3系统一致性研究</w:t>
      </w:r>
    </w:p>
    <w:p w14:paraId="55EAC205">
      <w:pPr>
        <w:spacing w:line="520" w:lineRule="exact"/>
        <w:ind w:firstLine="640" w:firstLineChars="200"/>
        <w:rPr>
          <w:rFonts w:eastAsia="仿宋_GB2312"/>
          <w:kern w:val="0"/>
          <w:sz w:val="32"/>
          <w:szCs w:val="32"/>
        </w:rPr>
      </w:pPr>
      <w:r>
        <w:rPr>
          <w:rFonts w:eastAsia="仿宋_GB2312"/>
          <w:kern w:val="0"/>
          <w:sz w:val="32"/>
          <w:szCs w:val="32"/>
        </w:rPr>
        <w:t>验证同一样本在不同模块检测后，其结果在统一的数据处理软件中汇总、计算、显示和报告的准确性与一致性，确保无数据混淆或关联错误。</w:t>
      </w:r>
    </w:p>
    <w:p w14:paraId="2A220D10">
      <w:pPr>
        <w:spacing w:line="520" w:lineRule="exact"/>
        <w:ind w:firstLine="640" w:firstLineChars="200"/>
        <w:rPr>
          <w:rFonts w:eastAsia="仿宋_GB2312"/>
          <w:kern w:val="0"/>
          <w:sz w:val="32"/>
          <w:szCs w:val="32"/>
        </w:rPr>
      </w:pPr>
      <w:r>
        <w:rPr>
          <w:rFonts w:eastAsia="仿宋_GB2312"/>
          <w:kern w:val="0"/>
          <w:sz w:val="32"/>
          <w:szCs w:val="32"/>
        </w:rPr>
        <w:t>3.1.4</w:t>
      </w:r>
      <w:r>
        <w:rPr>
          <w:rFonts w:hint="eastAsia" w:eastAsia="仿宋_GB2312"/>
          <w:kern w:val="0"/>
          <w:sz w:val="32"/>
          <w:szCs w:val="32"/>
        </w:rPr>
        <w:t>安全性指标研究</w:t>
      </w:r>
    </w:p>
    <w:p w14:paraId="775BF115">
      <w:pPr>
        <w:spacing w:line="520" w:lineRule="exact"/>
        <w:ind w:firstLine="640" w:firstLineChars="200"/>
        <w:rPr>
          <w:rFonts w:eastAsia="仿宋_GB2312"/>
          <w:kern w:val="0"/>
          <w:sz w:val="32"/>
          <w:szCs w:val="32"/>
        </w:rPr>
      </w:pPr>
      <w:r>
        <w:rPr>
          <w:rFonts w:eastAsia="仿宋_GB2312"/>
          <w:kern w:val="0"/>
          <w:sz w:val="32"/>
          <w:szCs w:val="32"/>
        </w:rPr>
        <w:t>安全性指标的研究包括电气安全指标和电磁兼容指标两大类。电气安全指标应当包括GB 4793</w:t>
      </w:r>
      <w:r>
        <w:rPr>
          <w:rFonts w:hint="eastAsia" w:eastAsia="仿宋_GB2312"/>
          <w:kern w:val="0"/>
          <w:sz w:val="32"/>
          <w:szCs w:val="32"/>
        </w:rPr>
        <w:t>、</w:t>
      </w:r>
      <w:r>
        <w:rPr>
          <w:rFonts w:eastAsia="仿宋_GB2312"/>
          <w:kern w:val="0"/>
          <w:sz w:val="32"/>
          <w:szCs w:val="32"/>
        </w:rPr>
        <w:t>GB/T 42125.1</w:t>
      </w:r>
      <w:r>
        <w:rPr>
          <w:rFonts w:hint="eastAsia" w:eastAsia="仿宋_GB2312"/>
          <w:kern w:val="0"/>
          <w:sz w:val="32"/>
          <w:szCs w:val="32"/>
        </w:rPr>
        <w:t>、</w:t>
      </w:r>
      <w:r>
        <w:rPr>
          <w:rFonts w:eastAsia="仿宋_GB2312"/>
          <w:kern w:val="0"/>
          <w:sz w:val="32"/>
          <w:szCs w:val="32"/>
        </w:rPr>
        <w:t>GB/T 42125.2</w:t>
      </w:r>
      <w:r>
        <w:rPr>
          <w:rFonts w:hint="eastAsia" w:eastAsia="仿宋_GB2312"/>
          <w:kern w:val="0"/>
          <w:sz w:val="32"/>
          <w:szCs w:val="32"/>
        </w:rPr>
        <w:t>、</w:t>
      </w:r>
      <w:r>
        <w:rPr>
          <w:rFonts w:eastAsia="仿宋_GB2312"/>
          <w:kern w:val="0"/>
          <w:sz w:val="32"/>
          <w:szCs w:val="32"/>
        </w:rPr>
        <w:t>YY/T 0648及其他适用的国家标准和行业标准中的所有指标，电磁兼容指标应当包括GB/T 18268.1和GB/T 18268.26及其他适用的国家标准和行业标准中的所有指标。具备能力的申请人可对上述项目自行研究，并提交详细的验证资料，不具备能力的申请人可通过委托检验对上述项目进行验证，以委托有资质的医疗器械检验机构出具的检验报告作为该部分的验证资料。</w:t>
      </w:r>
    </w:p>
    <w:p w14:paraId="5B588FCB">
      <w:pPr>
        <w:spacing w:line="520" w:lineRule="exact"/>
        <w:ind w:firstLine="640" w:firstLineChars="200"/>
        <w:rPr>
          <w:rFonts w:hint="default" w:eastAsia="仿宋_GB2312"/>
          <w:kern w:val="0"/>
          <w:sz w:val="32"/>
          <w:szCs w:val="32"/>
          <w:lang w:val="en-US" w:eastAsia="zh-CN"/>
        </w:rPr>
      </w:pPr>
      <w:r>
        <w:rPr>
          <w:rFonts w:hint="eastAsia" w:eastAsia="仿宋_GB2312"/>
          <w:kern w:val="0"/>
          <w:sz w:val="32"/>
          <w:szCs w:val="32"/>
        </w:rPr>
        <w:t>3.1.5</w:t>
      </w:r>
      <w:r>
        <w:rPr>
          <w:rFonts w:hint="eastAsia" w:eastAsia="仿宋_GB2312"/>
          <w:kern w:val="0"/>
          <w:sz w:val="32"/>
          <w:szCs w:val="32"/>
          <w:lang w:val="en-US" w:eastAsia="zh-CN"/>
        </w:rPr>
        <w:t xml:space="preserve"> 光辐射安全研究</w:t>
      </w:r>
    </w:p>
    <w:p w14:paraId="396F4C1D">
      <w:pPr>
        <w:spacing w:line="520" w:lineRule="exact"/>
        <w:ind w:firstLine="640" w:firstLineChars="200"/>
        <w:rPr>
          <w:rFonts w:eastAsia="仿宋_GB2312"/>
          <w:kern w:val="0"/>
          <w:sz w:val="32"/>
          <w:szCs w:val="32"/>
        </w:rPr>
      </w:pPr>
      <w:bookmarkStart w:id="0" w:name="_GoBack"/>
      <w:bookmarkEnd w:id="0"/>
      <w:r>
        <w:rPr>
          <w:rFonts w:hint="eastAsia" w:eastAsia="仿宋_GB2312"/>
          <w:kern w:val="0"/>
          <w:sz w:val="32"/>
          <w:szCs w:val="32"/>
        </w:rPr>
        <w:t>应参考《医疗器械光辐射安全注册审查指导原则》，根据产品特性和风险程度识别产品光辐射风险并采取相应的风险控制措施，提交相应的研究资料。</w:t>
      </w:r>
    </w:p>
    <w:p w14:paraId="7DC7CA40">
      <w:pPr>
        <w:spacing w:line="520" w:lineRule="exact"/>
        <w:ind w:firstLine="640" w:firstLineChars="200"/>
        <w:rPr>
          <w:rFonts w:eastAsia="仿宋_GB2312"/>
          <w:kern w:val="0"/>
          <w:sz w:val="32"/>
          <w:szCs w:val="32"/>
        </w:rPr>
      </w:pPr>
      <w:r>
        <w:rPr>
          <w:rFonts w:eastAsia="仿宋_GB2312"/>
          <w:kern w:val="0"/>
          <w:sz w:val="32"/>
          <w:szCs w:val="32"/>
        </w:rPr>
        <w:t>3.1.</w:t>
      </w:r>
      <w:r>
        <w:rPr>
          <w:rFonts w:hint="eastAsia" w:eastAsia="仿宋_GB2312"/>
          <w:kern w:val="0"/>
          <w:sz w:val="32"/>
          <w:szCs w:val="32"/>
        </w:rPr>
        <w:t>6</w:t>
      </w:r>
      <w:r>
        <w:rPr>
          <w:rFonts w:eastAsia="仿宋_GB2312"/>
          <w:kern w:val="0"/>
          <w:sz w:val="32"/>
          <w:szCs w:val="32"/>
        </w:rPr>
        <w:t>环境条件研究资料</w:t>
      </w:r>
    </w:p>
    <w:p w14:paraId="74A6F1A8">
      <w:pPr>
        <w:spacing w:line="520" w:lineRule="exact"/>
        <w:ind w:firstLine="640" w:firstLineChars="200"/>
        <w:rPr>
          <w:rFonts w:eastAsia="仿宋_GB2312"/>
          <w:kern w:val="0"/>
          <w:sz w:val="32"/>
          <w:szCs w:val="32"/>
        </w:rPr>
      </w:pPr>
      <w:r>
        <w:rPr>
          <w:rFonts w:eastAsia="仿宋_GB2312"/>
          <w:kern w:val="0"/>
          <w:sz w:val="32"/>
          <w:szCs w:val="32"/>
        </w:rPr>
        <w:t>应参考GB/T 14710及其他适用标准，对</w:t>
      </w:r>
      <w:r>
        <w:rPr>
          <w:rFonts w:hint="eastAsia" w:eastAsia="仿宋_GB2312"/>
          <w:kern w:val="0"/>
          <w:sz w:val="32"/>
          <w:szCs w:val="32"/>
        </w:rPr>
        <w:t>申报</w:t>
      </w:r>
      <w:r>
        <w:rPr>
          <w:rFonts w:eastAsia="仿宋_GB2312"/>
          <w:kern w:val="0"/>
          <w:sz w:val="32"/>
          <w:szCs w:val="32"/>
        </w:rPr>
        <w:t>产品的气候环境适应性、机械环境适应性及运输稳定性进行研究。研究应考虑</w:t>
      </w:r>
      <w:r>
        <w:rPr>
          <w:rFonts w:hint="eastAsia" w:eastAsia="仿宋_GB2312"/>
          <w:kern w:val="0"/>
          <w:sz w:val="32"/>
          <w:szCs w:val="32"/>
        </w:rPr>
        <w:t>申报产品</w:t>
      </w:r>
      <w:r>
        <w:rPr>
          <w:rFonts w:eastAsia="仿宋_GB2312"/>
          <w:kern w:val="0"/>
          <w:sz w:val="32"/>
          <w:szCs w:val="32"/>
        </w:rPr>
        <w:t>集成系统在复杂环境条件下，两个模块及其共享控制系统的整体稳定性。应提交相应的研究或验证报告。</w:t>
      </w:r>
    </w:p>
    <w:p w14:paraId="7FE445BF">
      <w:pPr>
        <w:spacing w:line="520" w:lineRule="exact"/>
        <w:ind w:firstLine="640" w:firstLineChars="200"/>
        <w:rPr>
          <w:rFonts w:eastAsia="仿宋_GB2312"/>
          <w:kern w:val="0"/>
          <w:sz w:val="32"/>
          <w:szCs w:val="32"/>
        </w:rPr>
      </w:pPr>
      <w:r>
        <w:rPr>
          <w:rFonts w:hint="default" w:eastAsia="仿宋_GB2312"/>
          <w:kern w:val="0"/>
          <w:sz w:val="32"/>
          <w:szCs w:val="32"/>
          <w:lang w:val="en-US" w:eastAsia="zh-CN"/>
        </w:rPr>
        <w:t>3.1.7 轨道传输系统性能研究</w:t>
      </w:r>
    </w:p>
    <w:p w14:paraId="6AD86B8E">
      <w:pPr>
        <w:spacing w:line="520" w:lineRule="exact"/>
        <w:ind w:firstLine="640" w:firstLineChars="200"/>
        <w:rPr>
          <w:rFonts w:eastAsia="仿宋_GB2312"/>
          <w:kern w:val="0"/>
          <w:sz w:val="32"/>
          <w:szCs w:val="32"/>
        </w:rPr>
      </w:pPr>
      <w:r>
        <w:rPr>
          <w:rFonts w:hint="default" w:eastAsia="仿宋_GB2312"/>
          <w:kern w:val="0"/>
          <w:sz w:val="32"/>
          <w:szCs w:val="32"/>
          <w:lang w:val="en-US" w:eastAsia="zh-CN"/>
        </w:rPr>
        <w:t>应根据产品技术要求提供轨道传输系统性能的研究资料。研究项目应至少包括样本传输速度、样本容纳量、样本条码识别管理、样本架定位等。</w:t>
      </w:r>
    </w:p>
    <w:p w14:paraId="4391B656">
      <w:pPr>
        <w:spacing w:line="520" w:lineRule="exact"/>
        <w:ind w:firstLine="640" w:firstLineChars="200"/>
        <w:rPr>
          <w:rFonts w:eastAsia="仿宋_GB2312"/>
          <w:kern w:val="0"/>
          <w:sz w:val="32"/>
          <w:szCs w:val="32"/>
        </w:rPr>
      </w:pPr>
      <w:r>
        <w:rPr>
          <w:rFonts w:eastAsia="仿宋_GB2312"/>
          <w:kern w:val="0"/>
          <w:sz w:val="32"/>
          <w:szCs w:val="32"/>
        </w:rPr>
        <w:t>3.2软件研究</w:t>
      </w:r>
    </w:p>
    <w:p w14:paraId="480CE845">
      <w:pPr>
        <w:spacing w:line="520" w:lineRule="exact"/>
        <w:ind w:firstLine="640" w:firstLineChars="200"/>
        <w:rPr>
          <w:rFonts w:eastAsia="仿宋_GB2312"/>
          <w:kern w:val="0"/>
          <w:sz w:val="32"/>
          <w:szCs w:val="32"/>
        </w:rPr>
      </w:pPr>
      <w:r>
        <w:rPr>
          <w:rFonts w:hint="eastAsia" w:eastAsia="仿宋_GB2312"/>
          <w:kern w:val="0"/>
          <w:sz w:val="32"/>
          <w:szCs w:val="32"/>
        </w:rPr>
        <w:t>申报产品</w:t>
      </w:r>
      <w:r>
        <w:rPr>
          <w:rFonts w:eastAsia="仿宋_GB2312"/>
          <w:kern w:val="0"/>
          <w:sz w:val="32"/>
          <w:szCs w:val="32"/>
        </w:rPr>
        <w:t>包含复杂的集成控制与数据处理软件，申请人应依据《医疗器械软件注册审查指导原则（2022年修订版）》提交软件研究报告。软件研究报告需要覆盖全部软件组件。</w:t>
      </w:r>
    </w:p>
    <w:p w14:paraId="32376F8A">
      <w:pPr>
        <w:spacing w:line="520" w:lineRule="exact"/>
        <w:ind w:firstLine="640" w:firstLineChars="200"/>
        <w:rPr>
          <w:rFonts w:eastAsia="仿宋_GB2312"/>
          <w:kern w:val="0"/>
          <w:sz w:val="32"/>
          <w:szCs w:val="32"/>
        </w:rPr>
      </w:pPr>
      <w:r>
        <w:rPr>
          <w:rFonts w:hint="eastAsia" w:eastAsia="仿宋_GB2312"/>
          <w:kern w:val="0"/>
          <w:sz w:val="32"/>
          <w:szCs w:val="32"/>
        </w:rPr>
        <w:t>3</w:t>
      </w:r>
      <w:r>
        <w:rPr>
          <w:rFonts w:eastAsia="仿宋_GB2312"/>
          <w:kern w:val="0"/>
          <w:sz w:val="32"/>
          <w:szCs w:val="32"/>
        </w:rPr>
        <w:t xml:space="preserve">.2.1 </w:t>
      </w:r>
      <w:r>
        <w:rPr>
          <w:rFonts w:hint="eastAsia" w:eastAsia="仿宋_GB2312"/>
          <w:kern w:val="0"/>
          <w:sz w:val="32"/>
          <w:szCs w:val="32"/>
        </w:rPr>
        <w:t>软件安全级别</w:t>
      </w:r>
    </w:p>
    <w:p w14:paraId="13BEDE1F">
      <w:pPr>
        <w:spacing w:line="520" w:lineRule="exact"/>
        <w:ind w:firstLine="640" w:firstLineChars="200"/>
        <w:rPr>
          <w:rFonts w:eastAsia="仿宋_GB2312"/>
          <w:kern w:val="0"/>
          <w:sz w:val="32"/>
          <w:szCs w:val="32"/>
        </w:rPr>
      </w:pPr>
      <w:r>
        <w:rPr>
          <w:rFonts w:eastAsia="仿宋_GB2312"/>
          <w:kern w:val="0"/>
          <w:sz w:val="32"/>
          <w:szCs w:val="32"/>
        </w:rPr>
        <w:t>根据YY/T 0664的要求及产品预期的临床检测项目可能对患者造成的风险，确定申报产品软件</w:t>
      </w:r>
      <w:r>
        <w:rPr>
          <w:rFonts w:hint="eastAsia" w:eastAsia="仿宋_GB2312"/>
          <w:kern w:val="0"/>
          <w:sz w:val="32"/>
          <w:szCs w:val="32"/>
        </w:rPr>
        <w:t>组件</w:t>
      </w:r>
      <w:r>
        <w:rPr>
          <w:rFonts w:eastAsia="仿宋_GB2312"/>
          <w:kern w:val="0"/>
          <w:sz w:val="32"/>
          <w:szCs w:val="32"/>
        </w:rPr>
        <w:t>的安全性级别，并按照确定的安全性级别提交软件</w:t>
      </w:r>
      <w:r>
        <w:rPr>
          <w:rFonts w:hint="eastAsia" w:eastAsia="仿宋_GB2312"/>
          <w:kern w:val="0"/>
          <w:sz w:val="32"/>
          <w:szCs w:val="32"/>
        </w:rPr>
        <w:t>组件</w:t>
      </w:r>
      <w:r>
        <w:rPr>
          <w:rFonts w:eastAsia="仿宋_GB2312"/>
          <w:kern w:val="0"/>
          <w:sz w:val="32"/>
          <w:szCs w:val="32"/>
        </w:rPr>
        <w:t>研究报告。鉴于产品集成了两种不同的检测路径并涉及复杂的任务调度与数据管理，其软件安全性级别一般不低于中等（B）级。</w:t>
      </w:r>
    </w:p>
    <w:p w14:paraId="1C5C0EB3">
      <w:pPr>
        <w:spacing w:line="520" w:lineRule="exact"/>
        <w:ind w:firstLine="640" w:firstLineChars="200"/>
        <w:rPr>
          <w:rFonts w:eastAsia="仿宋_GB2312"/>
          <w:kern w:val="0"/>
          <w:sz w:val="32"/>
          <w:szCs w:val="32"/>
        </w:rPr>
      </w:pPr>
      <w:r>
        <w:rPr>
          <w:rFonts w:hint="eastAsia" w:eastAsia="仿宋_GB2312"/>
          <w:kern w:val="0"/>
          <w:sz w:val="32"/>
          <w:szCs w:val="32"/>
        </w:rPr>
        <w:t>3</w:t>
      </w:r>
      <w:r>
        <w:rPr>
          <w:rFonts w:eastAsia="仿宋_GB2312"/>
          <w:kern w:val="0"/>
          <w:sz w:val="32"/>
          <w:szCs w:val="32"/>
        </w:rPr>
        <w:t xml:space="preserve">.2.2 </w:t>
      </w:r>
      <w:r>
        <w:rPr>
          <w:rFonts w:hint="eastAsia" w:eastAsia="仿宋_GB2312"/>
          <w:kern w:val="0"/>
          <w:sz w:val="32"/>
          <w:szCs w:val="32"/>
        </w:rPr>
        <w:t>核心功能</w:t>
      </w:r>
    </w:p>
    <w:p w14:paraId="12ACAECA">
      <w:pPr>
        <w:spacing w:line="520" w:lineRule="exact"/>
        <w:ind w:firstLine="640" w:firstLineChars="200"/>
        <w:rPr>
          <w:rFonts w:eastAsia="仿宋_GB2312"/>
          <w:kern w:val="0"/>
          <w:sz w:val="32"/>
          <w:szCs w:val="32"/>
        </w:rPr>
      </w:pPr>
      <w:r>
        <w:rPr>
          <w:rFonts w:eastAsia="仿宋_GB2312"/>
          <w:kern w:val="0"/>
          <w:sz w:val="32"/>
          <w:szCs w:val="32"/>
        </w:rPr>
        <w:t>研究报告应详细描述软件如何实现以下核心功能</w:t>
      </w:r>
      <w:r>
        <w:rPr>
          <w:rFonts w:hint="eastAsia" w:eastAsia="仿宋_GB2312"/>
          <w:kern w:val="0"/>
          <w:sz w:val="32"/>
          <w:szCs w:val="32"/>
        </w:rPr>
        <w:t>：</w:t>
      </w:r>
      <w:r>
        <w:rPr>
          <w:rFonts w:eastAsia="仿宋_GB2312"/>
          <w:kern w:val="0"/>
          <w:sz w:val="32"/>
          <w:szCs w:val="32"/>
        </w:rPr>
        <w:t>对生化分析流程和化学发光免疫分析流程的分别控制与参数设置</w:t>
      </w:r>
      <w:r>
        <w:rPr>
          <w:rFonts w:hint="eastAsia" w:eastAsia="仿宋_GB2312"/>
          <w:kern w:val="0"/>
          <w:sz w:val="32"/>
          <w:szCs w:val="32"/>
        </w:rPr>
        <w:t>；</w:t>
      </w:r>
      <w:r>
        <w:rPr>
          <w:rFonts w:eastAsia="仿宋_GB2312"/>
          <w:kern w:val="0"/>
          <w:sz w:val="32"/>
          <w:szCs w:val="32"/>
        </w:rPr>
        <w:t>统一的样本调度逻辑，包括样本识别、任务分配、在生化与免疫模块间的路由决策</w:t>
      </w:r>
      <w:r>
        <w:rPr>
          <w:rFonts w:hint="eastAsia" w:eastAsia="仿宋_GB2312"/>
          <w:kern w:val="0"/>
          <w:sz w:val="32"/>
          <w:szCs w:val="32"/>
        </w:rPr>
        <w:t>；</w:t>
      </w:r>
      <w:r>
        <w:rPr>
          <w:rFonts w:eastAsia="仿宋_GB2312"/>
          <w:kern w:val="0"/>
          <w:sz w:val="32"/>
          <w:szCs w:val="32"/>
        </w:rPr>
        <w:t>统一的项目、试剂、校准曲线及质控规则数据库管理</w:t>
      </w:r>
      <w:r>
        <w:rPr>
          <w:rFonts w:hint="eastAsia" w:eastAsia="仿宋_GB2312"/>
          <w:kern w:val="0"/>
          <w:sz w:val="32"/>
          <w:szCs w:val="32"/>
        </w:rPr>
        <w:t>；</w:t>
      </w:r>
      <w:r>
        <w:rPr>
          <w:rFonts w:eastAsia="仿宋_GB2312"/>
          <w:kern w:val="0"/>
          <w:sz w:val="32"/>
          <w:szCs w:val="32"/>
        </w:rPr>
        <w:t>来自两个模块的检测数据的接收、计算、审核与报告</w:t>
      </w:r>
      <w:r>
        <w:rPr>
          <w:rFonts w:hint="eastAsia" w:eastAsia="仿宋_GB2312"/>
          <w:kern w:val="0"/>
          <w:sz w:val="32"/>
          <w:szCs w:val="32"/>
        </w:rPr>
        <w:t>；</w:t>
      </w:r>
      <w:r>
        <w:rPr>
          <w:rFonts w:eastAsia="仿宋_GB2312"/>
          <w:kern w:val="0"/>
          <w:sz w:val="32"/>
          <w:szCs w:val="32"/>
        </w:rPr>
        <w:t>系统状态监控、错误报警及故障处理机制。</w:t>
      </w:r>
      <w:r>
        <w:rPr>
          <w:rFonts w:eastAsia="仿宋_GB2312"/>
          <w:kern w:val="0"/>
          <w:sz w:val="32"/>
          <w:szCs w:val="32"/>
        </w:rPr>
        <w:br w:type="textWrapping"/>
      </w:r>
      <w:r>
        <w:rPr>
          <w:rFonts w:eastAsia="仿宋_GB2312"/>
          <w:kern w:val="0"/>
          <w:sz w:val="32"/>
          <w:szCs w:val="32"/>
        </w:rPr>
        <w:t xml:space="preserve">    3.2.3 </w:t>
      </w:r>
      <w:r>
        <w:rPr>
          <w:rFonts w:hint="eastAsia" w:eastAsia="仿宋_GB2312"/>
          <w:kern w:val="0"/>
          <w:sz w:val="32"/>
          <w:szCs w:val="32"/>
        </w:rPr>
        <w:t>网络安全</w:t>
      </w:r>
    </w:p>
    <w:p w14:paraId="05BA32FC">
      <w:pPr>
        <w:spacing w:line="520" w:lineRule="exact"/>
        <w:ind w:firstLine="640" w:firstLineChars="200"/>
        <w:rPr>
          <w:rFonts w:eastAsia="仿宋_GB2312"/>
          <w:kern w:val="0"/>
          <w:sz w:val="32"/>
          <w:szCs w:val="32"/>
        </w:rPr>
      </w:pPr>
      <w:r>
        <w:rPr>
          <w:rFonts w:eastAsia="仿宋_GB2312"/>
          <w:kern w:val="0"/>
          <w:sz w:val="32"/>
          <w:szCs w:val="32"/>
        </w:rPr>
        <w:t>当产品具备电子数据交换、远程访问与控制、用户访问三种功能当中一种及以上时，均应提交网络安全研究报告。</w:t>
      </w:r>
    </w:p>
    <w:p w14:paraId="5342987B">
      <w:pPr>
        <w:spacing w:line="520" w:lineRule="exact"/>
        <w:ind w:firstLine="640" w:firstLineChars="200"/>
        <w:rPr>
          <w:rFonts w:eastAsia="仿宋_GB2312"/>
          <w:kern w:val="0"/>
          <w:sz w:val="32"/>
          <w:szCs w:val="32"/>
        </w:rPr>
      </w:pPr>
      <w:r>
        <w:rPr>
          <w:rFonts w:eastAsia="仿宋_GB2312"/>
          <w:kern w:val="0"/>
          <w:sz w:val="32"/>
          <w:szCs w:val="32"/>
        </w:rPr>
        <w:t>有关网络安全研究资料的详细内容，建议参照《医疗器械网络安全注册审查指导原则</w:t>
      </w:r>
      <w:r>
        <w:rPr>
          <w:rFonts w:hint="eastAsia" w:eastAsia="仿宋_GB2312"/>
          <w:kern w:val="0"/>
          <w:sz w:val="32"/>
          <w:szCs w:val="32"/>
        </w:rPr>
        <w:t>（2</w:t>
      </w:r>
      <w:r>
        <w:rPr>
          <w:rFonts w:eastAsia="仿宋_GB2312"/>
          <w:kern w:val="0"/>
          <w:sz w:val="32"/>
          <w:szCs w:val="32"/>
        </w:rPr>
        <w:t>022</w:t>
      </w:r>
      <w:r>
        <w:rPr>
          <w:rFonts w:hint="eastAsia" w:eastAsia="仿宋_GB2312"/>
          <w:kern w:val="0"/>
          <w:sz w:val="32"/>
          <w:szCs w:val="32"/>
        </w:rPr>
        <w:t>年修订版）</w:t>
      </w:r>
      <w:r>
        <w:rPr>
          <w:rFonts w:eastAsia="仿宋_GB2312"/>
          <w:kern w:val="0"/>
          <w:sz w:val="32"/>
          <w:szCs w:val="32"/>
        </w:rPr>
        <w:t>》的要求进行编写。</w:t>
      </w:r>
    </w:p>
    <w:p w14:paraId="3CE08398">
      <w:pPr>
        <w:spacing w:line="520" w:lineRule="exact"/>
        <w:ind w:firstLine="640" w:firstLineChars="200"/>
        <w:rPr>
          <w:rFonts w:eastAsia="仿宋_GB2312"/>
          <w:kern w:val="0"/>
          <w:sz w:val="32"/>
          <w:szCs w:val="32"/>
        </w:rPr>
      </w:pPr>
      <w:r>
        <w:rPr>
          <w:rFonts w:eastAsia="仿宋_GB2312"/>
          <w:kern w:val="0"/>
          <w:sz w:val="32"/>
          <w:szCs w:val="32"/>
        </w:rPr>
        <w:t>需特别关注</w:t>
      </w:r>
      <w:r>
        <w:rPr>
          <w:rFonts w:hint="eastAsia" w:eastAsia="仿宋_GB2312"/>
          <w:kern w:val="0"/>
          <w:sz w:val="32"/>
          <w:szCs w:val="32"/>
        </w:rPr>
        <w:t>申报产品</w:t>
      </w:r>
      <w:r>
        <w:rPr>
          <w:rFonts w:eastAsia="仿宋_GB2312"/>
          <w:kern w:val="0"/>
          <w:sz w:val="32"/>
          <w:szCs w:val="32"/>
        </w:rPr>
        <w:t>集成系统中</w:t>
      </w:r>
      <w:r>
        <w:rPr>
          <w:rFonts w:hint="eastAsia" w:eastAsia="仿宋_GB2312"/>
          <w:kern w:val="0"/>
          <w:sz w:val="32"/>
          <w:szCs w:val="32"/>
        </w:rPr>
        <w:t>生化分析模块和化学发光免疫分析模块</w:t>
      </w:r>
      <w:r>
        <w:rPr>
          <w:rFonts w:eastAsia="仿宋_GB2312"/>
          <w:kern w:val="0"/>
          <w:sz w:val="32"/>
          <w:szCs w:val="32"/>
        </w:rPr>
        <w:t>双数据流的安全传输、存储与访问控制。</w:t>
      </w:r>
    </w:p>
    <w:p w14:paraId="0C25410D">
      <w:pPr>
        <w:spacing w:line="520" w:lineRule="exact"/>
        <w:ind w:firstLine="640" w:firstLineChars="200"/>
        <w:outlineLvl w:val="3"/>
        <w:rPr>
          <w:rFonts w:eastAsia="仿宋_GB2312"/>
          <w:sz w:val="32"/>
          <w:szCs w:val="32"/>
        </w:rPr>
      </w:pPr>
      <w:r>
        <w:rPr>
          <w:rFonts w:eastAsia="仿宋_GB2312"/>
          <w:sz w:val="32"/>
          <w:szCs w:val="32"/>
        </w:rPr>
        <w:t>3.3产品稳定性研究资料</w:t>
      </w:r>
    </w:p>
    <w:p w14:paraId="0C3D599B">
      <w:pPr>
        <w:spacing w:line="520" w:lineRule="exact"/>
        <w:ind w:firstLine="640" w:firstLineChars="200"/>
        <w:outlineLvl w:val="4"/>
        <w:rPr>
          <w:rFonts w:eastAsia="仿宋_GB2312"/>
          <w:sz w:val="32"/>
          <w:szCs w:val="32"/>
        </w:rPr>
      </w:pPr>
      <w:r>
        <w:rPr>
          <w:rFonts w:eastAsia="仿宋_GB2312"/>
          <w:sz w:val="32"/>
          <w:szCs w:val="32"/>
        </w:rPr>
        <w:t>3.3.1使用稳定性</w:t>
      </w:r>
    </w:p>
    <w:p w14:paraId="28A34688">
      <w:pPr>
        <w:spacing w:line="520" w:lineRule="exact"/>
        <w:ind w:firstLine="640" w:firstLineChars="200"/>
        <w:rPr>
          <w:rFonts w:eastAsia="仿宋_GB2312"/>
          <w:sz w:val="32"/>
          <w:szCs w:val="32"/>
        </w:rPr>
      </w:pPr>
      <w:r>
        <w:rPr>
          <w:rFonts w:eastAsia="仿宋_GB2312"/>
          <w:sz w:val="32"/>
          <w:szCs w:val="32"/>
        </w:rPr>
        <w:t>注册申请人应参照《有源医疗器械使用期限注册技术审查指导原则》，提供产品使用稳定性的验证资料。</w:t>
      </w:r>
    </w:p>
    <w:p w14:paraId="1AD5A43A">
      <w:pPr>
        <w:spacing w:line="520" w:lineRule="exact"/>
        <w:ind w:firstLine="640" w:firstLineChars="200"/>
        <w:rPr>
          <w:rFonts w:eastAsia="仿宋_GB2312"/>
          <w:sz w:val="32"/>
          <w:szCs w:val="32"/>
        </w:rPr>
      </w:pPr>
      <w:r>
        <w:rPr>
          <w:rFonts w:eastAsia="仿宋_GB2312"/>
          <w:sz w:val="32"/>
          <w:szCs w:val="32"/>
        </w:rPr>
        <w:t>涉及使用期限的关键器部件/模块通常有四类：硬件及电子元器件类、机电传动类、泵阀类、光电类。</w:t>
      </w:r>
    </w:p>
    <w:p w14:paraId="110A103A">
      <w:pPr>
        <w:spacing w:line="520" w:lineRule="exact"/>
        <w:ind w:firstLine="640" w:firstLineChars="200"/>
        <w:rPr>
          <w:rFonts w:eastAsia="仿宋_GB2312"/>
          <w:sz w:val="32"/>
          <w:szCs w:val="32"/>
        </w:rPr>
      </w:pPr>
      <w:r>
        <w:rPr>
          <w:rFonts w:eastAsia="仿宋_GB2312"/>
          <w:sz w:val="32"/>
          <w:szCs w:val="32"/>
        </w:rPr>
        <w:t>有效期的评价方法需要明确各关键器部件的寿命内预期使用时长或次数，具体方法通常有以下几种：寿命试验（按寿命计算需求次数或工作时长或衰减量，搭建平台验证次数或工作时长或衰减量能否满足要求）；供应商的物料规格书及寿命试验报告；加速寿命试验（根据使用情况和器部件的特点选择合适的加速应力进行试验）；材料兼容性试验（如液路的膜片和试剂或清洗液的化学兼容性可能会用温度和浓度来加速反应）。</w:t>
      </w:r>
    </w:p>
    <w:p w14:paraId="4A1D3BAA">
      <w:pPr>
        <w:spacing w:line="520" w:lineRule="exact"/>
        <w:ind w:firstLine="640" w:firstLineChars="200"/>
        <w:rPr>
          <w:rFonts w:eastAsia="仿宋_GB2312"/>
          <w:sz w:val="32"/>
          <w:szCs w:val="32"/>
        </w:rPr>
      </w:pPr>
      <w:r>
        <w:rPr>
          <w:rFonts w:eastAsia="仿宋_GB2312"/>
          <w:sz w:val="32"/>
          <w:szCs w:val="32"/>
        </w:rPr>
        <w:t>对于不满足寿命宣称的器部件应根据产品的工作特性明确产品的易耗/易损器件清单及更换要求。</w:t>
      </w:r>
    </w:p>
    <w:p w14:paraId="5E86C43E">
      <w:pPr>
        <w:spacing w:line="520" w:lineRule="exact"/>
        <w:ind w:firstLine="640" w:firstLineChars="200"/>
        <w:rPr>
          <w:rFonts w:eastAsia="仿宋_GB2312"/>
          <w:sz w:val="32"/>
          <w:szCs w:val="32"/>
        </w:rPr>
      </w:pPr>
      <w:r>
        <w:rPr>
          <w:rFonts w:eastAsia="仿宋_GB2312"/>
          <w:sz w:val="32"/>
          <w:szCs w:val="32"/>
        </w:rPr>
        <w:t>需要注意的是，产品在临床使用时，会由于测量的光源组件老化不稳定导致结果不准确，故应重点考虑设计光源能量稳定性检测方法。</w:t>
      </w:r>
    </w:p>
    <w:p w14:paraId="73237668">
      <w:pPr>
        <w:spacing w:line="520" w:lineRule="exact"/>
        <w:ind w:firstLine="640" w:firstLineChars="200"/>
        <w:rPr>
          <w:rFonts w:eastAsia="仿宋_GB2312"/>
          <w:kern w:val="0"/>
          <w:sz w:val="32"/>
          <w:szCs w:val="32"/>
        </w:rPr>
      </w:pPr>
      <w:r>
        <w:rPr>
          <w:rFonts w:eastAsia="仿宋_GB2312"/>
          <w:sz w:val="32"/>
          <w:szCs w:val="32"/>
        </w:rPr>
        <w:t xml:space="preserve">3.3.2 </w:t>
      </w:r>
      <w:r>
        <w:rPr>
          <w:rFonts w:eastAsia="仿宋_GB2312"/>
          <w:color w:val="000000"/>
          <w:sz w:val="32"/>
          <w:szCs w:val="32"/>
        </w:rPr>
        <w:t>有效期和包装研究</w:t>
      </w:r>
    </w:p>
    <w:p w14:paraId="32826599">
      <w:pPr>
        <w:spacing w:line="520" w:lineRule="exact"/>
        <w:ind w:firstLine="640" w:firstLineChars="200"/>
        <w:rPr>
          <w:rFonts w:eastAsia="仿宋_GB2312"/>
          <w:kern w:val="0"/>
          <w:sz w:val="32"/>
          <w:szCs w:val="32"/>
        </w:rPr>
      </w:pPr>
      <w:r>
        <w:rPr>
          <w:rFonts w:eastAsia="仿宋_GB2312"/>
          <w:kern w:val="0"/>
          <w:sz w:val="32"/>
          <w:szCs w:val="32"/>
        </w:rPr>
        <w:t>应当提供产品有效期的验证报告，报告中应对申报产品中包含的易耗、易损、需定期更换或者具有固定使用寿命的关键部件的情况进行详细描述，详述确定产品使用期限或者失效期的具体理由，给出产品使用期限或者产品失效期。有关产品有效期研究资料的详细内容，建议按照《有源医疗器械使用期限注册申报资料指导原则》的要求进行编写。</w:t>
      </w:r>
    </w:p>
    <w:p w14:paraId="4F807520">
      <w:pPr>
        <w:spacing w:line="520" w:lineRule="exact"/>
        <w:ind w:firstLine="640"/>
        <w:rPr>
          <w:rFonts w:eastAsia="仿宋_GB2312"/>
          <w:kern w:val="0"/>
          <w:sz w:val="32"/>
          <w:szCs w:val="32"/>
        </w:rPr>
      </w:pPr>
      <w:r>
        <w:rPr>
          <w:rFonts w:eastAsia="仿宋_GB2312"/>
          <w:kern w:val="0"/>
          <w:sz w:val="32"/>
          <w:szCs w:val="32"/>
        </w:rPr>
        <w:t>包装研究提交在宣称的有效期内以及运输储存条件下，不会对医疗器械的性能产生不利影响</w:t>
      </w:r>
      <w:r>
        <w:rPr>
          <w:rFonts w:eastAsia="仿宋"/>
          <w:sz w:val="32"/>
          <w:szCs w:val="32"/>
        </w:rPr>
        <w:t>的研究资料</w:t>
      </w:r>
      <w:r>
        <w:rPr>
          <w:rFonts w:eastAsia="仿宋_GB2312"/>
          <w:kern w:val="0"/>
          <w:sz w:val="32"/>
          <w:szCs w:val="32"/>
        </w:rPr>
        <w:t>。</w:t>
      </w:r>
    </w:p>
    <w:p w14:paraId="3409DE4F">
      <w:pPr>
        <w:spacing w:line="520" w:lineRule="exact"/>
        <w:ind w:firstLine="640" w:firstLineChars="200"/>
        <w:rPr>
          <w:rFonts w:eastAsia="仿宋_GB2312"/>
          <w:kern w:val="0"/>
          <w:sz w:val="32"/>
          <w:szCs w:val="32"/>
        </w:rPr>
      </w:pPr>
      <w:r>
        <w:rPr>
          <w:rFonts w:eastAsia="仿宋_GB2312"/>
          <w:kern w:val="0"/>
          <w:sz w:val="32"/>
          <w:szCs w:val="32"/>
        </w:rPr>
        <w:t>3.</w:t>
      </w:r>
      <w:r>
        <w:rPr>
          <w:rFonts w:hint="eastAsia" w:eastAsia="仿宋_GB2312"/>
          <w:kern w:val="0"/>
          <w:sz w:val="32"/>
          <w:szCs w:val="32"/>
          <w:lang w:val="en-US" w:eastAsia="zh-CN"/>
        </w:rPr>
        <w:t>4</w:t>
      </w:r>
      <w:r>
        <w:rPr>
          <w:rFonts w:eastAsia="仿宋_GB2312"/>
          <w:kern w:val="0"/>
          <w:sz w:val="32"/>
          <w:szCs w:val="32"/>
        </w:rPr>
        <w:t>产品</w:t>
      </w:r>
      <w:r>
        <w:rPr>
          <w:rFonts w:hint="eastAsia" w:eastAsia="仿宋_GB2312"/>
          <w:kern w:val="0"/>
          <w:sz w:val="32"/>
          <w:szCs w:val="32"/>
          <w:lang w:val="en-US" w:eastAsia="zh-CN"/>
        </w:rPr>
        <w:t>可用性</w:t>
      </w:r>
      <w:r>
        <w:rPr>
          <w:rFonts w:eastAsia="仿宋_GB2312"/>
          <w:kern w:val="0"/>
          <w:sz w:val="32"/>
          <w:szCs w:val="32"/>
        </w:rPr>
        <w:t>研究资料</w:t>
      </w:r>
    </w:p>
    <w:p w14:paraId="641C4EB5">
      <w:pPr>
        <w:spacing w:line="520" w:lineRule="exact"/>
        <w:ind w:firstLine="640" w:firstLineChars="200"/>
        <w:rPr>
          <w:rFonts w:eastAsia="仿宋_GB2312"/>
          <w:kern w:val="0"/>
          <w:sz w:val="32"/>
          <w:szCs w:val="32"/>
        </w:rPr>
      </w:pPr>
      <w:r>
        <w:rPr>
          <w:rFonts w:hint="eastAsia" w:eastAsia="仿宋_GB2312"/>
          <w:kern w:val="0"/>
          <w:sz w:val="32"/>
          <w:szCs w:val="32"/>
        </w:rPr>
        <w:t>生化免疫分析仪器</w:t>
      </w:r>
      <w:r>
        <w:rPr>
          <w:rFonts w:eastAsia="仿宋_GB2312"/>
          <w:kern w:val="0"/>
          <w:sz w:val="32"/>
          <w:szCs w:val="32"/>
        </w:rPr>
        <w:t>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0E1A1E9A">
      <w:pPr>
        <w:spacing w:line="520" w:lineRule="exact"/>
        <w:ind w:firstLine="640" w:firstLineChars="200"/>
        <w:rPr>
          <w:rFonts w:eastAsia="仿宋_GB2312"/>
          <w:sz w:val="32"/>
          <w:szCs w:val="32"/>
        </w:rPr>
      </w:pPr>
      <w:r>
        <w:rPr>
          <w:rFonts w:eastAsia="仿宋_GB2312"/>
          <w:sz w:val="32"/>
          <w:szCs w:val="32"/>
        </w:rPr>
        <w:t>4.</w:t>
      </w:r>
      <w:r>
        <w:rPr>
          <w:rFonts w:eastAsia="仿宋_GB2312"/>
          <w:bCs/>
          <w:sz w:val="32"/>
          <w:szCs w:val="32"/>
        </w:rPr>
        <w:t>其他资料</w:t>
      </w:r>
    </w:p>
    <w:p w14:paraId="1B14A27C">
      <w:pPr>
        <w:spacing w:line="520" w:lineRule="exact"/>
        <w:ind w:firstLine="640" w:firstLineChars="200"/>
        <w:rPr>
          <w:rFonts w:eastAsia="仿宋_GB2312"/>
          <w:kern w:val="0"/>
          <w:sz w:val="32"/>
          <w:szCs w:val="32"/>
        </w:rPr>
      </w:pPr>
      <w:r>
        <w:rPr>
          <w:rFonts w:hint="eastAsia" w:eastAsia="仿宋_GB2312"/>
          <w:kern w:val="0"/>
          <w:sz w:val="32"/>
          <w:szCs w:val="32"/>
        </w:rPr>
        <w:t>生化免疫分析仪器</w:t>
      </w:r>
      <w:r>
        <w:rPr>
          <w:rFonts w:eastAsia="仿宋_GB2312"/>
          <w:kern w:val="0"/>
          <w:sz w:val="32"/>
          <w:szCs w:val="32"/>
        </w:rPr>
        <w:t>已列入《</w:t>
      </w:r>
      <w:r>
        <w:rPr>
          <w:rFonts w:eastAsia="仿宋_GB2312"/>
          <w:color w:val="000000"/>
          <w:sz w:val="32"/>
          <w:szCs w:val="32"/>
        </w:rPr>
        <w:t>免于临床评价医疗器械目录</w:t>
      </w:r>
      <w:r>
        <w:rPr>
          <w:rFonts w:eastAsia="仿宋_GB2312"/>
          <w:kern w:val="0"/>
          <w:sz w:val="32"/>
          <w:szCs w:val="32"/>
        </w:rPr>
        <w:t>》（以下简称“目录”），属于全自动免疫分析仪的范畴，一般情况下可免于进行临床评价。应按照《列入免于临床评价医疗器械目录产品对比说明技术指导原则》等的要求提交对比资料，并明确以下内容。</w:t>
      </w:r>
    </w:p>
    <w:p w14:paraId="01AA2CCB">
      <w:pPr>
        <w:spacing w:line="520" w:lineRule="exact"/>
        <w:ind w:firstLine="640" w:firstLineChars="200"/>
        <w:rPr>
          <w:rFonts w:eastAsia="仿宋_GB2312"/>
          <w:kern w:val="0"/>
          <w:sz w:val="32"/>
          <w:szCs w:val="32"/>
        </w:rPr>
      </w:pPr>
      <w:r>
        <w:rPr>
          <w:rFonts w:eastAsia="仿宋_GB2312"/>
          <w:kern w:val="0"/>
          <w:sz w:val="32"/>
          <w:szCs w:val="32"/>
        </w:rPr>
        <w:t>4.1申报产品相关信息与《目录》所述内容的对比资料。</w:t>
      </w:r>
    </w:p>
    <w:p w14:paraId="78850EA1">
      <w:pPr>
        <w:spacing w:line="520" w:lineRule="exact"/>
        <w:ind w:firstLine="640" w:firstLineChars="200"/>
        <w:rPr>
          <w:rFonts w:eastAsia="仿宋_GB2312"/>
          <w:kern w:val="0"/>
          <w:sz w:val="32"/>
          <w:szCs w:val="32"/>
        </w:rPr>
      </w:pPr>
      <w:r>
        <w:rPr>
          <w:rFonts w:eastAsia="仿宋_GB2312"/>
          <w:kern w:val="0"/>
          <w:sz w:val="32"/>
          <w:szCs w:val="32"/>
        </w:rPr>
        <w:t>《目录》中的产品描述主要包括结构组成、反应原理、样本类型、被分析物等内容，申请人应着重从上述四方面进行对比。</w:t>
      </w:r>
    </w:p>
    <w:p w14:paraId="238F411C">
      <w:pPr>
        <w:spacing w:line="520" w:lineRule="exact"/>
        <w:ind w:firstLine="640" w:firstLineChars="200"/>
        <w:rPr>
          <w:rFonts w:eastAsia="仿宋_GB2312"/>
          <w:kern w:val="0"/>
          <w:sz w:val="32"/>
          <w:szCs w:val="32"/>
        </w:rPr>
      </w:pPr>
      <w:r>
        <w:rPr>
          <w:rFonts w:eastAsia="仿宋_GB2312"/>
          <w:kern w:val="0"/>
          <w:sz w:val="32"/>
          <w:szCs w:val="32"/>
        </w:rPr>
        <w:t>4.2申报产品与《目录》中已获准境内注册医疗器械的对比说明，对比说明应当包括《申报产品与目录中已获准境内注册医疗器械对比表》和相应支持性资料。</w:t>
      </w:r>
    </w:p>
    <w:p w14:paraId="49C18F89">
      <w:pPr>
        <w:spacing w:line="520" w:lineRule="exact"/>
        <w:ind w:firstLine="640" w:firstLineChars="200"/>
        <w:rPr>
          <w:rFonts w:eastAsia="仿宋_GB2312"/>
          <w:kern w:val="0"/>
          <w:sz w:val="32"/>
          <w:szCs w:val="32"/>
        </w:rPr>
      </w:pPr>
      <w:r>
        <w:rPr>
          <w:rFonts w:eastAsia="仿宋_GB2312"/>
          <w:kern w:val="0"/>
          <w:sz w:val="32"/>
          <w:szCs w:val="32"/>
        </w:rPr>
        <w:t>应当从工作原理、结构组成、主要性能要求、适用范围、使用方法等方面进行对比</w:t>
      </w:r>
      <w:r>
        <w:rPr>
          <w:rFonts w:hint="eastAsia" w:eastAsia="仿宋_GB2312"/>
          <w:kern w:val="0"/>
          <w:sz w:val="32"/>
          <w:szCs w:val="32"/>
        </w:rPr>
        <w:t>。</w:t>
      </w:r>
    </w:p>
    <w:p w14:paraId="21AC55BC">
      <w:pPr>
        <w:spacing w:line="520" w:lineRule="exact"/>
        <w:ind w:right="-67" w:rightChars="-32" w:firstLine="640" w:firstLineChars="200"/>
        <w:outlineLvl w:val="1"/>
        <w:rPr>
          <w:rFonts w:eastAsia="楷体_GB2312"/>
          <w:sz w:val="32"/>
          <w:szCs w:val="32"/>
        </w:rPr>
      </w:pPr>
      <w:r>
        <w:rPr>
          <w:rFonts w:eastAsia="楷体_GB2312"/>
          <w:sz w:val="32"/>
          <w:szCs w:val="32"/>
        </w:rPr>
        <w:t>（四）临床评价资料</w:t>
      </w:r>
    </w:p>
    <w:p w14:paraId="6B61D467">
      <w:pPr>
        <w:spacing w:line="520" w:lineRule="exact"/>
        <w:ind w:right="-67" w:rightChars="-32" w:firstLine="640" w:firstLineChars="200"/>
        <w:rPr>
          <w:rFonts w:eastAsia="仿宋_GB2312"/>
          <w:bCs/>
          <w:sz w:val="32"/>
          <w:szCs w:val="32"/>
        </w:rPr>
      </w:pPr>
      <w:r>
        <w:rPr>
          <w:rFonts w:eastAsia="仿宋_GB2312"/>
          <w:bCs/>
          <w:sz w:val="32"/>
          <w:szCs w:val="32"/>
        </w:rPr>
        <w:t>该产品列入《免于临床评价医疗器械目录》，申请人无需提交临床评价资料。</w:t>
      </w:r>
    </w:p>
    <w:p w14:paraId="36BCA5CD">
      <w:pPr>
        <w:spacing w:line="520" w:lineRule="exact"/>
        <w:ind w:firstLine="640" w:firstLineChars="200"/>
        <w:rPr>
          <w:rFonts w:eastAsia="仿宋_GB2312"/>
          <w:kern w:val="0"/>
          <w:sz w:val="32"/>
          <w:szCs w:val="32"/>
          <w:lang w:val="en-US" w:eastAsia="zh-CN"/>
        </w:rPr>
      </w:pPr>
      <w:r>
        <w:rPr>
          <w:rFonts w:eastAsia="仿宋_GB2312"/>
          <w:kern w:val="0"/>
          <w:sz w:val="32"/>
          <w:szCs w:val="32"/>
        </w:rPr>
        <w:t>对于采用新原理或结构，导致产品与已上市产品不具有等同性和可比性的，</w:t>
      </w:r>
      <w:r>
        <w:rPr>
          <w:rFonts w:hint="eastAsia" w:eastAsia="仿宋_GB2312"/>
          <w:kern w:val="0"/>
          <w:sz w:val="32"/>
          <w:szCs w:val="32"/>
          <w:lang w:val="en-US" w:eastAsia="zh-CN"/>
        </w:rPr>
        <w:t>应当按照《医疗器械临床评价技术指导原则》的要求，结合产品特征、临床风险、已有临床数据等情形，依据《决策是否开展医疗器械临床试验技术指导原则》的要求判断申报产品的临床评价路径。</w:t>
      </w:r>
    </w:p>
    <w:p w14:paraId="6CE05648">
      <w:pPr>
        <w:spacing w:line="52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1.若开展临床试验，应当符合《医疗器械临床试验质量管理规范》、《医疗器械临床试验设计指导原则》等文件的要求。</w:t>
      </w:r>
    </w:p>
    <w:p w14:paraId="4E5295BC">
      <w:pPr>
        <w:spacing w:line="520" w:lineRule="exact"/>
        <w:ind w:firstLine="640" w:firstLineChars="200"/>
        <w:rPr>
          <w:rFonts w:eastAsia="仿宋_GB2312"/>
          <w:kern w:val="0"/>
          <w:sz w:val="32"/>
          <w:szCs w:val="32"/>
        </w:rPr>
      </w:pPr>
      <w:r>
        <w:rPr>
          <w:rFonts w:hint="eastAsia" w:eastAsia="仿宋_GB2312"/>
          <w:kern w:val="0"/>
          <w:sz w:val="32"/>
          <w:szCs w:val="32"/>
          <w:lang w:val="en-US" w:eastAsia="zh-CN"/>
        </w:rPr>
        <w:t>2.若通过同品种医疗器械的临床数据进行申报产品临床评价的，应当符合《医疗器械临床评价技术指导原则》、《医疗器械临床评价等同性论证技术指导原则》等文件的要求。</w:t>
      </w:r>
    </w:p>
    <w:p w14:paraId="5EB175B0">
      <w:pPr>
        <w:spacing w:line="520" w:lineRule="exact"/>
        <w:ind w:right="-67" w:rightChars="-32" w:firstLine="640" w:firstLineChars="200"/>
        <w:outlineLvl w:val="1"/>
        <w:rPr>
          <w:rFonts w:eastAsia="楷体_GB2312"/>
          <w:sz w:val="32"/>
          <w:szCs w:val="32"/>
        </w:rPr>
      </w:pPr>
      <w:r>
        <w:rPr>
          <w:rFonts w:eastAsia="楷体_GB2312"/>
          <w:sz w:val="32"/>
          <w:szCs w:val="32"/>
        </w:rPr>
        <w:t>（五）产品说明书和标签样稿</w:t>
      </w:r>
    </w:p>
    <w:p w14:paraId="58FCC497">
      <w:pPr>
        <w:spacing w:line="520" w:lineRule="exact"/>
        <w:ind w:firstLine="640" w:firstLineChars="200"/>
        <w:rPr>
          <w:rFonts w:eastAsia="仿宋_GB2312"/>
          <w:kern w:val="0"/>
          <w:sz w:val="32"/>
          <w:szCs w:val="32"/>
        </w:rPr>
      </w:pPr>
      <w:r>
        <w:rPr>
          <w:rFonts w:eastAsia="仿宋_GB2312"/>
          <w:kern w:val="0"/>
          <w:sz w:val="32"/>
          <w:szCs w:val="32"/>
        </w:rPr>
        <w:t>1.产品说明书</w:t>
      </w:r>
    </w:p>
    <w:p w14:paraId="740EC505">
      <w:pPr>
        <w:spacing w:line="520" w:lineRule="exact"/>
        <w:ind w:firstLine="640" w:firstLineChars="200"/>
        <w:rPr>
          <w:rFonts w:eastAsia="仿宋_GB2312"/>
          <w:kern w:val="0"/>
          <w:sz w:val="32"/>
          <w:szCs w:val="32"/>
        </w:rPr>
      </w:pPr>
      <w:r>
        <w:rPr>
          <w:rFonts w:eastAsia="仿宋_GB2312"/>
          <w:kern w:val="0"/>
          <w:sz w:val="32"/>
          <w:szCs w:val="32"/>
        </w:rPr>
        <w:t>产品说明书应当符合《医疗器械说明书和标签管理规定》的要求，至少包括以下内容：</w:t>
      </w:r>
    </w:p>
    <w:p w14:paraId="75A94DCB">
      <w:pPr>
        <w:spacing w:line="520" w:lineRule="exact"/>
        <w:ind w:firstLine="640" w:firstLineChars="200"/>
        <w:rPr>
          <w:rFonts w:eastAsia="仿宋_GB2312"/>
          <w:kern w:val="0"/>
          <w:sz w:val="32"/>
          <w:szCs w:val="32"/>
        </w:rPr>
      </w:pPr>
      <w:r>
        <w:rPr>
          <w:rFonts w:eastAsia="仿宋_GB2312"/>
          <w:kern w:val="0"/>
          <w:sz w:val="32"/>
          <w:szCs w:val="32"/>
        </w:rPr>
        <w:t>（1）产品名称、型号、规格；</w:t>
      </w:r>
    </w:p>
    <w:p w14:paraId="7B1A640C">
      <w:pPr>
        <w:spacing w:line="520" w:lineRule="exact"/>
        <w:ind w:firstLine="640" w:firstLineChars="200"/>
        <w:rPr>
          <w:rFonts w:eastAsia="仿宋_GB2312"/>
          <w:kern w:val="0"/>
          <w:sz w:val="32"/>
          <w:szCs w:val="32"/>
        </w:rPr>
      </w:pPr>
      <w:r>
        <w:rPr>
          <w:rFonts w:eastAsia="仿宋_GB2312"/>
          <w:kern w:val="0"/>
          <w:sz w:val="32"/>
          <w:szCs w:val="32"/>
        </w:rPr>
        <w:t>（2）注册人的名称、住所、联系方式及售后服务单位，进口产品还应当载明代理人的名称、住所及联系方式；</w:t>
      </w:r>
    </w:p>
    <w:p w14:paraId="3E7D1194">
      <w:pPr>
        <w:spacing w:line="520" w:lineRule="exact"/>
        <w:ind w:firstLine="640" w:firstLineChars="200"/>
        <w:rPr>
          <w:rFonts w:eastAsia="仿宋_GB2312"/>
          <w:kern w:val="0"/>
          <w:sz w:val="32"/>
          <w:szCs w:val="32"/>
        </w:rPr>
      </w:pPr>
      <w:r>
        <w:rPr>
          <w:rFonts w:eastAsia="仿宋_GB2312"/>
          <w:kern w:val="0"/>
          <w:sz w:val="32"/>
          <w:szCs w:val="32"/>
        </w:rPr>
        <w:t>（3）生产企业的名称、住所、生产地址、联系方式及生产许可证编号，委托生产的还应当标注受托企业的名称、住所、生产地址、生产许可证编号；</w:t>
      </w:r>
    </w:p>
    <w:p w14:paraId="5F181FEC">
      <w:pPr>
        <w:spacing w:line="520" w:lineRule="exact"/>
        <w:ind w:firstLine="640" w:firstLineChars="200"/>
        <w:rPr>
          <w:rFonts w:eastAsia="仿宋_GB2312"/>
          <w:kern w:val="0"/>
          <w:sz w:val="32"/>
          <w:szCs w:val="32"/>
        </w:rPr>
      </w:pPr>
      <w:r>
        <w:rPr>
          <w:rFonts w:eastAsia="仿宋_GB2312"/>
          <w:kern w:val="0"/>
          <w:sz w:val="32"/>
          <w:szCs w:val="32"/>
        </w:rPr>
        <w:t>（4）医疗器械注册证编号；</w:t>
      </w:r>
    </w:p>
    <w:p w14:paraId="3B8D93AD">
      <w:pPr>
        <w:spacing w:line="520" w:lineRule="exact"/>
        <w:ind w:firstLine="640" w:firstLineChars="200"/>
        <w:rPr>
          <w:rFonts w:eastAsia="仿宋_GB2312"/>
          <w:kern w:val="0"/>
          <w:sz w:val="32"/>
          <w:szCs w:val="32"/>
        </w:rPr>
      </w:pPr>
      <w:r>
        <w:rPr>
          <w:rFonts w:eastAsia="仿宋_GB2312"/>
          <w:kern w:val="0"/>
          <w:sz w:val="32"/>
          <w:szCs w:val="32"/>
        </w:rPr>
        <w:t>（5）产品技术要求的编号；</w:t>
      </w:r>
    </w:p>
    <w:p w14:paraId="41671FC0">
      <w:pPr>
        <w:spacing w:line="520" w:lineRule="exact"/>
        <w:ind w:firstLine="640" w:firstLineChars="200"/>
        <w:rPr>
          <w:rFonts w:eastAsia="仿宋_GB2312"/>
          <w:kern w:val="0"/>
          <w:sz w:val="32"/>
          <w:szCs w:val="32"/>
        </w:rPr>
      </w:pPr>
      <w:r>
        <w:rPr>
          <w:rFonts w:eastAsia="仿宋_GB2312"/>
          <w:kern w:val="0"/>
          <w:sz w:val="32"/>
          <w:szCs w:val="32"/>
        </w:rPr>
        <w:t>（6）产品性能、主要结构组成、适用范围：</w:t>
      </w:r>
    </w:p>
    <w:p w14:paraId="2C39E2AA">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1 \* GB3 </w:instrText>
      </w:r>
      <w:r>
        <w:rPr>
          <w:rFonts w:eastAsia="仿宋_GB2312"/>
          <w:kern w:val="0"/>
          <w:sz w:val="32"/>
          <w:szCs w:val="32"/>
        </w:rPr>
        <w:fldChar w:fldCharType="separate"/>
      </w:r>
      <w:r>
        <w:rPr>
          <w:rFonts w:hint="eastAsia" w:ascii="宋体" w:hAnsi="宋体" w:cs="宋体"/>
          <w:kern w:val="0"/>
          <w:sz w:val="32"/>
          <w:szCs w:val="32"/>
        </w:rPr>
        <w:t>①</w:t>
      </w:r>
      <w:r>
        <w:rPr>
          <w:rFonts w:eastAsia="仿宋_GB2312"/>
          <w:kern w:val="0"/>
          <w:sz w:val="32"/>
          <w:szCs w:val="32"/>
        </w:rPr>
        <w:fldChar w:fldCharType="end"/>
      </w:r>
      <w:r>
        <w:rPr>
          <w:rFonts w:eastAsia="仿宋_GB2312"/>
          <w:kern w:val="0"/>
          <w:sz w:val="32"/>
          <w:szCs w:val="32"/>
        </w:rPr>
        <w:t>主要结构组成</w:t>
      </w:r>
    </w:p>
    <w:p w14:paraId="43B96C66">
      <w:pPr>
        <w:spacing w:line="520" w:lineRule="exact"/>
        <w:ind w:firstLine="640" w:firstLineChars="200"/>
        <w:rPr>
          <w:rFonts w:eastAsia="仿宋_GB2312"/>
          <w:kern w:val="0"/>
          <w:sz w:val="32"/>
          <w:szCs w:val="32"/>
        </w:rPr>
      </w:pPr>
      <w:r>
        <w:rPr>
          <w:rFonts w:eastAsia="仿宋_GB2312"/>
          <w:kern w:val="0"/>
          <w:sz w:val="32"/>
          <w:szCs w:val="32"/>
        </w:rPr>
        <w:t>建议以实物照片/示意图加文字的形式对申报产品的整体结构进行描述，标</w:t>
      </w:r>
      <w:r>
        <w:rPr>
          <w:rFonts w:eastAsia="仿宋_GB2312"/>
          <w:sz w:val="32"/>
          <w:szCs w:val="32"/>
        </w:rPr>
        <w:t>注各模块位置、进样区、轨道走向、出样区</w:t>
      </w:r>
      <w:r>
        <w:rPr>
          <w:rFonts w:hint="eastAsia" w:eastAsia="仿宋_GB2312"/>
          <w:sz w:val="32"/>
          <w:szCs w:val="32"/>
        </w:rPr>
        <w:t>、生化分析模块及其组成、免疫分析模块及其组成等，</w:t>
      </w:r>
      <w:r>
        <w:rPr>
          <w:rFonts w:eastAsia="仿宋_GB2312"/>
          <w:kern w:val="0"/>
          <w:sz w:val="32"/>
          <w:szCs w:val="32"/>
        </w:rPr>
        <w:t>各主要模块的名称（应包含软件组件，并注明软件组件的名称和发布版本）。</w:t>
      </w:r>
    </w:p>
    <w:p w14:paraId="3B805A53">
      <w:pPr>
        <w:spacing w:line="520" w:lineRule="exact"/>
        <w:ind w:firstLine="640" w:firstLineChars="200"/>
        <w:rPr>
          <w:rFonts w:eastAsia="仿宋_GB2312"/>
          <w:kern w:val="0"/>
          <w:sz w:val="32"/>
          <w:szCs w:val="32"/>
        </w:rPr>
      </w:pPr>
      <w:r>
        <w:rPr>
          <w:rFonts w:eastAsia="仿宋_GB2312"/>
          <w:kern w:val="0"/>
          <w:sz w:val="32"/>
          <w:szCs w:val="32"/>
        </w:rPr>
        <w:t>建议对软件的主要功能进行描述，重点对用户界面的整体情况和各功能窗口涉及的操作功能进行简单介绍。</w:t>
      </w:r>
    </w:p>
    <w:p w14:paraId="4615F0C1">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2 \* GB3 </w:instrText>
      </w:r>
      <w:r>
        <w:rPr>
          <w:rFonts w:eastAsia="仿宋_GB2312"/>
          <w:kern w:val="0"/>
          <w:sz w:val="32"/>
          <w:szCs w:val="32"/>
        </w:rPr>
        <w:fldChar w:fldCharType="separate"/>
      </w:r>
      <w:r>
        <w:rPr>
          <w:rFonts w:hint="eastAsia" w:ascii="宋体" w:hAnsi="宋体" w:cs="宋体"/>
          <w:kern w:val="0"/>
          <w:sz w:val="32"/>
          <w:szCs w:val="32"/>
        </w:rPr>
        <w:t>②</w:t>
      </w:r>
      <w:r>
        <w:rPr>
          <w:rFonts w:eastAsia="仿宋_GB2312"/>
          <w:kern w:val="0"/>
          <w:sz w:val="32"/>
          <w:szCs w:val="32"/>
        </w:rPr>
        <w:fldChar w:fldCharType="end"/>
      </w:r>
      <w:r>
        <w:rPr>
          <w:rFonts w:eastAsia="仿宋_GB2312"/>
          <w:kern w:val="0"/>
          <w:sz w:val="32"/>
          <w:szCs w:val="32"/>
        </w:rPr>
        <w:t>适用范围</w:t>
      </w:r>
    </w:p>
    <w:p w14:paraId="52C1E458">
      <w:pPr>
        <w:spacing w:line="520" w:lineRule="exact"/>
        <w:ind w:firstLine="640" w:firstLineChars="200"/>
        <w:rPr>
          <w:rFonts w:eastAsia="仿宋_GB2312"/>
          <w:kern w:val="0"/>
          <w:sz w:val="32"/>
          <w:szCs w:val="32"/>
        </w:rPr>
      </w:pPr>
      <w:r>
        <w:rPr>
          <w:rFonts w:eastAsia="仿宋_GB2312"/>
          <w:kern w:val="0"/>
          <w:sz w:val="32"/>
          <w:szCs w:val="32"/>
        </w:rPr>
        <w:t>建议采用以下形式进行描述：“该产品采用××法，与配套的检测试剂共同使用，在临床上用于对来源于人体的×××样本中的被分析物进行</w:t>
      </w:r>
      <w:r>
        <w:rPr>
          <w:rFonts w:hint="eastAsia" w:eastAsia="仿宋_GB2312"/>
          <w:sz w:val="32"/>
          <w:szCs w:val="32"/>
        </w:rPr>
        <w:t>定性和/或定量分析</w:t>
      </w:r>
      <w:r>
        <w:rPr>
          <w:rFonts w:eastAsia="仿宋_GB2312"/>
          <w:kern w:val="0"/>
          <w:sz w:val="32"/>
          <w:szCs w:val="32"/>
        </w:rPr>
        <w:t>，包括××××项目类别”。</w:t>
      </w:r>
    </w:p>
    <w:p w14:paraId="7361E1B4">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3 \* GB3 </w:instrText>
      </w:r>
      <w:r>
        <w:rPr>
          <w:rFonts w:eastAsia="仿宋_GB2312"/>
          <w:kern w:val="0"/>
          <w:sz w:val="32"/>
          <w:szCs w:val="32"/>
        </w:rPr>
        <w:fldChar w:fldCharType="separate"/>
      </w:r>
      <w:r>
        <w:rPr>
          <w:rFonts w:hint="eastAsia" w:ascii="宋体" w:hAnsi="宋体" w:cs="宋体"/>
          <w:kern w:val="0"/>
          <w:sz w:val="32"/>
          <w:szCs w:val="32"/>
        </w:rPr>
        <w:t>③</w:t>
      </w:r>
      <w:r>
        <w:rPr>
          <w:rFonts w:eastAsia="仿宋_GB2312"/>
          <w:kern w:val="0"/>
          <w:sz w:val="32"/>
          <w:szCs w:val="32"/>
        </w:rPr>
        <w:fldChar w:fldCharType="end"/>
      </w:r>
      <w:r>
        <w:rPr>
          <w:rFonts w:eastAsia="仿宋_GB2312"/>
          <w:kern w:val="0"/>
          <w:sz w:val="32"/>
          <w:szCs w:val="32"/>
        </w:rPr>
        <w:t>工作原理</w:t>
      </w:r>
    </w:p>
    <w:p w14:paraId="0D1C9926">
      <w:pPr>
        <w:spacing w:line="520" w:lineRule="exact"/>
        <w:ind w:firstLine="640" w:firstLineChars="200"/>
        <w:rPr>
          <w:rFonts w:eastAsia="仿宋_GB2312"/>
          <w:kern w:val="0"/>
          <w:sz w:val="32"/>
          <w:szCs w:val="32"/>
        </w:rPr>
      </w:pPr>
      <w:r>
        <w:rPr>
          <w:rFonts w:eastAsia="仿宋_GB2312"/>
          <w:kern w:val="0"/>
          <w:sz w:val="32"/>
          <w:szCs w:val="32"/>
        </w:rPr>
        <w:t>建议对申报产品采用的反应类型进行详细描述，可配合公式、示意图等进行解释，同时以文字加图示的方式对该类发光剂的发光特点进行描述，主要是发光强度与时间之间、发光强度与被分析物含量之间的关系。</w:t>
      </w:r>
    </w:p>
    <w:p w14:paraId="1D2C09DE">
      <w:pPr>
        <w:spacing w:line="520" w:lineRule="exact"/>
        <w:ind w:firstLine="640" w:firstLineChars="200"/>
        <w:rPr>
          <w:rFonts w:eastAsia="仿宋_GB2312"/>
          <w:kern w:val="0"/>
          <w:sz w:val="32"/>
          <w:szCs w:val="32"/>
        </w:rPr>
      </w:pPr>
      <w:r>
        <w:rPr>
          <w:rFonts w:eastAsia="仿宋_GB2312"/>
          <w:kern w:val="0"/>
          <w:sz w:val="32"/>
          <w:szCs w:val="32"/>
        </w:rPr>
        <w:t>建议对申报产品采用的固相载体及其分离方式进行详细描述。</w:t>
      </w:r>
    </w:p>
    <w:p w14:paraId="3D8352EE">
      <w:pPr>
        <w:spacing w:line="520" w:lineRule="exact"/>
        <w:ind w:firstLine="640" w:firstLineChars="200"/>
        <w:rPr>
          <w:rFonts w:eastAsia="仿宋_GB2312"/>
          <w:kern w:val="0"/>
          <w:sz w:val="32"/>
          <w:szCs w:val="32"/>
        </w:rPr>
      </w:pPr>
      <w:r>
        <w:rPr>
          <w:rFonts w:eastAsia="仿宋_GB2312"/>
          <w:kern w:val="0"/>
          <w:sz w:val="32"/>
          <w:szCs w:val="32"/>
        </w:rPr>
        <w:t>建议以图示加文字的形式对申报产品适用的每种免疫反应模式进行分步骤详细介绍，每步骤的图示中均应体现出该步骤状态下反应单元内抗原、抗体、固相载体、发光剂等物质的对应状态。</w:t>
      </w:r>
    </w:p>
    <w:p w14:paraId="721140A9">
      <w:pPr>
        <w:spacing w:line="520" w:lineRule="exact"/>
        <w:ind w:firstLine="640" w:firstLineChars="200"/>
        <w:rPr>
          <w:rFonts w:eastAsia="仿宋_GB2312"/>
          <w:sz w:val="32"/>
          <w:szCs w:val="32"/>
        </w:rPr>
      </w:pPr>
      <w:r>
        <w:rPr>
          <w:rFonts w:eastAsia="仿宋_GB2312"/>
          <w:sz w:val="32"/>
          <w:szCs w:val="32"/>
        </w:rPr>
        <w:t>应提供完整的工作流程图示和文字说明：</w:t>
      </w:r>
    </w:p>
    <w:p w14:paraId="1AEA892F">
      <w:pPr>
        <w:pStyle w:val="34"/>
        <w:numPr>
          <w:ilvl w:val="0"/>
          <w:numId w:val="2"/>
        </w:numPr>
        <w:spacing w:line="520" w:lineRule="exact"/>
        <w:ind w:leftChars="300" w:firstLineChars="0"/>
        <w:rPr>
          <w:rFonts w:eastAsia="仿宋_GB2312"/>
          <w:sz w:val="32"/>
          <w:szCs w:val="32"/>
        </w:rPr>
      </w:pPr>
      <w:r>
        <w:rPr>
          <w:rFonts w:hint="eastAsia" w:eastAsia="仿宋_GB2312"/>
          <w:sz w:val="32"/>
          <w:szCs w:val="32"/>
        </w:rPr>
        <w:t>样本进样方式（批量进样</w:t>
      </w:r>
      <w:r>
        <w:rPr>
          <w:rFonts w:eastAsia="仿宋_GB2312"/>
          <w:sz w:val="32"/>
          <w:szCs w:val="32"/>
        </w:rPr>
        <w:t>/</w:t>
      </w:r>
      <w:r>
        <w:rPr>
          <w:rFonts w:hint="eastAsia" w:eastAsia="仿宋_GB2312"/>
          <w:sz w:val="32"/>
          <w:szCs w:val="32"/>
        </w:rPr>
        <w:t>单管进样</w:t>
      </w:r>
      <w:r>
        <w:rPr>
          <w:rFonts w:eastAsia="仿宋_GB2312"/>
          <w:sz w:val="32"/>
          <w:szCs w:val="32"/>
        </w:rPr>
        <w:t>/</w:t>
      </w:r>
      <w:r>
        <w:rPr>
          <w:rFonts w:hint="eastAsia" w:eastAsia="仿宋_GB2312"/>
          <w:sz w:val="32"/>
          <w:szCs w:val="32"/>
        </w:rPr>
        <w:t>混合进样）</w:t>
      </w:r>
    </w:p>
    <w:p w14:paraId="329D983B">
      <w:pPr>
        <w:pStyle w:val="34"/>
        <w:numPr>
          <w:ilvl w:val="0"/>
          <w:numId w:val="2"/>
        </w:numPr>
        <w:spacing w:line="520" w:lineRule="exact"/>
        <w:ind w:leftChars="300" w:firstLineChars="0"/>
        <w:rPr>
          <w:rFonts w:eastAsia="仿宋_GB2312"/>
          <w:sz w:val="32"/>
          <w:szCs w:val="32"/>
        </w:rPr>
      </w:pPr>
      <w:r>
        <w:rPr>
          <w:rFonts w:hint="eastAsia" w:eastAsia="仿宋_GB2312"/>
          <w:sz w:val="32"/>
          <w:szCs w:val="32"/>
        </w:rPr>
        <w:t>样本条码识别与追踪机制</w:t>
      </w:r>
    </w:p>
    <w:p w14:paraId="62E5E633">
      <w:pPr>
        <w:pStyle w:val="34"/>
        <w:numPr>
          <w:ilvl w:val="0"/>
          <w:numId w:val="2"/>
        </w:numPr>
        <w:spacing w:line="520" w:lineRule="exact"/>
        <w:ind w:leftChars="300" w:firstLineChars="0"/>
        <w:rPr>
          <w:rFonts w:eastAsia="仿宋_GB2312"/>
          <w:sz w:val="32"/>
          <w:szCs w:val="32"/>
        </w:rPr>
      </w:pPr>
      <w:r>
        <w:rPr>
          <w:rFonts w:hint="eastAsia" w:eastAsia="仿宋_GB2312"/>
          <w:sz w:val="32"/>
          <w:szCs w:val="32"/>
        </w:rPr>
        <w:t>急诊样本插入方法（专用急诊通道</w:t>
      </w:r>
      <w:r>
        <w:rPr>
          <w:rFonts w:eastAsia="仿宋_GB2312"/>
          <w:sz w:val="32"/>
          <w:szCs w:val="32"/>
        </w:rPr>
        <w:t>/</w:t>
      </w:r>
      <w:r>
        <w:rPr>
          <w:rFonts w:hint="eastAsia" w:eastAsia="仿宋_GB2312"/>
          <w:sz w:val="32"/>
          <w:szCs w:val="32"/>
        </w:rPr>
        <w:t>急诊插队）</w:t>
      </w:r>
    </w:p>
    <w:p w14:paraId="28BD1968">
      <w:pPr>
        <w:pStyle w:val="34"/>
        <w:numPr>
          <w:ilvl w:val="0"/>
          <w:numId w:val="2"/>
        </w:numPr>
        <w:spacing w:line="520" w:lineRule="exact"/>
        <w:ind w:leftChars="300" w:firstLineChars="0"/>
        <w:rPr>
          <w:rFonts w:eastAsia="仿宋_GB2312"/>
          <w:sz w:val="32"/>
          <w:szCs w:val="32"/>
        </w:rPr>
      </w:pPr>
      <w:r>
        <w:rPr>
          <w:rFonts w:hint="eastAsia" w:eastAsia="仿宋_GB2312"/>
          <w:sz w:val="32"/>
          <w:szCs w:val="32"/>
        </w:rPr>
        <w:t>样本分配规则设置方法（项目分配、优先级设置）</w:t>
      </w:r>
    </w:p>
    <w:p w14:paraId="79846D50">
      <w:pPr>
        <w:pStyle w:val="34"/>
        <w:numPr>
          <w:ilvl w:val="0"/>
          <w:numId w:val="2"/>
        </w:numPr>
        <w:spacing w:line="520" w:lineRule="exact"/>
        <w:ind w:leftChars="300" w:firstLineChars="0"/>
        <w:rPr>
          <w:rFonts w:eastAsia="仿宋_GB2312"/>
          <w:sz w:val="32"/>
          <w:szCs w:val="32"/>
        </w:rPr>
      </w:pPr>
      <w:r>
        <w:rPr>
          <w:rFonts w:hint="eastAsia" w:eastAsia="仿宋_GB2312"/>
          <w:sz w:val="32"/>
          <w:szCs w:val="32"/>
        </w:rPr>
        <w:t>样本传输路径图示</w:t>
      </w:r>
    </w:p>
    <w:p w14:paraId="6862A1A7">
      <w:pPr>
        <w:pStyle w:val="34"/>
        <w:numPr>
          <w:ilvl w:val="0"/>
          <w:numId w:val="2"/>
        </w:numPr>
        <w:spacing w:line="520" w:lineRule="exact"/>
        <w:ind w:leftChars="300" w:firstLineChars="0"/>
        <w:rPr>
          <w:rFonts w:eastAsia="仿宋_GB2312"/>
          <w:sz w:val="32"/>
          <w:szCs w:val="32"/>
        </w:rPr>
      </w:pPr>
      <w:r>
        <w:rPr>
          <w:rFonts w:hint="eastAsia" w:eastAsia="仿宋_GB2312"/>
          <w:sz w:val="32"/>
          <w:szCs w:val="32"/>
        </w:rPr>
        <w:t>结果合并与输出流程</w:t>
      </w:r>
    </w:p>
    <w:p w14:paraId="2AE06CCB">
      <w:pPr>
        <w:pStyle w:val="34"/>
        <w:numPr>
          <w:ilvl w:val="0"/>
          <w:numId w:val="2"/>
        </w:numPr>
        <w:spacing w:line="520" w:lineRule="exact"/>
        <w:ind w:leftChars="300" w:firstLineChars="0"/>
        <w:rPr>
          <w:rFonts w:eastAsia="仿宋_GB2312"/>
          <w:kern w:val="0"/>
          <w:sz w:val="32"/>
          <w:szCs w:val="32"/>
        </w:rPr>
      </w:pPr>
      <w:r>
        <w:rPr>
          <w:rFonts w:hint="eastAsia" w:eastAsia="仿宋_GB2312"/>
          <w:sz w:val="32"/>
          <w:szCs w:val="32"/>
        </w:rPr>
        <w:t>异常处理流程（进样异常、卡顿、分配错误、模块故障）</w:t>
      </w:r>
    </w:p>
    <w:p w14:paraId="7EBA7B83">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4 \* GB3 </w:instrText>
      </w:r>
      <w:r>
        <w:rPr>
          <w:rFonts w:eastAsia="仿宋_GB2312"/>
          <w:kern w:val="0"/>
          <w:sz w:val="32"/>
          <w:szCs w:val="32"/>
        </w:rPr>
        <w:fldChar w:fldCharType="separate"/>
      </w:r>
      <w:r>
        <w:rPr>
          <w:rFonts w:hint="eastAsia" w:ascii="宋体" w:hAnsi="宋体" w:cs="宋体"/>
          <w:kern w:val="0"/>
          <w:sz w:val="32"/>
          <w:szCs w:val="32"/>
        </w:rPr>
        <w:t>④</w:t>
      </w:r>
      <w:r>
        <w:rPr>
          <w:rFonts w:eastAsia="仿宋_GB2312"/>
          <w:kern w:val="0"/>
          <w:sz w:val="32"/>
          <w:szCs w:val="32"/>
        </w:rPr>
        <w:fldChar w:fldCharType="end"/>
      </w:r>
      <w:r>
        <w:rPr>
          <w:rFonts w:eastAsia="仿宋_GB2312"/>
          <w:kern w:val="0"/>
          <w:sz w:val="32"/>
          <w:szCs w:val="32"/>
        </w:rPr>
        <w:t>性能指标</w:t>
      </w:r>
    </w:p>
    <w:p w14:paraId="532153A3">
      <w:pPr>
        <w:adjustRightInd w:val="0"/>
        <w:snapToGrid w:val="0"/>
        <w:spacing w:line="520" w:lineRule="exact"/>
        <w:ind w:firstLine="640" w:firstLineChars="200"/>
        <w:rPr>
          <w:rFonts w:eastAsia="仿宋_GB2312"/>
          <w:sz w:val="32"/>
          <w:szCs w:val="32"/>
        </w:rPr>
      </w:pPr>
      <w:r>
        <w:rPr>
          <w:rFonts w:eastAsia="仿宋_GB2312"/>
          <w:sz w:val="32"/>
          <w:szCs w:val="32"/>
        </w:rPr>
        <w:t>建议写明以下内容：产品基本参数（包含的所有分析模块、</w:t>
      </w:r>
      <w:r>
        <w:rPr>
          <w:rFonts w:hint="eastAsia" w:eastAsia="仿宋_GB2312"/>
          <w:sz w:val="32"/>
          <w:szCs w:val="32"/>
        </w:rPr>
        <w:t>样本管理模块、</w:t>
      </w:r>
      <w:r>
        <w:rPr>
          <w:rFonts w:eastAsia="仿宋_GB2312"/>
          <w:sz w:val="32"/>
          <w:szCs w:val="32"/>
        </w:rPr>
        <w:t>软件组件</w:t>
      </w:r>
      <w:r>
        <w:rPr>
          <w:rFonts w:hint="eastAsia" w:eastAsia="仿宋_GB2312"/>
          <w:sz w:val="32"/>
          <w:szCs w:val="32"/>
        </w:rPr>
        <w:t>、</w:t>
      </w:r>
      <w:r>
        <w:rPr>
          <w:rFonts w:eastAsia="仿宋_GB2312"/>
          <w:kern w:val="0"/>
          <w:sz w:val="32"/>
          <w:szCs w:val="32"/>
        </w:rPr>
        <w:t>分析通量、试剂位数量、样品位数量</w:t>
      </w:r>
      <w:r>
        <w:rPr>
          <w:rFonts w:hint="eastAsia" w:eastAsia="仿宋_GB2312"/>
          <w:kern w:val="0"/>
          <w:sz w:val="32"/>
          <w:szCs w:val="32"/>
        </w:rPr>
        <w:t>、</w:t>
      </w:r>
      <w:r>
        <w:rPr>
          <w:rFonts w:eastAsia="仿宋_GB2312"/>
          <w:sz w:val="32"/>
          <w:szCs w:val="32"/>
        </w:rPr>
        <w:t>最大连接模块数、进样容量）、电气安全、电磁兼容信息、性能指标等。</w:t>
      </w:r>
    </w:p>
    <w:p w14:paraId="40928894">
      <w:pPr>
        <w:spacing w:line="520" w:lineRule="exact"/>
        <w:ind w:firstLine="640" w:firstLineChars="200"/>
        <w:rPr>
          <w:rFonts w:eastAsia="仿宋_GB2312"/>
          <w:kern w:val="0"/>
          <w:sz w:val="32"/>
          <w:szCs w:val="32"/>
        </w:rPr>
      </w:pPr>
      <w:r>
        <w:rPr>
          <w:rFonts w:hint="eastAsia" w:ascii="宋体" w:hAnsi="宋体" w:cs="宋体"/>
          <w:kern w:val="0"/>
          <w:sz w:val="32"/>
          <w:szCs w:val="32"/>
        </w:rPr>
        <w:t>⑤</w:t>
      </w:r>
      <w:r>
        <w:rPr>
          <w:rFonts w:eastAsia="仿宋_GB2312"/>
          <w:kern w:val="0"/>
          <w:sz w:val="32"/>
          <w:szCs w:val="32"/>
        </w:rPr>
        <w:t xml:space="preserve">工作环境要求 </w:t>
      </w:r>
    </w:p>
    <w:p w14:paraId="508E72FA">
      <w:pPr>
        <w:spacing w:line="520" w:lineRule="exact"/>
        <w:ind w:firstLine="640" w:firstLineChars="200"/>
        <w:rPr>
          <w:rFonts w:eastAsia="仿宋_GB2312"/>
          <w:kern w:val="0"/>
          <w:sz w:val="32"/>
          <w:szCs w:val="32"/>
        </w:rPr>
      </w:pPr>
      <w:r>
        <w:rPr>
          <w:rFonts w:eastAsia="仿宋_GB2312"/>
          <w:kern w:val="0"/>
          <w:sz w:val="32"/>
          <w:szCs w:val="32"/>
        </w:rPr>
        <w:t>建议至少写明以下内容：产品尺寸、重量、储存条件（温度、湿度）、正常工作条件（温度、湿度、海拔高度、电源要求）。</w:t>
      </w:r>
      <w:r>
        <w:rPr>
          <w:rFonts w:hint="eastAsia" w:eastAsia="仿宋_GB2312"/>
          <w:kern w:val="0"/>
          <w:sz w:val="32"/>
          <w:szCs w:val="32"/>
        </w:rPr>
        <w:t>如下表：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882"/>
      </w:tblGrid>
      <w:tr w14:paraId="0551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3DDB92A">
            <w:pPr>
              <w:spacing w:line="520" w:lineRule="exact"/>
              <w:rPr>
                <w:rFonts w:eastAsia="仿宋_GB2312"/>
                <w:sz w:val="32"/>
                <w:szCs w:val="32"/>
              </w:rPr>
            </w:pPr>
            <w:r>
              <w:rPr>
                <w:rFonts w:hint="eastAsia" w:eastAsia="仿宋_GB2312"/>
                <w:sz w:val="32"/>
                <w:szCs w:val="32"/>
              </w:rPr>
              <w:t>项目</w:t>
            </w:r>
          </w:p>
        </w:tc>
        <w:tc>
          <w:tcPr>
            <w:tcW w:w="6882" w:type="dxa"/>
          </w:tcPr>
          <w:p w14:paraId="6C1539A7">
            <w:pPr>
              <w:spacing w:line="520" w:lineRule="exact"/>
              <w:rPr>
                <w:rFonts w:eastAsia="仿宋_GB2312"/>
                <w:sz w:val="32"/>
                <w:szCs w:val="32"/>
              </w:rPr>
            </w:pPr>
            <w:r>
              <w:rPr>
                <w:rFonts w:hint="eastAsia" w:eastAsia="仿宋_GB2312"/>
                <w:sz w:val="32"/>
                <w:szCs w:val="32"/>
              </w:rPr>
              <w:t>要求</w:t>
            </w:r>
          </w:p>
        </w:tc>
      </w:tr>
      <w:tr w14:paraId="54DD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6AAA4EC">
            <w:pPr>
              <w:spacing w:line="520" w:lineRule="exact"/>
              <w:rPr>
                <w:rFonts w:eastAsia="仿宋_GB2312"/>
                <w:sz w:val="32"/>
                <w:szCs w:val="32"/>
              </w:rPr>
            </w:pPr>
            <w:r>
              <w:rPr>
                <w:rFonts w:hint="eastAsia" w:eastAsia="仿宋_GB2312"/>
                <w:sz w:val="32"/>
                <w:szCs w:val="32"/>
              </w:rPr>
              <w:t>空间尺寸</w:t>
            </w:r>
          </w:p>
        </w:tc>
        <w:tc>
          <w:tcPr>
            <w:tcW w:w="6882" w:type="dxa"/>
          </w:tcPr>
          <w:p w14:paraId="7B85BE28">
            <w:pPr>
              <w:spacing w:line="520" w:lineRule="exact"/>
              <w:rPr>
                <w:rFonts w:eastAsia="仿宋_GB2312"/>
                <w:sz w:val="32"/>
                <w:szCs w:val="32"/>
              </w:rPr>
            </w:pPr>
            <w:r>
              <w:rPr>
                <w:rFonts w:eastAsia="仿宋_GB2312"/>
                <w:sz w:val="32"/>
                <w:szCs w:val="32"/>
              </w:rPr>
              <w:t>系统整体占地尺寸（长×宽×高），预留维护空间要求，进样区操作空间要求</w:t>
            </w:r>
          </w:p>
        </w:tc>
      </w:tr>
      <w:tr w14:paraId="1D27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F9DDFF0">
            <w:pPr>
              <w:spacing w:line="520" w:lineRule="exact"/>
              <w:rPr>
                <w:rFonts w:eastAsia="仿宋_GB2312"/>
                <w:sz w:val="32"/>
                <w:szCs w:val="32"/>
              </w:rPr>
            </w:pPr>
            <w:r>
              <w:rPr>
                <w:rFonts w:hint="eastAsia" w:eastAsia="仿宋_GB2312"/>
                <w:sz w:val="32"/>
                <w:szCs w:val="32"/>
              </w:rPr>
              <w:t>承重</w:t>
            </w:r>
          </w:p>
        </w:tc>
        <w:tc>
          <w:tcPr>
            <w:tcW w:w="6882" w:type="dxa"/>
          </w:tcPr>
          <w:p w14:paraId="26A4D90C">
            <w:pPr>
              <w:spacing w:line="520" w:lineRule="exact"/>
              <w:rPr>
                <w:rFonts w:eastAsia="仿宋_GB2312"/>
                <w:sz w:val="32"/>
                <w:szCs w:val="32"/>
              </w:rPr>
            </w:pPr>
            <w:r>
              <w:rPr>
                <w:rFonts w:eastAsia="仿宋_GB2312"/>
                <w:sz w:val="32"/>
                <w:szCs w:val="32"/>
              </w:rPr>
              <w:t>地面承重要求</w:t>
            </w:r>
          </w:p>
        </w:tc>
      </w:tr>
      <w:tr w14:paraId="66AC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E6EE80C">
            <w:pPr>
              <w:spacing w:line="520" w:lineRule="exact"/>
              <w:rPr>
                <w:rFonts w:eastAsia="仿宋_GB2312"/>
                <w:sz w:val="32"/>
                <w:szCs w:val="32"/>
              </w:rPr>
            </w:pPr>
            <w:r>
              <w:rPr>
                <w:rFonts w:hint="eastAsia" w:eastAsia="仿宋_GB2312"/>
                <w:sz w:val="32"/>
                <w:szCs w:val="32"/>
              </w:rPr>
              <w:t>电源</w:t>
            </w:r>
          </w:p>
        </w:tc>
        <w:tc>
          <w:tcPr>
            <w:tcW w:w="6882" w:type="dxa"/>
          </w:tcPr>
          <w:p w14:paraId="4FC8D552">
            <w:pPr>
              <w:spacing w:line="520" w:lineRule="exact"/>
              <w:rPr>
                <w:rFonts w:eastAsia="仿宋_GB2312"/>
                <w:sz w:val="32"/>
                <w:szCs w:val="32"/>
              </w:rPr>
            </w:pPr>
            <w:r>
              <w:rPr>
                <w:rFonts w:eastAsia="仿宋_GB2312"/>
                <w:sz w:val="32"/>
                <w:szCs w:val="32"/>
              </w:rPr>
              <w:t>电压、频率、功率、插座要求、接地要求</w:t>
            </w:r>
          </w:p>
        </w:tc>
      </w:tr>
      <w:tr w14:paraId="2A7D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62EE638">
            <w:pPr>
              <w:spacing w:line="520" w:lineRule="exact"/>
              <w:rPr>
                <w:rFonts w:eastAsia="仿宋_GB2312"/>
                <w:sz w:val="32"/>
                <w:szCs w:val="32"/>
              </w:rPr>
            </w:pPr>
            <w:r>
              <w:rPr>
                <w:rFonts w:hint="eastAsia" w:eastAsia="仿宋_GB2312"/>
                <w:sz w:val="32"/>
                <w:szCs w:val="32"/>
              </w:rPr>
              <w:t>网络</w:t>
            </w:r>
          </w:p>
        </w:tc>
        <w:tc>
          <w:tcPr>
            <w:tcW w:w="6882" w:type="dxa"/>
          </w:tcPr>
          <w:p w14:paraId="5042B747">
            <w:pPr>
              <w:spacing w:line="520" w:lineRule="exact"/>
              <w:rPr>
                <w:rFonts w:eastAsia="仿宋_GB2312"/>
                <w:sz w:val="32"/>
                <w:szCs w:val="32"/>
              </w:rPr>
            </w:pPr>
            <w:r>
              <w:rPr>
                <w:rFonts w:eastAsia="仿宋_GB2312"/>
                <w:sz w:val="32"/>
                <w:szCs w:val="32"/>
              </w:rPr>
              <w:t>如连接LIS，应明确网络接口类型、布线要求</w:t>
            </w:r>
          </w:p>
        </w:tc>
      </w:tr>
      <w:tr w14:paraId="5319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E592948">
            <w:pPr>
              <w:spacing w:line="520" w:lineRule="exact"/>
              <w:rPr>
                <w:rFonts w:eastAsia="仿宋_GB2312"/>
                <w:sz w:val="32"/>
                <w:szCs w:val="32"/>
              </w:rPr>
            </w:pPr>
            <w:r>
              <w:rPr>
                <w:rFonts w:hint="eastAsia" w:eastAsia="仿宋_GB2312"/>
                <w:sz w:val="32"/>
                <w:szCs w:val="32"/>
              </w:rPr>
              <w:t>环境</w:t>
            </w:r>
          </w:p>
        </w:tc>
        <w:tc>
          <w:tcPr>
            <w:tcW w:w="6882" w:type="dxa"/>
          </w:tcPr>
          <w:p w14:paraId="7D9187F1">
            <w:pPr>
              <w:spacing w:line="520" w:lineRule="exact"/>
              <w:rPr>
                <w:rFonts w:eastAsia="仿宋_GB2312"/>
                <w:sz w:val="32"/>
                <w:szCs w:val="32"/>
              </w:rPr>
            </w:pPr>
            <w:r>
              <w:rPr>
                <w:rFonts w:eastAsia="仿宋_GB2312"/>
                <w:sz w:val="32"/>
                <w:szCs w:val="32"/>
              </w:rPr>
              <w:t>温度范围、湿度范围、海拔高度、通风要求</w:t>
            </w:r>
          </w:p>
        </w:tc>
      </w:tr>
    </w:tbl>
    <w:p w14:paraId="6C411EDF">
      <w:pPr>
        <w:spacing w:line="520" w:lineRule="exact"/>
        <w:ind w:firstLine="640" w:firstLineChars="200"/>
        <w:rPr>
          <w:rFonts w:hint="eastAsia" w:eastAsia="仿宋_GB2312"/>
          <w:kern w:val="0"/>
          <w:sz w:val="32"/>
          <w:szCs w:val="32"/>
        </w:rPr>
      </w:pPr>
      <w:r>
        <w:rPr>
          <w:rFonts w:hint="default" w:eastAsia="仿宋_GB2312"/>
          <w:kern w:val="0"/>
          <w:sz w:val="32"/>
          <w:szCs w:val="32"/>
          <w:lang w:val="en-US" w:eastAsia="zh-CN"/>
        </w:rPr>
        <w:t>⑥关键元器件使用期限</w:t>
      </w:r>
    </w:p>
    <w:p w14:paraId="73174269">
      <w:pPr>
        <w:spacing w:line="520" w:lineRule="exact"/>
        <w:ind w:firstLine="640" w:firstLineChars="200"/>
        <w:rPr>
          <w:rFonts w:hint="eastAsia" w:eastAsia="仿宋_GB2312"/>
          <w:kern w:val="0"/>
          <w:sz w:val="32"/>
          <w:szCs w:val="32"/>
        </w:rPr>
      </w:pPr>
      <w:r>
        <w:rPr>
          <w:rFonts w:hint="default" w:eastAsia="仿宋_GB2312"/>
          <w:kern w:val="0"/>
          <w:sz w:val="32"/>
          <w:szCs w:val="32"/>
          <w:lang w:val="en-US" w:eastAsia="zh-CN"/>
        </w:rPr>
        <w:t>应结合研究资料中关于产品使用稳定性的研究结果，在说明书中明确关键元器件的使用期限或更换周期。</w:t>
      </w:r>
    </w:p>
    <w:p w14:paraId="08A495A0">
      <w:pPr>
        <w:spacing w:line="520" w:lineRule="exact"/>
        <w:ind w:firstLine="640" w:firstLineChars="200"/>
        <w:rPr>
          <w:rFonts w:eastAsia="仿宋_GB2312"/>
          <w:kern w:val="0"/>
          <w:sz w:val="32"/>
          <w:szCs w:val="32"/>
        </w:rPr>
      </w:pPr>
      <w:r>
        <w:rPr>
          <w:rFonts w:eastAsia="仿宋_GB2312"/>
          <w:kern w:val="0"/>
          <w:sz w:val="32"/>
          <w:szCs w:val="32"/>
        </w:rPr>
        <w:t>（7）禁忌证、注意事项、警示以及提示的内容；</w:t>
      </w:r>
    </w:p>
    <w:p w14:paraId="2D0CBDBE">
      <w:pPr>
        <w:spacing w:line="520" w:lineRule="exact"/>
        <w:ind w:firstLine="640" w:firstLineChars="200"/>
        <w:rPr>
          <w:rFonts w:eastAsia="仿宋_GB2312"/>
          <w:kern w:val="0"/>
          <w:sz w:val="32"/>
          <w:szCs w:val="32"/>
        </w:rPr>
      </w:pPr>
      <w:r>
        <w:rPr>
          <w:rFonts w:eastAsia="仿宋_GB2312"/>
          <w:kern w:val="0"/>
          <w:sz w:val="32"/>
          <w:szCs w:val="32"/>
        </w:rPr>
        <w:t>（8）安装和使用说明或者图示：</w:t>
      </w:r>
    </w:p>
    <w:p w14:paraId="5CD7F8B7">
      <w:pPr>
        <w:spacing w:line="520" w:lineRule="exact"/>
        <w:ind w:firstLine="640" w:firstLineChars="200"/>
        <w:rPr>
          <w:rFonts w:eastAsia="仿宋_GB2312"/>
          <w:kern w:val="0"/>
          <w:sz w:val="32"/>
          <w:szCs w:val="32"/>
        </w:rPr>
      </w:pPr>
      <w:r>
        <w:rPr>
          <w:rFonts w:eastAsia="仿宋_GB2312"/>
          <w:kern w:val="0"/>
          <w:sz w:val="32"/>
          <w:szCs w:val="32"/>
        </w:rPr>
        <w:t>建议以申报产品安装调试完毕可开始正常工作作为初始状态介绍具体的操作方法，详细描述校准、质控、检测设计（样本操作、试剂操作、检测流程等）、结果传输和打印等每一步骤的详细操作方式，主要是在用户界面上如何操作应有详细的文字及图示描述。</w:t>
      </w:r>
    </w:p>
    <w:p w14:paraId="646D6463">
      <w:pPr>
        <w:spacing w:line="520" w:lineRule="exact"/>
        <w:ind w:firstLine="640" w:firstLineChars="200"/>
        <w:rPr>
          <w:rFonts w:eastAsia="仿宋_GB2312"/>
          <w:kern w:val="0"/>
          <w:sz w:val="32"/>
          <w:szCs w:val="32"/>
        </w:rPr>
      </w:pPr>
      <w:r>
        <w:rPr>
          <w:rFonts w:eastAsia="仿宋_GB2312"/>
          <w:kern w:val="0"/>
          <w:sz w:val="32"/>
          <w:szCs w:val="32"/>
        </w:rPr>
        <w:t>（9）产品维护和保养方法，特殊储存、运输条件、方法：</w:t>
      </w:r>
    </w:p>
    <w:p w14:paraId="53B116FC">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1 \* GB3 </w:instrText>
      </w:r>
      <w:r>
        <w:rPr>
          <w:rFonts w:eastAsia="仿宋_GB2312"/>
          <w:kern w:val="0"/>
          <w:sz w:val="32"/>
          <w:szCs w:val="32"/>
        </w:rPr>
        <w:fldChar w:fldCharType="separate"/>
      </w:r>
      <w:r>
        <w:rPr>
          <w:rFonts w:hint="eastAsia" w:ascii="宋体" w:hAnsi="宋体" w:cs="宋体"/>
          <w:kern w:val="0"/>
          <w:sz w:val="32"/>
          <w:szCs w:val="32"/>
        </w:rPr>
        <w:t>①</w:t>
      </w:r>
      <w:r>
        <w:rPr>
          <w:rFonts w:eastAsia="仿宋_GB2312"/>
          <w:kern w:val="0"/>
          <w:sz w:val="32"/>
          <w:szCs w:val="32"/>
        </w:rPr>
        <w:fldChar w:fldCharType="end"/>
      </w:r>
      <w:r>
        <w:rPr>
          <w:rFonts w:eastAsia="仿宋_GB2312"/>
          <w:kern w:val="0"/>
          <w:sz w:val="32"/>
          <w:szCs w:val="32"/>
        </w:rPr>
        <w:t>维护和保养</w:t>
      </w:r>
    </w:p>
    <w:p w14:paraId="4BCBA666">
      <w:pPr>
        <w:spacing w:line="520" w:lineRule="exact"/>
        <w:ind w:firstLine="640" w:firstLineChars="200"/>
        <w:rPr>
          <w:rFonts w:eastAsia="仿宋_GB2312"/>
          <w:kern w:val="0"/>
          <w:sz w:val="32"/>
          <w:szCs w:val="32"/>
        </w:rPr>
      </w:pPr>
      <w:r>
        <w:rPr>
          <w:rFonts w:eastAsia="仿宋_GB2312"/>
          <w:kern w:val="0"/>
          <w:sz w:val="32"/>
          <w:szCs w:val="32"/>
        </w:rPr>
        <w:t>建议以文字加图示的方式对使用者能够进行的维护保养措施，包括每日维护（如，非工作时间液路系统的维护方法、废液桶更换方法）、每周维护（如，水容器和水瓶的清洁方法）、每月维护（如，清洗试剂探针的方法）、重点零部件维护（如，样本架的维护保养方法）的具体内容进行详细描述。</w:t>
      </w:r>
    </w:p>
    <w:p w14:paraId="5EBB83A0">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2 \* GB3 </w:instrText>
      </w:r>
      <w:r>
        <w:rPr>
          <w:rFonts w:eastAsia="仿宋_GB2312"/>
          <w:kern w:val="0"/>
          <w:sz w:val="32"/>
          <w:szCs w:val="32"/>
        </w:rPr>
        <w:fldChar w:fldCharType="separate"/>
      </w:r>
      <w:r>
        <w:rPr>
          <w:rFonts w:hint="eastAsia" w:ascii="宋体" w:hAnsi="宋体" w:cs="宋体"/>
          <w:kern w:val="0"/>
          <w:sz w:val="32"/>
          <w:szCs w:val="32"/>
        </w:rPr>
        <w:t>②</w:t>
      </w:r>
      <w:r>
        <w:rPr>
          <w:rFonts w:eastAsia="仿宋_GB2312"/>
          <w:kern w:val="0"/>
          <w:sz w:val="32"/>
          <w:szCs w:val="32"/>
        </w:rPr>
        <w:fldChar w:fldCharType="end"/>
      </w:r>
      <w:r>
        <w:rPr>
          <w:rFonts w:eastAsia="仿宋_GB2312"/>
          <w:kern w:val="0"/>
          <w:sz w:val="32"/>
          <w:szCs w:val="32"/>
        </w:rPr>
        <w:t>故障排除</w:t>
      </w:r>
    </w:p>
    <w:p w14:paraId="5AB57288">
      <w:pPr>
        <w:spacing w:line="520" w:lineRule="exact"/>
        <w:ind w:firstLine="640" w:firstLineChars="200"/>
        <w:rPr>
          <w:rFonts w:eastAsia="仿宋_GB2312"/>
          <w:kern w:val="0"/>
          <w:sz w:val="32"/>
          <w:szCs w:val="32"/>
        </w:rPr>
      </w:pPr>
      <w:r>
        <w:rPr>
          <w:rFonts w:eastAsia="仿宋_GB2312"/>
          <w:kern w:val="0"/>
          <w:sz w:val="32"/>
          <w:szCs w:val="32"/>
        </w:rPr>
        <w:t>建议以列表方式对申报产品正常使用过程中可能出现的可由使用者自行排除的故障进行详细描述，应当至少写明故障的表现、可能原因、建议的处理方式。</w:t>
      </w:r>
    </w:p>
    <w:p w14:paraId="7DF7AA56">
      <w:pPr>
        <w:spacing w:line="520" w:lineRule="exact"/>
        <w:ind w:firstLine="640" w:firstLineChars="200"/>
        <w:rPr>
          <w:rFonts w:eastAsia="仿宋_GB2312"/>
          <w:kern w:val="0"/>
          <w:sz w:val="32"/>
          <w:szCs w:val="32"/>
        </w:rPr>
      </w:pPr>
      <w:r>
        <w:rPr>
          <w:rFonts w:eastAsia="仿宋_GB2312"/>
          <w:kern w:val="0"/>
          <w:sz w:val="32"/>
          <w:szCs w:val="32"/>
        </w:rPr>
        <w:t>（10）生产日期，使用期限：</w:t>
      </w:r>
    </w:p>
    <w:p w14:paraId="214EAAC4">
      <w:pPr>
        <w:spacing w:line="520" w:lineRule="exact"/>
        <w:ind w:firstLine="640" w:firstLineChars="200"/>
        <w:rPr>
          <w:rFonts w:eastAsia="仿宋_GB2312"/>
          <w:kern w:val="0"/>
          <w:sz w:val="32"/>
          <w:szCs w:val="32"/>
        </w:rPr>
      </w:pPr>
      <w:r>
        <w:rPr>
          <w:rFonts w:eastAsia="仿宋_GB2312"/>
          <w:kern w:val="0"/>
          <w:sz w:val="32"/>
          <w:szCs w:val="32"/>
        </w:rPr>
        <w:t>注明产品的使用期限。使用期限应当根据产品有效期研究资料的内容写明年限。</w:t>
      </w:r>
    </w:p>
    <w:p w14:paraId="61F9EF0D">
      <w:pPr>
        <w:spacing w:line="520" w:lineRule="exact"/>
        <w:ind w:firstLine="640" w:firstLineChars="200"/>
        <w:rPr>
          <w:rFonts w:eastAsia="仿宋_GB2312"/>
          <w:kern w:val="0"/>
          <w:sz w:val="32"/>
          <w:szCs w:val="32"/>
        </w:rPr>
      </w:pPr>
      <w:r>
        <w:rPr>
          <w:rFonts w:eastAsia="仿宋_GB2312"/>
          <w:kern w:val="0"/>
          <w:sz w:val="32"/>
          <w:szCs w:val="32"/>
        </w:rPr>
        <w:t>（11）配件清单，包括配件（适用的反应杯/管/池的规格、适用的样本管的规格、样本架情况、急诊样本情况、条码类型）、附属品及损耗品，应写明每一配件的名称，如必要，还需写明更换周期以及更换方法等；</w:t>
      </w:r>
    </w:p>
    <w:p w14:paraId="4C54BB5C">
      <w:pPr>
        <w:spacing w:line="520" w:lineRule="exact"/>
        <w:ind w:firstLine="640" w:firstLineChars="200"/>
        <w:rPr>
          <w:rFonts w:eastAsia="仿宋_GB2312"/>
          <w:kern w:val="0"/>
          <w:sz w:val="32"/>
          <w:szCs w:val="32"/>
        </w:rPr>
      </w:pPr>
      <w:r>
        <w:rPr>
          <w:rFonts w:eastAsia="仿宋_GB2312"/>
          <w:kern w:val="0"/>
          <w:sz w:val="32"/>
          <w:szCs w:val="32"/>
        </w:rPr>
        <w:t>（12）产品标签所用的图形、符号、缩写等内容的解释；</w:t>
      </w:r>
    </w:p>
    <w:p w14:paraId="69A49901">
      <w:pPr>
        <w:spacing w:line="520" w:lineRule="exact"/>
        <w:ind w:firstLine="640" w:firstLineChars="200"/>
        <w:rPr>
          <w:rFonts w:eastAsia="仿宋_GB2312"/>
          <w:kern w:val="0"/>
          <w:sz w:val="32"/>
          <w:szCs w:val="32"/>
        </w:rPr>
      </w:pPr>
      <w:r>
        <w:rPr>
          <w:rFonts w:eastAsia="仿宋_GB2312"/>
          <w:kern w:val="0"/>
          <w:sz w:val="32"/>
          <w:szCs w:val="32"/>
        </w:rPr>
        <w:t>（13）说明书的编制或者修订日期；</w:t>
      </w:r>
    </w:p>
    <w:p w14:paraId="6A8E9A5F">
      <w:pPr>
        <w:spacing w:line="520" w:lineRule="exact"/>
        <w:ind w:firstLine="640" w:firstLineChars="200"/>
        <w:rPr>
          <w:rFonts w:eastAsia="仿宋_GB2312"/>
          <w:kern w:val="0"/>
          <w:sz w:val="32"/>
          <w:szCs w:val="32"/>
        </w:rPr>
      </w:pPr>
      <w:r>
        <w:rPr>
          <w:rFonts w:eastAsia="仿宋_GB2312"/>
          <w:kern w:val="0"/>
          <w:sz w:val="32"/>
          <w:szCs w:val="32"/>
        </w:rPr>
        <w:t>上述各项目均应当包含在产品说明书中，但其中的详细内容可能因申请人和申报产品的不同而有所区别，或者某些项目的详细内容可能记载于其他文件（如维修保养手册）中，此种情况下，申请人应当在提交产品说明书时另附文件予以说明。</w:t>
      </w:r>
    </w:p>
    <w:p w14:paraId="7BC514A3">
      <w:pPr>
        <w:spacing w:line="520" w:lineRule="exact"/>
        <w:ind w:firstLine="640" w:firstLineChars="200"/>
        <w:rPr>
          <w:rFonts w:eastAsia="仿宋_GB2312"/>
          <w:kern w:val="0"/>
          <w:sz w:val="32"/>
          <w:szCs w:val="32"/>
        </w:rPr>
      </w:pPr>
      <w:r>
        <w:rPr>
          <w:rFonts w:eastAsia="仿宋_GB2312"/>
          <w:kern w:val="0"/>
          <w:sz w:val="32"/>
          <w:szCs w:val="32"/>
        </w:rPr>
        <w:t>产品说明书的内容均应有明确的来源，与综述资料、研究资料等注册申报资料的内容保持一致。进口产品的原文说明书如缺少上述项目中的某些内容，应当在产品中文说明书中予以增加，涉及技术内容且前述注册申报资料中未包含的，建议提交相应验证资料。</w:t>
      </w:r>
    </w:p>
    <w:p w14:paraId="52B5A128">
      <w:pPr>
        <w:spacing w:line="520" w:lineRule="exact"/>
        <w:ind w:firstLine="640" w:firstLineChars="200"/>
        <w:rPr>
          <w:rFonts w:eastAsia="仿宋_GB2312"/>
          <w:kern w:val="0"/>
          <w:sz w:val="32"/>
          <w:szCs w:val="32"/>
        </w:rPr>
      </w:pPr>
      <w:r>
        <w:rPr>
          <w:rFonts w:eastAsia="仿宋_GB2312"/>
          <w:kern w:val="0"/>
          <w:sz w:val="32"/>
          <w:szCs w:val="32"/>
        </w:rPr>
        <w:t>2.最小销售单元的标签样稿</w:t>
      </w:r>
    </w:p>
    <w:p w14:paraId="1CF463C2">
      <w:pPr>
        <w:widowControl/>
        <w:adjustRightInd w:val="0"/>
        <w:snapToGrid w:val="0"/>
        <w:spacing w:line="520" w:lineRule="exact"/>
        <w:ind w:firstLine="640" w:firstLineChars="200"/>
        <w:rPr>
          <w:rFonts w:eastAsia="仿宋_GB2312"/>
          <w:sz w:val="32"/>
          <w:szCs w:val="32"/>
        </w:rPr>
      </w:pPr>
      <w:r>
        <w:rPr>
          <w:rFonts w:eastAsia="仿宋_GB2312"/>
          <w:kern w:val="0"/>
          <w:sz w:val="32"/>
          <w:szCs w:val="32"/>
        </w:rPr>
        <w:t>标签样稿应当符合《医疗器械说明书和标签管理规定》的要求，其内容应当至少包括第十三条规定的所有适用内容。</w:t>
      </w:r>
      <w:r>
        <w:rPr>
          <w:rFonts w:eastAsia="仿宋_GB2312"/>
          <w:sz w:val="32"/>
          <w:szCs w:val="32"/>
        </w:rPr>
        <w:t>因位置或者大小受限而无法全部标明上述内容的，至少应当标注产品名称、型号、规格、生产日期和使用期限或者失效日期，并在标签中明确“其他内容详见说明书”。</w:t>
      </w:r>
    </w:p>
    <w:p w14:paraId="66A3D65A">
      <w:pPr>
        <w:spacing w:line="520" w:lineRule="exact"/>
        <w:ind w:firstLine="640" w:firstLineChars="200"/>
        <w:rPr>
          <w:rFonts w:eastAsia="仿宋_GB2312"/>
          <w:sz w:val="32"/>
          <w:szCs w:val="32"/>
        </w:rPr>
      </w:pPr>
      <w:r>
        <w:rPr>
          <w:rFonts w:hint="eastAsia" w:eastAsia="仿宋_GB2312"/>
          <w:sz w:val="32"/>
          <w:szCs w:val="32"/>
        </w:rPr>
        <w:t>生化免疫分析仪器</w:t>
      </w:r>
      <w:r>
        <w:rPr>
          <w:rFonts w:eastAsia="仿宋_GB2312"/>
          <w:sz w:val="32"/>
          <w:szCs w:val="32"/>
        </w:rPr>
        <w:t>产品</w:t>
      </w:r>
      <w:r>
        <w:rPr>
          <w:rFonts w:eastAsia="仿宋_GB2312"/>
          <w:sz w:val="32"/>
          <w:szCs w:val="32"/>
          <w:lang w:eastAsia="zh-Hans"/>
        </w:rPr>
        <w:t>的</w:t>
      </w:r>
      <w:r>
        <w:rPr>
          <w:rFonts w:eastAsia="仿宋_GB2312"/>
          <w:sz w:val="32"/>
          <w:szCs w:val="32"/>
        </w:rPr>
        <w:t>说明书、标签和包装标识的编写应符合《医疗器械说明书和标签管理规定》、YY/T 0466.1中的相关要求。</w:t>
      </w:r>
    </w:p>
    <w:p w14:paraId="36632279">
      <w:pPr>
        <w:spacing w:line="520" w:lineRule="exact"/>
        <w:ind w:firstLine="640" w:firstLineChars="200"/>
        <w:rPr>
          <w:rFonts w:eastAsia="仿宋_GB2312"/>
          <w:sz w:val="32"/>
          <w:szCs w:val="32"/>
        </w:rPr>
      </w:pPr>
      <w:r>
        <w:rPr>
          <w:rFonts w:eastAsia="仿宋_GB2312"/>
          <w:sz w:val="32"/>
          <w:szCs w:val="32"/>
        </w:rPr>
        <w:t>说明书、标签和包装标识的内容应当真实、完整、科学，并与产品特性相一致，文字内容必须使用中文，可以附加其他语种。说明书</w:t>
      </w:r>
      <w:r>
        <w:rPr>
          <w:rFonts w:eastAsia="仿宋_GB2312"/>
          <w:sz w:val="32"/>
          <w:szCs w:val="32"/>
          <w:lang w:eastAsia="zh-Hans"/>
        </w:rPr>
        <w:t>和</w:t>
      </w:r>
      <w:r>
        <w:rPr>
          <w:rFonts w:eastAsia="仿宋_GB2312"/>
          <w:sz w:val="32"/>
          <w:szCs w:val="32"/>
        </w:rPr>
        <w:t>标签中的文字、符号、图形、表格、数据等应相互一致，并符合相关标准和规范要求。</w:t>
      </w:r>
    </w:p>
    <w:p w14:paraId="142E4564">
      <w:pPr>
        <w:spacing w:line="520" w:lineRule="exact"/>
        <w:ind w:left="640" w:right="-67" w:rightChars="-32"/>
        <w:outlineLvl w:val="1"/>
        <w:rPr>
          <w:rFonts w:eastAsia="楷体_GB2312"/>
          <w:sz w:val="32"/>
          <w:szCs w:val="32"/>
        </w:rPr>
      </w:pPr>
      <w:r>
        <w:rPr>
          <w:rFonts w:eastAsia="楷体_GB2312"/>
          <w:sz w:val="32"/>
          <w:szCs w:val="32"/>
        </w:rPr>
        <w:t>（六）质量管理体系文件</w:t>
      </w:r>
    </w:p>
    <w:p w14:paraId="4E28C11A">
      <w:pPr>
        <w:spacing w:line="520" w:lineRule="exact"/>
        <w:ind w:right="-67" w:rightChars="-32" w:firstLine="640" w:firstLineChars="200"/>
        <w:outlineLvl w:val="0"/>
        <w:rPr>
          <w:rFonts w:eastAsia="仿宋_GB2312"/>
          <w:sz w:val="32"/>
          <w:szCs w:val="32"/>
        </w:rPr>
      </w:pPr>
      <w:r>
        <w:rPr>
          <w:rFonts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文件应符合《医疗器械生产质量管理规范》的要求，并按《医疗器械注册申报资料要求及说明》提交资料。</w:t>
      </w:r>
    </w:p>
    <w:p w14:paraId="0C84EFFE">
      <w:pPr>
        <w:spacing w:line="520" w:lineRule="exact"/>
        <w:ind w:firstLine="640" w:firstLineChars="200"/>
        <w:outlineLvl w:val="0"/>
        <w:rPr>
          <w:rFonts w:eastAsia="黑体"/>
          <w:sz w:val="32"/>
          <w:szCs w:val="32"/>
        </w:rPr>
      </w:pPr>
      <w:r>
        <w:rPr>
          <w:rFonts w:hint="eastAsia" w:eastAsia="黑体"/>
          <w:sz w:val="32"/>
          <w:szCs w:val="32"/>
        </w:rPr>
        <w:t>三、</w:t>
      </w:r>
      <w:r>
        <w:rPr>
          <w:rFonts w:eastAsia="黑体"/>
          <w:sz w:val="32"/>
          <w:szCs w:val="32"/>
        </w:rPr>
        <w:t>参考文献</w:t>
      </w:r>
    </w:p>
    <w:p w14:paraId="69D8726E">
      <w:pPr>
        <w:widowControl/>
        <w:spacing w:line="520" w:lineRule="exact"/>
        <w:ind w:left="416" w:hanging="416" w:hangingChars="130"/>
        <w:rPr>
          <w:rFonts w:eastAsia="仿宋_GB2312"/>
          <w:sz w:val="32"/>
          <w:szCs w:val="32"/>
        </w:rPr>
      </w:pPr>
      <w:r>
        <w:rPr>
          <w:rFonts w:eastAsia="仿宋_GB2312"/>
          <w:sz w:val="32"/>
          <w:szCs w:val="32"/>
        </w:rPr>
        <w:t>[1]中华人民共和国国务院</w:t>
      </w:r>
      <w:r>
        <w:rPr>
          <w:rFonts w:hint="eastAsia" w:eastAsia="仿宋_GB2312"/>
          <w:sz w:val="32"/>
          <w:szCs w:val="32"/>
        </w:rPr>
        <w:t>《</w:t>
      </w:r>
      <w:r>
        <w:rPr>
          <w:rFonts w:eastAsia="仿宋_GB2312"/>
          <w:sz w:val="32"/>
          <w:szCs w:val="32"/>
        </w:rPr>
        <w:t>医疗器械监督管理条例</w:t>
      </w:r>
      <w:r>
        <w:rPr>
          <w:rFonts w:hint="eastAsia" w:eastAsia="仿宋_GB2312"/>
          <w:sz w:val="32"/>
          <w:szCs w:val="32"/>
        </w:rPr>
        <w:t>》（</w:t>
      </w:r>
      <w:r>
        <w:rPr>
          <w:rFonts w:eastAsia="仿宋_GB2312"/>
          <w:sz w:val="32"/>
          <w:szCs w:val="32"/>
        </w:rPr>
        <w:t>中华人民共和国国务院令第739号</w:t>
      </w:r>
      <w:r>
        <w:rPr>
          <w:rFonts w:hint="eastAsia" w:eastAsia="仿宋_GB2312"/>
          <w:sz w:val="32"/>
          <w:szCs w:val="32"/>
        </w:rPr>
        <w:t>）</w:t>
      </w:r>
      <w:r>
        <w:rPr>
          <w:rFonts w:eastAsia="仿宋_GB2312"/>
          <w:sz w:val="32"/>
          <w:szCs w:val="32"/>
        </w:rPr>
        <w:t>[Z].</w:t>
      </w:r>
    </w:p>
    <w:p w14:paraId="52379600">
      <w:pPr>
        <w:widowControl/>
        <w:spacing w:line="520" w:lineRule="exact"/>
        <w:ind w:left="416" w:hanging="416" w:hangingChars="130"/>
        <w:rPr>
          <w:rFonts w:eastAsia="仿宋_GB2312"/>
          <w:sz w:val="32"/>
          <w:szCs w:val="32"/>
        </w:rPr>
      </w:pPr>
      <w:r>
        <w:rPr>
          <w:rFonts w:eastAsia="仿宋_GB2312"/>
          <w:sz w:val="32"/>
          <w:szCs w:val="32"/>
        </w:rPr>
        <w:t>[2]国家市场监督管理总局</w:t>
      </w:r>
      <w:r>
        <w:rPr>
          <w:rFonts w:hint="eastAsia" w:eastAsia="仿宋_GB2312"/>
          <w:sz w:val="32"/>
          <w:szCs w:val="32"/>
        </w:rPr>
        <w:t>《</w:t>
      </w:r>
      <w:r>
        <w:rPr>
          <w:rFonts w:eastAsia="仿宋_GB2312"/>
          <w:sz w:val="32"/>
          <w:szCs w:val="32"/>
        </w:rPr>
        <w:t>医疗器械注册与备案管理办法</w:t>
      </w:r>
      <w:r>
        <w:rPr>
          <w:rFonts w:hint="eastAsia" w:eastAsia="仿宋_GB2312"/>
          <w:sz w:val="32"/>
          <w:szCs w:val="32"/>
        </w:rPr>
        <w:t>》（</w:t>
      </w:r>
      <w:r>
        <w:rPr>
          <w:rFonts w:eastAsia="仿宋_GB2312"/>
          <w:sz w:val="32"/>
          <w:szCs w:val="32"/>
        </w:rPr>
        <w:t>国家市场监督管理总局令第47号</w:t>
      </w:r>
      <w:r>
        <w:rPr>
          <w:rFonts w:hint="eastAsia" w:eastAsia="仿宋_GB2312"/>
          <w:sz w:val="32"/>
          <w:szCs w:val="32"/>
        </w:rPr>
        <w:t>）</w:t>
      </w:r>
      <w:r>
        <w:rPr>
          <w:rFonts w:eastAsia="仿宋_GB2312"/>
          <w:sz w:val="32"/>
          <w:szCs w:val="32"/>
        </w:rPr>
        <w:t>[Z].</w:t>
      </w:r>
    </w:p>
    <w:p w14:paraId="6F334B75">
      <w:pPr>
        <w:widowControl/>
        <w:spacing w:line="520" w:lineRule="exact"/>
        <w:ind w:left="416" w:hanging="416" w:hangingChars="130"/>
        <w:rPr>
          <w:rFonts w:eastAsia="仿宋_GB2312"/>
          <w:sz w:val="32"/>
          <w:szCs w:val="32"/>
        </w:rPr>
      </w:pPr>
      <w:r>
        <w:rPr>
          <w:rFonts w:eastAsia="仿宋_GB2312"/>
          <w:sz w:val="32"/>
          <w:szCs w:val="32"/>
        </w:rPr>
        <w:t>[3]国家食品药品监督管理局</w:t>
      </w:r>
      <w:r>
        <w:rPr>
          <w:rFonts w:hint="eastAsia" w:eastAsia="仿宋_GB2312"/>
          <w:sz w:val="32"/>
          <w:szCs w:val="32"/>
          <w:lang w:eastAsia="zh-CN"/>
        </w:rPr>
        <w:t>《</w:t>
      </w:r>
      <w:r>
        <w:rPr>
          <w:rFonts w:eastAsia="仿宋_GB2312"/>
          <w:sz w:val="32"/>
          <w:szCs w:val="32"/>
        </w:rPr>
        <w:t>医疗器械说明书和标签管理规定</w:t>
      </w:r>
      <w:r>
        <w:rPr>
          <w:rFonts w:hint="eastAsia" w:eastAsia="仿宋_GB2312"/>
          <w:sz w:val="32"/>
          <w:szCs w:val="32"/>
        </w:rPr>
        <w:t>》（</w:t>
      </w:r>
      <w:r>
        <w:rPr>
          <w:rFonts w:eastAsia="仿宋_GB2312"/>
          <w:sz w:val="32"/>
          <w:szCs w:val="32"/>
        </w:rPr>
        <w:t>国家食品药品监督管理总局令第6号</w:t>
      </w:r>
      <w:r>
        <w:rPr>
          <w:rFonts w:hint="eastAsia" w:eastAsia="仿宋_GB2312"/>
          <w:sz w:val="32"/>
          <w:szCs w:val="32"/>
        </w:rPr>
        <w:t>）</w:t>
      </w:r>
      <w:r>
        <w:rPr>
          <w:rFonts w:eastAsia="仿宋_GB2312"/>
          <w:sz w:val="32"/>
          <w:szCs w:val="32"/>
        </w:rPr>
        <w:t>[Z].</w:t>
      </w:r>
    </w:p>
    <w:p w14:paraId="34DD8A36">
      <w:pPr>
        <w:widowControl/>
        <w:spacing w:line="520" w:lineRule="exact"/>
        <w:ind w:left="416" w:hanging="416" w:hangingChars="130"/>
        <w:rPr>
          <w:rFonts w:hint="eastAsia" w:eastAsia="仿宋_GB2312"/>
          <w:sz w:val="32"/>
          <w:szCs w:val="32"/>
          <w:lang w:val="en-US" w:eastAsia="zh-CN"/>
        </w:rPr>
      </w:pPr>
      <w:r>
        <w:rPr>
          <w:rFonts w:eastAsia="仿宋_GB2312"/>
          <w:sz w:val="32"/>
          <w:szCs w:val="32"/>
        </w:rPr>
        <w:t>[4]国家药品监督管理局</w:t>
      </w:r>
      <w:r>
        <w:rPr>
          <w:rFonts w:hint="eastAsia" w:eastAsia="仿宋_GB2312"/>
          <w:sz w:val="32"/>
          <w:szCs w:val="32"/>
          <w:lang w:eastAsia="zh-CN"/>
        </w:rPr>
        <w:t>《</w:t>
      </w:r>
      <w:r>
        <w:rPr>
          <w:rFonts w:eastAsia="仿宋_GB2312"/>
          <w:sz w:val="32"/>
          <w:szCs w:val="32"/>
        </w:rPr>
        <w:t>医疗器械注册申报资料要求和批准证明文件格式</w:t>
      </w:r>
      <w:r>
        <w:rPr>
          <w:rFonts w:hint="eastAsia" w:eastAsia="仿宋_GB2312"/>
          <w:sz w:val="32"/>
          <w:szCs w:val="32"/>
        </w:rPr>
        <w:t>》（</w:t>
      </w:r>
      <w:r>
        <w:rPr>
          <w:rFonts w:eastAsia="仿宋_GB2312"/>
          <w:sz w:val="32"/>
          <w:szCs w:val="32"/>
        </w:rPr>
        <w:t>国家药监局通告2021年第121号</w:t>
      </w:r>
      <w:r>
        <w:rPr>
          <w:rFonts w:hint="eastAsia" w:eastAsia="仿宋_GB2312"/>
          <w:sz w:val="32"/>
          <w:szCs w:val="32"/>
        </w:rPr>
        <w:t>）</w:t>
      </w:r>
      <w:r>
        <w:rPr>
          <w:rFonts w:eastAsia="仿宋_GB2312"/>
          <w:sz w:val="32"/>
          <w:szCs w:val="32"/>
        </w:rPr>
        <w:t>[Z]</w:t>
      </w:r>
      <w:r>
        <w:rPr>
          <w:rFonts w:hint="eastAsia" w:eastAsia="仿宋_GB2312"/>
          <w:sz w:val="32"/>
          <w:szCs w:val="32"/>
          <w:lang w:val="en-US" w:eastAsia="zh-CN"/>
        </w:rPr>
        <w:t>.</w:t>
      </w:r>
    </w:p>
    <w:p w14:paraId="6E7DC7F4">
      <w:pPr>
        <w:widowControl/>
        <w:spacing w:line="520" w:lineRule="exact"/>
        <w:ind w:left="416" w:hanging="416" w:hangingChars="130"/>
        <w:rPr>
          <w:rFonts w:eastAsia="仿宋_GB2312"/>
          <w:sz w:val="32"/>
          <w:szCs w:val="32"/>
        </w:rPr>
      </w:pPr>
      <w:r>
        <w:rPr>
          <w:rFonts w:eastAsia="仿宋_GB2312"/>
          <w:sz w:val="32"/>
          <w:szCs w:val="32"/>
        </w:rPr>
        <w:t>[5]国家药品监督管理局《总局关于发布医疗器械分类目录的公告》（国家食品药品监督管理总局公告2017年第104号）[Z].</w:t>
      </w:r>
    </w:p>
    <w:p w14:paraId="083236C1">
      <w:pPr>
        <w:widowControl/>
        <w:spacing w:line="520" w:lineRule="exact"/>
        <w:ind w:left="416" w:hanging="416" w:hangingChars="130"/>
        <w:rPr>
          <w:rFonts w:eastAsia="仿宋_GB2312"/>
          <w:sz w:val="32"/>
          <w:szCs w:val="32"/>
        </w:rPr>
      </w:pPr>
      <w:r>
        <w:rPr>
          <w:rFonts w:eastAsia="仿宋_GB2312"/>
          <w:sz w:val="32"/>
          <w:szCs w:val="32"/>
        </w:rPr>
        <w:t>[6]国家药品监督管理局《医疗器械注册自检管理规定》（国家药品监督管理局公告2021年第126号）[Z].</w:t>
      </w:r>
    </w:p>
    <w:p w14:paraId="2AF23EBD">
      <w:pPr>
        <w:widowControl/>
        <w:spacing w:line="520" w:lineRule="exact"/>
        <w:ind w:left="416" w:hanging="416" w:hangingChars="130"/>
        <w:rPr>
          <w:rFonts w:eastAsia="仿宋_GB2312"/>
          <w:sz w:val="32"/>
          <w:szCs w:val="32"/>
        </w:rPr>
      </w:pPr>
      <w:r>
        <w:rPr>
          <w:rFonts w:eastAsia="仿宋_GB2312"/>
          <w:sz w:val="32"/>
          <w:szCs w:val="32"/>
        </w:rPr>
        <w:t>[7]国家药品监督管理局</w:t>
      </w:r>
      <w:r>
        <w:rPr>
          <w:rFonts w:hint="eastAsia" w:eastAsia="仿宋_GB2312"/>
          <w:sz w:val="32"/>
          <w:szCs w:val="32"/>
        </w:rPr>
        <w:t>《</w:t>
      </w:r>
      <w:r>
        <w:rPr>
          <w:rFonts w:eastAsia="仿宋_GB2312"/>
          <w:sz w:val="32"/>
          <w:szCs w:val="32"/>
        </w:rPr>
        <w:t>医疗器械产品技术要求编写指导原则</w:t>
      </w:r>
      <w:r>
        <w:rPr>
          <w:rFonts w:hint="eastAsia" w:eastAsia="仿宋_GB2312"/>
          <w:sz w:val="32"/>
          <w:szCs w:val="32"/>
        </w:rPr>
        <w:t>》（</w:t>
      </w:r>
      <w:r>
        <w:rPr>
          <w:rFonts w:eastAsia="仿宋_GB2312"/>
          <w:sz w:val="32"/>
          <w:szCs w:val="32"/>
        </w:rPr>
        <w:t>国家药监局通告2022年第8号</w:t>
      </w:r>
      <w:r>
        <w:rPr>
          <w:rFonts w:hint="eastAsia" w:eastAsia="仿宋_GB2312"/>
          <w:sz w:val="32"/>
          <w:szCs w:val="32"/>
        </w:rPr>
        <w:t>）</w:t>
      </w:r>
      <w:r>
        <w:rPr>
          <w:rFonts w:eastAsia="仿宋_GB2312"/>
          <w:sz w:val="32"/>
          <w:szCs w:val="32"/>
        </w:rPr>
        <w:t>[Z].</w:t>
      </w:r>
    </w:p>
    <w:p w14:paraId="34929DA3">
      <w:pPr>
        <w:widowControl/>
        <w:spacing w:line="520" w:lineRule="exact"/>
        <w:ind w:left="416" w:hanging="416" w:hangingChars="130"/>
        <w:rPr>
          <w:rFonts w:eastAsia="仿宋_GB2312"/>
          <w:sz w:val="32"/>
          <w:szCs w:val="32"/>
        </w:rPr>
      </w:pPr>
      <w:r>
        <w:rPr>
          <w:rFonts w:eastAsia="仿宋_GB2312"/>
          <w:sz w:val="32"/>
          <w:szCs w:val="32"/>
        </w:rPr>
        <w:t>[8]国家药品监督管理局《国家药监局关于发布免于临床评价医疗器械目录的通告》（国家药品监督管理局通告2025年第19号）[Z].</w:t>
      </w:r>
    </w:p>
    <w:p w14:paraId="1697149F">
      <w:pPr>
        <w:widowControl/>
        <w:spacing w:line="520" w:lineRule="exact"/>
        <w:ind w:left="416" w:hanging="416" w:hangingChars="130"/>
        <w:rPr>
          <w:rFonts w:eastAsia="仿宋_GB2312"/>
          <w:sz w:val="32"/>
          <w:szCs w:val="32"/>
        </w:rPr>
      </w:pPr>
      <w:r>
        <w:rPr>
          <w:rFonts w:eastAsia="仿宋_GB2312"/>
          <w:sz w:val="32"/>
          <w:szCs w:val="32"/>
        </w:rPr>
        <w:t>[</w:t>
      </w:r>
      <w:r>
        <w:rPr>
          <w:rFonts w:hint="eastAsia" w:eastAsia="仿宋_GB2312"/>
          <w:sz w:val="32"/>
          <w:szCs w:val="32"/>
        </w:rPr>
        <w:t>9</w:t>
      </w:r>
      <w:r>
        <w:rPr>
          <w:rFonts w:eastAsia="仿宋_GB2312"/>
          <w:sz w:val="32"/>
          <w:szCs w:val="32"/>
        </w:rPr>
        <w:t>]国家药品监督管理局医疗器械审评中心</w:t>
      </w:r>
      <w:r>
        <w:rPr>
          <w:rFonts w:hint="eastAsia" w:eastAsia="仿宋_GB2312"/>
          <w:sz w:val="32"/>
          <w:szCs w:val="32"/>
        </w:rPr>
        <w:t>《</w:t>
      </w:r>
      <w:r>
        <w:rPr>
          <w:rFonts w:eastAsia="仿宋_GB2312"/>
          <w:sz w:val="32"/>
          <w:szCs w:val="32"/>
        </w:rPr>
        <w:t>医疗器械网络安全注册审查指导原则（2022年修订版）</w:t>
      </w:r>
      <w:r>
        <w:rPr>
          <w:rFonts w:hint="eastAsia" w:eastAsia="仿宋_GB2312"/>
          <w:sz w:val="32"/>
          <w:szCs w:val="32"/>
        </w:rPr>
        <w:t>》（</w:t>
      </w:r>
      <w:r>
        <w:rPr>
          <w:rFonts w:eastAsia="仿宋_GB2312"/>
          <w:sz w:val="32"/>
          <w:szCs w:val="32"/>
        </w:rPr>
        <w:t>国家药监局器审中心通告2022年第7号</w:t>
      </w:r>
      <w:r>
        <w:rPr>
          <w:rFonts w:hint="eastAsia" w:eastAsia="仿宋_GB2312"/>
          <w:sz w:val="32"/>
          <w:szCs w:val="32"/>
        </w:rPr>
        <w:t>）</w:t>
      </w:r>
      <w:r>
        <w:rPr>
          <w:rFonts w:eastAsia="仿宋_GB2312"/>
          <w:sz w:val="32"/>
          <w:szCs w:val="32"/>
        </w:rPr>
        <w:t>[Z].</w:t>
      </w:r>
    </w:p>
    <w:p w14:paraId="494DED5C">
      <w:pPr>
        <w:widowControl/>
        <w:spacing w:line="520" w:lineRule="exact"/>
        <w:ind w:left="416" w:hanging="416" w:hangingChars="130"/>
        <w:rPr>
          <w:rFonts w:eastAsia="仿宋_GB2312"/>
          <w:sz w:val="32"/>
          <w:szCs w:val="32"/>
        </w:rPr>
      </w:pPr>
      <w:r>
        <w:rPr>
          <w:rFonts w:eastAsia="仿宋_GB2312"/>
          <w:sz w:val="32"/>
          <w:szCs w:val="32"/>
        </w:rPr>
        <w:t>[</w:t>
      </w:r>
      <w:r>
        <w:rPr>
          <w:rFonts w:hint="eastAsia" w:eastAsia="仿宋_GB2312"/>
          <w:sz w:val="32"/>
          <w:szCs w:val="32"/>
        </w:rPr>
        <w:t>10</w:t>
      </w:r>
      <w:r>
        <w:rPr>
          <w:rFonts w:eastAsia="仿宋_GB2312"/>
          <w:sz w:val="32"/>
          <w:szCs w:val="32"/>
        </w:rPr>
        <w:t>]国家药品监督管理局医疗器械审评中心</w:t>
      </w:r>
      <w:r>
        <w:rPr>
          <w:rFonts w:hint="eastAsia" w:eastAsia="仿宋_GB2312"/>
          <w:sz w:val="32"/>
          <w:szCs w:val="32"/>
        </w:rPr>
        <w:t>《</w:t>
      </w:r>
      <w:r>
        <w:rPr>
          <w:rFonts w:eastAsia="仿宋_GB2312"/>
          <w:sz w:val="32"/>
          <w:szCs w:val="32"/>
        </w:rPr>
        <w:t>医疗器械软件注册审查指导原则（2022年修订版）</w:t>
      </w:r>
      <w:r>
        <w:rPr>
          <w:rFonts w:hint="eastAsia" w:eastAsia="仿宋_GB2312"/>
          <w:sz w:val="32"/>
          <w:szCs w:val="32"/>
        </w:rPr>
        <w:t>》（</w:t>
      </w:r>
      <w:r>
        <w:rPr>
          <w:rFonts w:eastAsia="仿宋_GB2312"/>
          <w:sz w:val="32"/>
          <w:szCs w:val="32"/>
        </w:rPr>
        <w:t>国家药监局器审中心通告2022年第9号</w:t>
      </w:r>
      <w:r>
        <w:rPr>
          <w:rFonts w:hint="eastAsia" w:eastAsia="仿宋_GB2312"/>
          <w:sz w:val="32"/>
          <w:szCs w:val="32"/>
        </w:rPr>
        <w:t>）</w:t>
      </w:r>
      <w:r>
        <w:rPr>
          <w:rFonts w:eastAsia="仿宋_GB2312"/>
          <w:sz w:val="32"/>
          <w:szCs w:val="32"/>
        </w:rPr>
        <w:t>[Z].</w:t>
      </w:r>
    </w:p>
    <w:p w14:paraId="47D31E49">
      <w:pPr>
        <w:widowControl/>
        <w:spacing w:line="520" w:lineRule="exact"/>
        <w:ind w:left="512" w:hanging="512" w:hangingChars="160"/>
        <w:rPr>
          <w:rFonts w:hint="eastAsia" w:eastAsia="仿宋_GB2312"/>
          <w:sz w:val="32"/>
          <w:szCs w:val="32"/>
        </w:rPr>
      </w:pPr>
      <w:r>
        <w:rPr>
          <w:rFonts w:eastAsia="仿宋_GB2312"/>
          <w:sz w:val="32"/>
          <w:szCs w:val="32"/>
        </w:rPr>
        <w:t>[</w:t>
      </w:r>
      <w:r>
        <w:rPr>
          <w:rFonts w:hint="eastAsia" w:eastAsia="仿宋_GB2312"/>
          <w:sz w:val="32"/>
          <w:szCs w:val="32"/>
        </w:rPr>
        <w:t>11</w:t>
      </w:r>
      <w:r>
        <w:rPr>
          <w:rFonts w:eastAsia="仿宋_GB2312"/>
          <w:sz w:val="32"/>
          <w:szCs w:val="32"/>
        </w:rPr>
        <w:t>]GB</w:t>
      </w:r>
      <w:r>
        <w:rPr>
          <w:rFonts w:hint="eastAsia" w:eastAsia="仿宋_GB2312"/>
          <w:sz w:val="32"/>
          <w:szCs w:val="32"/>
        </w:rPr>
        <w:t xml:space="preserve"> </w:t>
      </w:r>
      <w:r>
        <w:rPr>
          <w:rFonts w:eastAsia="仿宋_GB2312"/>
          <w:sz w:val="32"/>
          <w:szCs w:val="32"/>
        </w:rPr>
        <w:t>4793-2024</w:t>
      </w:r>
      <w:r>
        <w:rPr>
          <w:rFonts w:hint="eastAsia" w:eastAsia="仿宋_GB2312"/>
          <w:sz w:val="32"/>
          <w:szCs w:val="32"/>
        </w:rPr>
        <w:t>《</w:t>
      </w:r>
      <w:r>
        <w:rPr>
          <w:rFonts w:eastAsia="仿宋_GB2312"/>
          <w:sz w:val="32"/>
          <w:szCs w:val="32"/>
        </w:rPr>
        <w:t>测量、控制和实验室用电气设备安全技术规范</w:t>
      </w:r>
      <w:r>
        <w:rPr>
          <w:rFonts w:hint="eastAsia" w:eastAsia="仿宋_GB2312"/>
          <w:sz w:val="32"/>
          <w:szCs w:val="32"/>
        </w:rPr>
        <w:t>》</w:t>
      </w:r>
      <w:r>
        <w:rPr>
          <w:rFonts w:eastAsia="仿宋_GB2312"/>
          <w:sz w:val="32"/>
          <w:szCs w:val="32"/>
        </w:rPr>
        <w:t>[S].</w:t>
      </w:r>
      <w:r>
        <w:rPr>
          <w:rFonts w:hint="eastAsia" w:eastAsia="仿宋_GB2312"/>
          <w:sz w:val="32"/>
          <w:szCs w:val="32"/>
        </w:rPr>
        <w:t>（即将实施）</w:t>
      </w:r>
    </w:p>
    <w:p w14:paraId="2B5278EC">
      <w:pPr>
        <w:widowControl/>
        <w:spacing w:line="520" w:lineRule="exact"/>
        <w:ind w:left="512" w:hanging="512" w:hangingChars="160"/>
        <w:rPr>
          <w:rFonts w:eastAsia="仿宋_GB2312"/>
          <w:sz w:val="32"/>
          <w:szCs w:val="32"/>
        </w:rPr>
      </w:pPr>
      <w:r>
        <w:rPr>
          <w:rFonts w:eastAsia="仿宋_GB2312"/>
          <w:sz w:val="32"/>
          <w:szCs w:val="32"/>
        </w:rPr>
        <w:t>[</w:t>
      </w:r>
      <w:r>
        <w:rPr>
          <w:rFonts w:hint="eastAsia" w:eastAsia="仿宋_GB2312"/>
          <w:sz w:val="32"/>
          <w:szCs w:val="32"/>
        </w:rPr>
        <w:t>12</w:t>
      </w:r>
      <w:r>
        <w:rPr>
          <w:rFonts w:eastAsia="仿宋_GB2312"/>
          <w:sz w:val="32"/>
          <w:szCs w:val="32"/>
        </w:rPr>
        <w:t>]GB</w:t>
      </w:r>
      <w:r>
        <w:rPr>
          <w:rFonts w:hint="eastAsia" w:eastAsia="仿宋_GB2312"/>
          <w:sz w:val="32"/>
          <w:szCs w:val="32"/>
        </w:rPr>
        <w:t>/</w:t>
      </w:r>
      <w:r>
        <w:rPr>
          <w:rFonts w:eastAsia="仿宋_GB2312"/>
          <w:sz w:val="32"/>
          <w:szCs w:val="32"/>
        </w:rPr>
        <w:t>T 42125.1-2024</w:t>
      </w:r>
      <w:r>
        <w:rPr>
          <w:rFonts w:hint="eastAsia" w:eastAsia="仿宋_GB2312"/>
          <w:sz w:val="32"/>
          <w:szCs w:val="32"/>
        </w:rPr>
        <w:t>《</w:t>
      </w:r>
      <w:r>
        <w:rPr>
          <w:rFonts w:eastAsia="仿宋_GB2312"/>
          <w:sz w:val="32"/>
          <w:szCs w:val="32"/>
        </w:rPr>
        <w:t>测量、控制和实验室用电气设备的安全要求 第1部分：通用要求</w:t>
      </w:r>
      <w:r>
        <w:rPr>
          <w:rFonts w:hint="eastAsia" w:eastAsia="仿宋_GB2312"/>
          <w:sz w:val="32"/>
          <w:szCs w:val="32"/>
        </w:rPr>
        <w:t>》</w:t>
      </w:r>
      <w:r>
        <w:rPr>
          <w:rFonts w:eastAsia="仿宋_GB2312"/>
          <w:sz w:val="32"/>
          <w:szCs w:val="32"/>
        </w:rPr>
        <w:t>[S].</w:t>
      </w:r>
      <w:r>
        <w:rPr>
          <w:rFonts w:hint="eastAsia" w:eastAsia="仿宋_GB2312"/>
          <w:sz w:val="32"/>
          <w:szCs w:val="32"/>
        </w:rPr>
        <w:t>（即将实施）</w:t>
      </w:r>
    </w:p>
    <w:p w14:paraId="5DD3BCAE">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rPr>
        <w:t>3</w:t>
      </w:r>
      <w:r>
        <w:rPr>
          <w:rFonts w:eastAsia="仿宋_GB2312"/>
          <w:sz w:val="32"/>
          <w:szCs w:val="32"/>
        </w:rPr>
        <w:t>]GB/T</w:t>
      </w:r>
      <w:r>
        <w:rPr>
          <w:rFonts w:hint="eastAsia" w:eastAsia="仿宋_GB2312"/>
          <w:sz w:val="32"/>
          <w:szCs w:val="32"/>
        </w:rPr>
        <w:t xml:space="preserve"> </w:t>
      </w:r>
      <w:r>
        <w:rPr>
          <w:rFonts w:eastAsia="仿宋_GB2312"/>
          <w:sz w:val="32"/>
          <w:szCs w:val="32"/>
        </w:rPr>
        <w:t>42125.2-2024</w:t>
      </w:r>
      <w:r>
        <w:rPr>
          <w:rFonts w:hint="eastAsia" w:eastAsia="仿宋_GB2312"/>
          <w:sz w:val="32"/>
          <w:szCs w:val="32"/>
        </w:rPr>
        <w:t>《</w:t>
      </w:r>
      <w:r>
        <w:rPr>
          <w:rFonts w:eastAsia="仿宋_GB2312"/>
          <w:sz w:val="32"/>
          <w:szCs w:val="32"/>
        </w:rPr>
        <w:t>测量、控制和实验室用电气设备的安全要求 第2部分：材料加热用实验室设备的特殊要求</w:t>
      </w:r>
      <w:r>
        <w:rPr>
          <w:rFonts w:hint="eastAsia" w:eastAsia="仿宋_GB2312"/>
          <w:sz w:val="32"/>
          <w:szCs w:val="32"/>
        </w:rPr>
        <w:t>》</w:t>
      </w:r>
      <w:r>
        <w:rPr>
          <w:rFonts w:eastAsia="仿宋_GB2312"/>
          <w:sz w:val="32"/>
          <w:szCs w:val="32"/>
        </w:rPr>
        <w:t>[S].</w:t>
      </w:r>
      <w:r>
        <w:rPr>
          <w:rFonts w:hint="eastAsia" w:eastAsia="仿宋_GB2312"/>
          <w:sz w:val="32"/>
          <w:szCs w:val="32"/>
        </w:rPr>
        <w:t>（即将实施）</w:t>
      </w:r>
    </w:p>
    <w:p w14:paraId="35BC44FE">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lang w:val="en-US" w:eastAsia="zh-CN"/>
        </w:rPr>
        <w:t>4</w:t>
      </w:r>
      <w:r>
        <w:rPr>
          <w:rFonts w:eastAsia="仿宋_GB2312"/>
          <w:sz w:val="32"/>
          <w:szCs w:val="32"/>
        </w:rPr>
        <w:t>]GB/T 18268.1-20</w:t>
      </w:r>
      <w:r>
        <w:rPr>
          <w:rFonts w:hint="eastAsia" w:eastAsia="仿宋_GB2312"/>
          <w:sz w:val="32"/>
          <w:szCs w:val="32"/>
        </w:rPr>
        <w:t>25《</w:t>
      </w:r>
      <w:r>
        <w:rPr>
          <w:rFonts w:eastAsia="仿宋_GB2312"/>
          <w:sz w:val="32"/>
          <w:szCs w:val="32"/>
        </w:rPr>
        <w:t>测量、控制和实验室用的电设备 电磁兼容性要求 第1部分：通用要求</w:t>
      </w:r>
      <w:r>
        <w:rPr>
          <w:rFonts w:hint="eastAsia" w:eastAsia="仿宋_GB2312"/>
          <w:sz w:val="32"/>
          <w:szCs w:val="32"/>
        </w:rPr>
        <w:t>》</w:t>
      </w:r>
      <w:r>
        <w:rPr>
          <w:rFonts w:eastAsia="仿宋_GB2312"/>
          <w:sz w:val="32"/>
          <w:szCs w:val="32"/>
        </w:rPr>
        <w:t>[S].</w:t>
      </w:r>
    </w:p>
    <w:p w14:paraId="20B14849">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lang w:val="en-US" w:eastAsia="zh-CN"/>
        </w:rPr>
        <w:t>5</w:t>
      </w:r>
      <w:r>
        <w:rPr>
          <w:rFonts w:eastAsia="仿宋_GB2312"/>
          <w:sz w:val="32"/>
          <w:szCs w:val="32"/>
        </w:rPr>
        <w:t>]GB/T 18268.26-2010</w:t>
      </w:r>
      <w:r>
        <w:rPr>
          <w:rFonts w:hint="eastAsia" w:eastAsia="仿宋_GB2312"/>
          <w:sz w:val="32"/>
          <w:szCs w:val="32"/>
        </w:rPr>
        <w:t>《</w:t>
      </w:r>
      <w:r>
        <w:rPr>
          <w:rFonts w:eastAsia="仿宋_GB2312"/>
          <w:sz w:val="32"/>
          <w:szCs w:val="32"/>
        </w:rPr>
        <w:t>测量、控制和实验室用的电设备 电磁兼容性要求 第26部分：特殊要求 体外诊断（IVD）医疗设备</w:t>
      </w:r>
      <w:r>
        <w:rPr>
          <w:rFonts w:hint="eastAsia" w:eastAsia="仿宋_GB2312"/>
          <w:sz w:val="32"/>
          <w:szCs w:val="32"/>
        </w:rPr>
        <w:t>》</w:t>
      </w:r>
      <w:r>
        <w:rPr>
          <w:rFonts w:eastAsia="仿宋_GB2312"/>
          <w:sz w:val="32"/>
          <w:szCs w:val="32"/>
        </w:rPr>
        <w:t>[S].</w:t>
      </w:r>
    </w:p>
    <w:p w14:paraId="3A30AC72">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lang w:val="en-US" w:eastAsia="zh-CN"/>
        </w:rPr>
        <w:t>6</w:t>
      </w:r>
      <w:r>
        <w:rPr>
          <w:rFonts w:eastAsia="仿宋_GB2312"/>
          <w:sz w:val="32"/>
          <w:szCs w:val="32"/>
        </w:rPr>
        <w:t>]GB/T 29791.3-2013</w:t>
      </w:r>
      <w:r>
        <w:rPr>
          <w:rFonts w:hint="eastAsia" w:eastAsia="仿宋_GB2312"/>
          <w:sz w:val="32"/>
          <w:szCs w:val="32"/>
        </w:rPr>
        <w:t>《</w:t>
      </w:r>
      <w:r>
        <w:rPr>
          <w:rFonts w:eastAsia="仿宋_GB2312"/>
          <w:sz w:val="32"/>
          <w:szCs w:val="32"/>
        </w:rPr>
        <w:t>体外诊断医疗器械 制造商提供的信息（标示）第3部分：专业用体外诊断仪器</w:t>
      </w:r>
      <w:r>
        <w:rPr>
          <w:rFonts w:hint="eastAsia" w:eastAsia="仿宋_GB2312"/>
          <w:sz w:val="32"/>
          <w:szCs w:val="32"/>
        </w:rPr>
        <w:t>》</w:t>
      </w:r>
      <w:r>
        <w:rPr>
          <w:rFonts w:eastAsia="仿宋_GB2312"/>
          <w:sz w:val="32"/>
          <w:szCs w:val="32"/>
        </w:rPr>
        <w:t>[S].</w:t>
      </w:r>
    </w:p>
    <w:p w14:paraId="73482057">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lang w:val="en-US" w:eastAsia="zh-CN"/>
        </w:rPr>
        <w:t>7</w:t>
      </w:r>
      <w:r>
        <w:rPr>
          <w:rFonts w:eastAsia="仿宋_GB2312"/>
          <w:sz w:val="32"/>
          <w:szCs w:val="32"/>
        </w:rPr>
        <w:t>]GB/T 42062-2022</w:t>
      </w:r>
      <w:r>
        <w:rPr>
          <w:rFonts w:hint="eastAsia" w:eastAsia="仿宋_GB2312"/>
          <w:sz w:val="32"/>
          <w:szCs w:val="32"/>
        </w:rPr>
        <w:t>《</w:t>
      </w:r>
      <w:r>
        <w:rPr>
          <w:rFonts w:eastAsia="仿宋_GB2312"/>
          <w:sz w:val="32"/>
          <w:szCs w:val="32"/>
        </w:rPr>
        <w:t>医疗器械 风险管理对医疗器械的应用</w:t>
      </w:r>
      <w:r>
        <w:rPr>
          <w:rFonts w:hint="eastAsia" w:eastAsia="仿宋_GB2312"/>
          <w:sz w:val="32"/>
          <w:szCs w:val="32"/>
        </w:rPr>
        <w:t>》</w:t>
      </w:r>
      <w:r>
        <w:rPr>
          <w:rFonts w:eastAsia="仿宋_GB2312"/>
          <w:sz w:val="32"/>
          <w:szCs w:val="32"/>
        </w:rPr>
        <w:t>[S].</w:t>
      </w:r>
    </w:p>
    <w:p w14:paraId="20556223">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lang w:val="en-US" w:eastAsia="zh-CN"/>
        </w:rPr>
        <w:t>8</w:t>
      </w:r>
      <w:r>
        <w:rPr>
          <w:rFonts w:eastAsia="仿宋_GB2312"/>
          <w:sz w:val="32"/>
          <w:szCs w:val="32"/>
        </w:rPr>
        <w:t>]GB/T 14710-2009</w:t>
      </w:r>
      <w:r>
        <w:rPr>
          <w:rFonts w:hint="eastAsia" w:eastAsia="仿宋_GB2312"/>
          <w:sz w:val="32"/>
          <w:szCs w:val="32"/>
        </w:rPr>
        <w:t>《</w:t>
      </w:r>
      <w:r>
        <w:rPr>
          <w:rFonts w:eastAsia="仿宋_GB2312"/>
          <w:sz w:val="32"/>
          <w:szCs w:val="32"/>
        </w:rPr>
        <w:t>医用电器环境要求及试验方法</w:t>
      </w:r>
      <w:r>
        <w:rPr>
          <w:rFonts w:hint="eastAsia" w:eastAsia="仿宋_GB2312"/>
          <w:sz w:val="32"/>
          <w:szCs w:val="32"/>
        </w:rPr>
        <w:t>》</w:t>
      </w:r>
      <w:r>
        <w:rPr>
          <w:rFonts w:eastAsia="仿宋_GB2312"/>
          <w:sz w:val="32"/>
          <w:szCs w:val="32"/>
        </w:rPr>
        <w:t>[S].</w:t>
      </w:r>
    </w:p>
    <w:p w14:paraId="0E84BCBB">
      <w:pPr>
        <w:widowControl/>
        <w:spacing w:line="520" w:lineRule="exact"/>
        <w:ind w:left="512" w:hanging="512" w:hangingChars="160"/>
        <w:rPr>
          <w:rFonts w:eastAsia="仿宋_GB2312"/>
          <w:sz w:val="32"/>
          <w:szCs w:val="32"/>
        </w:rPr>
      </w:pPr>
      <w:r>
        <w:rPr>
          <w:rFonts w:eastAsia="仿宋_GB2312"/>
          <w:sz w:val="32"/>
          <w:szCs w:val="32"/>
        </w:rPr>
        <w:t>[1</w:t>
      </w:r>
      <w:r>
        <w:rPr>
          <w:rFonts w:hint="eastAsia" w:eastAsia="仿宋_GB2312"/>
          <w:sz w:val="32"/>
          <w:szCs w:val="32"/>
          <w:lang w:val="en-US" w:eastAsia="zh-CN"/>
        </w:rPr>
        <w:t>9</w:t>
      </w:r>
      <w:r>
        <w:rPr>
          <w:rFonts w:eastAsia="仿宋_GB2312"/>
          <w:sz w:val="32"/>
          <w:szCs w:val="32"/>
        </w:rPr>
        <w:t>]GB/T 191-20</w:t>
      </w:r>
      <w:r>
        <w:rPr>
          <w:rFonts w:hint="eastAsia" w:eastAsia="仿宋_GB2312"/>
          <w:sz w:val="32"/>
          <w:szCs w:val="32"/>
        </w:rPr>
        <w:t>25《</w:t>
      </w:r>
      <w:r>
        <w:rPr>
          <w:rFonts w:eastAsia="仿宋_GB2312"/>
          <w:sz w:val="32"/>
          <w:szCs w:val="32"/>
        </w:rPr>
        <w:t>包装储运图示标志</w:t>
      </w:r>
      <w:r>
        <w:rPr>
          <w:rFonts w:hint="eastAsia" w:eastAsia="仿宋_GB2312"/>
          <w:sz w:val="32"/>
          <w:szCs w:val="32"/>
        </w:rPr>
        <w:t>》</w:t>
      </w:r>
      <w:r>
        <w:rPr>
          <w:rFonts w:eastAsia="仿宋_GB2312"/>
          <w:sz w:val="32"/>
          <w:szCs w:val="32"/>
        </w:rPr>
        <w:t>[S].</w:t>
      </w:r>
    </w:p>
    <w:p w14:paraId="01F54792">
      <w:pPr>
        <w:widowControl/>
        <w:spacing w:line="520" w:lineRule="exact"/>
        <w:ind w:left="512" w:hanging="512" w:hangingChars="160"/>
        <w:rPr>
          <w:rFonts w:eastAsia="仿宋_GB2312"/>
          <w:sz w:val="32"/>
          <w:szCs w:val="32"/>
        </w:rPr>
      </w:pPr>
      <w:r>
        <w:rPr>
          <w:rFonts w:eastAsia="仿宋_GB2312"/>
          <w:sz w:val="32"/>
          <w:szCs w:val="32"/>
        </w:rPr>
        <w:t>[</w:t>
      </w:r>
      <w:r>
        <w:rPr>
          <w:rFonts w:hint="eastAsia" w:eastAsia="仿宋_GB2312"/>
          <w:sz w:val="32"/>
          <w:szCs w:val="32"/>
        </w:rPr>
        <w:t>20</w:t>
      </w:r>
      <w:r>
        <w:rPr>
          <w:rFonts w:eastAsia="仿宋_GB2312"/>
          <w:sz w:val="32"/>
          <w:szCs w:val="32"/>
        </w:rPr>
        <w:t>]YY/T 0648-20</w:t>
      </w:r>
      <w:r>
        <w:rPr>
          <w:rFonts w:hint="eastAsia" w:eastAsia="仿宋_GB2312"/>
          <w:sz w:val="32"/>
          <w:szCs w:val="32"/>
        </w:rPr>
        <w:t>25《</w:t>
      </w:r>
      <w:r>
        <w:rPr>
          <w:rFonts w:eastAsia="仿宋_GB2312"/>
          <w:sz w:val="32"/>
          <w:szCs w:val="32"/>
        </w:rPr>
        <w:t>测量、控制和实验室用电气设备的安全要求 第2-101部分：体外诊断（IVD）医用设备的专用要求</w:t>
      </w:r>
      <w:r>
        <w:rPr>
          <w:rFonts w:hint="eastAsia" w:eastAsia="仿宋_GB2312"/>
          <w:sz w:val="32"/>
          <w:szCs w:val="32"/>
        </w:rPr>
        <w:t>》</w:t>
      </w:r>
      <w:r>
        <w:rPr>
          <w:rFonts w:eastAsia="仿宋_GB2312"/>
          <w:sz w:val="32"/>
          <w:szCs w:val="32"/>
        </w:rPr>
        <w:t>[S].</w:t>
      </w:r>
      <w:r>
        <w:rPr>
          <w:rFonts w:hint="eastAsia" w:eastAsia="仿宋_GB2312"/>
          <w:sz w:val="32"/>
          <w:szCs w:val="32"/>
        </w:rPr>
        <w:t>（即将实施）</w:t>
      </w:r>
    </w:p>
    <w:p w14:paraId="21133041">
      <w:pPr>
        <w:widowControl/>
        <w:spacing w:line="520" w:lineRule="exact"/>
        <w:ind w:left="512" w:hanging="512" w:hangingChars="160"/>
        <w:rPr>
          <w:rFonts w:eastAsia="仿宋_GB2312"/>
          <w:sz w:val="32"/>
          <w:szCs w:val="32"/>
        </w:rPr>
      </w:pPr>
      <w:r>
        <w:rPr>
          <w:rFonts w:eastAsia="仿宋_GB2312"/>
          <w:sz w:val="32"/>
          <w:szCs w:val="32"/>
        </w:rPr>
        <w:t>[</w:t>
      </w:r>
      <w:r>
        <w:rPr>
          <w:rFonts w:hint="eastAsia" w:eastAsia="仿宋_GB2312"/>
          <w:sz w:val="32"/>
          <w:szCs w:val="32"/>
        </w:rPr>
        <w:t>21</w:t>
      </w:r>
      <w:r>
        <w:rPr>
          <w:rFonts w:eastAsia="仿宋_GB2312"/>
          <w:sz w:val="32"/>
          <w:szCs w:val="32"/>
        </w:rPr>
        <w:t>]YY/T 0466.1-20</w:t>
      </w:r>
      <w:r>
        <w:rPr>
          <w:rFonts w:hint="eastAsia" w:eastAsia="仿宋_GB2312"/>
          <w:sz w:val="32"/>
          <w:szCs w:val="32"/>
        </w:rPr>
        <w:t>23《</w:t>
      </w:r>
      <w:r>
        <w:rPr>
          <w:rFonts w:eastAsia="仿宋_GB2312"/>
          <w:sz w:val="32"/>
          <w:szCs w:val="32"/>
        </w:rPr>
        <w:t>医疗器械 用于医疗器械标签、标记和提供信息的符号 第1部分：通用要求</w:t>
      </w:r>
      <w:r>
        <w:rPr>
          <w:rFonts w:hint="eastAsia" w:eastAsia="仿宋_GB2312"/>
          <w:sz w:val="32"/>
          <w:szCs w:val="32"/>
        </w:rPr>
        <w:t>》</w:t>
      </w:r>
      <w:r>
        <w:rPr>
          <w:rFonts w:eastAsia="仿宋_GB2312"/>
          <w:sz w:val="32"/>
          <w:szCs w:val="32"/>
        </w:rPr>
        <w:t>[S].</w:t>
      </w:r>
    </w:p>
    <w:p w14:paraId="04B313FB">
      <w:pPr>
        <w:widowControl/>
        <w:spacing w:line="520" w:lineRule="exact"/>
        <w:ind w:left="512" w:hanging="512" w:hangingChars="160"/>
        <w:rPr>
          <w:rFonts w:eastAsia="仿宋_GB2312"/>
          <w:sz w:val="32"/>
          <w:szCs w:val="32"/>
        </w:rPr>
      </w:pPr>
      <w:r>
        <w:rPr>
          <w:rFonts w:eastAsia="仿宋_GB2312"/>
          <w:sz w:val="32"/>
          <w:szCs w:val="32"/>
        </w:rPr>
        <w:t>[</w:t>
      </w:r>
      <w:r>
        <w:rPr>
          <w:rFonts w:hint="eastAsia" w:eastAsia="仿宋_GB2312"/>
          <w:sz w:val="32"/>
          <w:szCs w:val="32"/>
        </w:rPr>
        <w:t>22</w:t>
      </w:r>
      <w:r>
        <w:rPr>
          <w:rFonts w:eastAsia="仿宋_GB2312"/>
          <w:sz w:val="32"/>
          <w:szCs w:val="32"/>
        </w:rPr>
        <w:t>]YY/T 1437-2023</w:t>
      </w:r>
      <w:r>
        <w:rPr>
          <w:rFonts w:hint="eastAsia" w:eastAsia="仿宋_GB2312"/>
          <w:sz w:val="32"/>
          <w:szCs w:val="32"/>
        </w:rPr>
        <w:t>《</w:t>
      </w:r>
      <w:r>
        <w:rPr>
          <w:rFonts w:eastAsia="仿宋_GB2312"/>
          <w:sz w:val="32"/>
          <w:szCs w:val="32"/>
        </w:rPr>
        <w:t>医疗器械 GB/T 42062应用指南</w:t>
      </w:r>
      <w:r>
        <w:rPr>
          <w:rFonts w:hint="eastAsia" w:eastAsia="仿宋_GB2312"/>
          <w:sz w:val="32"/>
          <w:szCs w:val="32"/>
        </w:rPr>
        <w:t>》</w:t>
      </w:r>
      <w:r>
        <w:rPr>
          <w:rFonts w:eastAsia="仿宋_GB2312"/>
          <w:sz w:val="32"/>
          <w:szCs w:val="32"/>
        </w:rPr>
        <w:t>[S].</w:t>
      </w:r>
    </w:p>
    <w:p w14:paraId="5A073EC9">
      <w:pPr>
        <w:widowControl/>
        <w:spacing w:line="520" w:lineRule="exact"/>
        <w:ind w:left="512" w:hanging="512" w:hangingChars="160"/>
        <w:rPr>
          <w:rFonts w:eastAsia="仿宋_GB2312"/>
          <w:sz w:val="32"/>
          <w:szCs w:val="32"/>
        </w:rPr>
      </w:pPr>
      <w:r>
        <w:rPr>
          <w:rFonts w:eastAsia="仿宋_GB2312"/>
          <w:sz w:val="32"/>
          <w:szCs w:val="32"/>
        </w:rPr>
        <w:t>[2</w:t>
      </w:r>
      <w:r>
        <w:rPr>
          <w:rFonts w:hint="eastAsia" w:eastAsia="仿宋_GB2312"/>
          <w:sz w:val="32"/>
          <w:szCs w:val="32"/>
        </w:rPr>
        <w:t>3</w:t>
      </w:r>
      <w:r>
        <w:rPr>
          <w:rFonts w:eastAsia="仿宋_GB2312"/>
          <w:sz w:val="32"/>
          <w:szCs w:val="32"/>
        </w:rPr>
        <w:t xml:space="preserve">]YY/T </w:t>
      </w:r>
      <w:r>
        <w:rPr>
          <w:rFonts w:hint="eastAsia" w:eastAsia="仿宋_GB2312"/>
          <w:sz w:val="32"/>
          <w:szCs w:val="32"/>
        </w:rPr>
        <w:t>1155</w:t>
      </w:r>
      <w:r>
        <w:rPr>
          <w:rFonts w:eastAsia="仿宋_GB2312"/>
          <w:sz w:val="32"/>
          <w:szCs w:val="32"/>
        </w:rPr>
        <w:t>-20</w:t>
      </w:r>
      <w:r>
        <w:rPr>
          <w:rFonts w:hint="eastAsia" w:eastAsia="仿宋_GB2312"/>
          <w:sz w:val="32"/>
          <w:szCs w:val="32"/>
        </w:rPr>
        <w:t>19《全自动发光免疫分析仪》</w:t>
      </w:r>
      <w:r>
        <w:rPr>
          <w:rFonts w:eastAsia="仿宋_GB2312"/>
          <w:sz w:val="32"/>
          <w:szCs w:val="32"/>
        </w:rPr>
        <w:t>[S].</w:t>
      </w:r>
    </w:p>
    <w:p w14:paraId="781F964C">
      <w:pPr>
        <w:widowControl/>
        <w:spacing w:line="520" w:lineRule="exact"/>
        <w:ind w:left="512" w:hanging="512" w:hangingChars="160"/>
        <w:rPr>
          <w:rFonts w:eastAsia="仿宋_GB2312"/>
          <w:sz w:val="32"/>
          <w:szCs w:val="32"/>
        </w:rPr>
      </w:pPr>
      <w:r>
        <w:rPr>
          <w:rFonts w:eastAsia="仿宋_GB2312"/>
          <w:sz w:val="32"/>
          <w:szCs w:val="32"/>
        </w:rPr>
        <w:t>[2</w:t>
      </w:r>
      <w:r>
        <w:rPr>
          <w:rFonts w:hint="eastAsia" w:eastAsia="仿宋_GB2312"/>
          <w:sz w:val="32"/>
          <w:szCs w:val="32"/>
        </w:rPr>
        <w:t>4</w:t>
      </w:r>
      <w:r>
        <w:rPr>
          <w:rFonts w:eastAsia="仿宋_GB2312"/>
          <w:sz w:val="32"/>
          <w:szCs w:val="32"/>
        </w:rPr>
        <w:t>]YY/T 0654-2017</w:t>
      </w:r>
      <w:r>
        <w:rPr>
          <w:rFonts w:hint="eastAsia" w:eastAsia="仿宋_GB2312"/>
          <w:sz w:val="32"/>
          <w:szCs w:val="32"/>
        </w:rPr>
        <w:t>《</w:t>
      </w:r>
      <w:r>
        <w:rPr>
          <w:rFonts w:eastAsia="仿宋_GB2312"/>
          <w:sz w:val="32"/>
          <w:szCs w:val="32"/>
        </w:rPr>
        <w:t>全自动生化分析仪</w:t>
      </w:r>
      <w:r>
        <w:rPr>
          <w:rFonts w:hint="eastAsia" w:eastAsia="仿宋_GB2312"/>
          <w:sz w:val="32"/>
          <w:szCs w:val="32"/>
        </w:rPr>
        <w:t>》</w:t>
      </w:r>
      <w:r>
        <w:rPr>
          <w:rFonts w:eastAsia="仿宋_GB2312"/>
          <w:sz w:val="32"/>
          <w:szCs w:val="32"/>
        </w:rPr>
        <w:t>[S]</w:t>
      </w:r>
    </w:p>
    <w:p w14:paraId="009BF5F4">
      <w:pPr>
        <w:widowControl/>
        <w:spacing w:line="520" w:lineRule="exact"/>
        <w:ind w:left="512" w:hanging="512" w:hangingChars="160"/>
        <w:rPr>
          <w:rFonts w:eastAsia="仿宋_GB2312"/>
          <w:sz w:val="32"/>
          <w:szCs w:val="32"/>
        </w:rPr>
      </w:pPr>
    </w:p>
    <w:sectPr>
      <w:footerReference r:id="rId3" w:type="default"/>
      <w:footerReference r:id="rId4" w:type="even"/>
      <w:pgSz w:w="11906" w:h="16838"/>
      <w:pgMar w:top="1701" w:right="1588" w:bottom="1701" w:left="1588"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09616A-B03E-4BFA-8F20-4BBB4DB07C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5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2" w:fontKey="{3D1872B1-A7F3-4E7E-8451-01C6D05C7F8C}"/>
  </w:font>
  <w:font w:name="仿宋_GB2312">
    <w:altName w:val="仿宋"/>
    <w:panose1 w:val="00000000000000000000"/>
    <w:charset w:val="86"/>
    <w:family w:val="modern"/>
    <w:pitch w:val="default"/>
    <w:sig w:usb0="00000000" w:usb1="00000000" w:usb2="00000000" w:usb3="00000000" w:csb0="00040000" w:csb1="00000000"/>
    <w:embedRegular r:id="rId3" w:fontKey="{32F8D304-6A63-41FC-AAC5-FDC72D7EA2FC}"/>
  </w:font>
  <w:font w:name="仿宋">
    <w:panose1 w:val="02010609060101010101"/>
    <w:charset w:val="86"/>
    <w:family w:val="modern"/>
    <w:pitch w:val="default"/>
    <w:sig w:usb0="800002BF" w:usb1="38CF7CFA" w:usb2="00000016" w:usb3="00000000" w:csb0="00040001" w:csb1="00000000"/>
    <w:embedRegular r:id="rId4" w:fontKey="{A7A5A3F6-7475-4D7D-BED0-2792469143DF}"/>
  </w:font>
  <w:font w:name="楷体_GB2312">
    <w:altName w:val="楷体"/>
    <w:panose1 w:val="00000000000000000000"/>
    <w:charset w:val="86"/>
    <w:family w:val="modern"/>
    <w:pitch w:val="default"/>
    <w:sig w:usb0="00000000" w:usb1="00000000" w:usb2="00000000" w:usb3="00000000" w:csb0="00040000" w:csb1="00000000"/>
    <w:embedRegular r:id="rId5" w:fontKey="{BB24AE6D-F463-4745-92F2-03C125A52F5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BA38">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72520">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5F72520">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D2BFC">
    <w:pPr>
      <w:pStyle w:val="8"/>
      <w:ind w:right="1203"/>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FAA14">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EEFAA14">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34977"/>
    <w:multiLevelType w:val="multilevel"/>
    <w:tmpl w:val="2F034977"/>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38BE19F5"/>
    <w:multiLevelType w:val="multilevel"/>
    <w:tmpl w:val="38BE19F5"/>
    <w:lvl w:ilvl="0" w:tentative="0">
      <w:start w:val="1"/>
      <w:numFmt w:val="decimal"/>
      <w:lvlText w:val="%1)"/>
      <w:lvlJc w:val="left"/>
      <w:pPr>
        <w:ind w:left="1050" w:hanging="420"/>
      </w:p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0C4737"/>
    <w:rsid w:val="00007321"/>
    <w:rsid w:val="000074C8"/>
    <w:rsid w:val="00023A76"/>
    <w:rsid w:val="00027F6A"/>
    <w:rsid w:val="000317DE"/>
    <w:rsid w:val="00032D65"/>
    <w:rsid w:val="00036072"/>
    <w:rsid w:val="00040312"/>
    <w:rsid w:val="000454A3"/>
    <w:rsid w:val="00050D40"/>
    <w:rsid w:val="00055E2C"/>
    <w:rsid w:val="00066AF2"/>
    <w:rsid w:val="00067A9F"/>
    <w:rsid w:val="0007204B"/>
    <w:rsid w:val="00074D1A"/>
    <w:rsid w:val="0008486C"/>
    <w:rsid w:val="0009091C"/>
    <w:rsid w:val="0009219A"/>
    <w:rsid w:val="000954A7"/>
    <w:rsid w:val="000A0A4D"/>
    <w:rsid w:val="000A2B31"/>
    <w:rsid w:val="000A2F9F"/>
    <w:rsid w:val="000B28FD"/>
    <w:rsid w:val="000B2DCC"/>
    <w:rsid w:val="000B428A"/>
    <w:rsid w:val="000C0EB4"/>
    <w:rsid w:val="000C4737"/>
    <w:rsid w:val="000D21B5"/>
    <w:rsid w:val="000D5D95"/>
    <w:rsid w:val="000D6B11"/>
    <w:rsid w:val="000E08E5"/>
    <w:rsid w:val="000E5206"/>
    <w:rsid w:val="000E699D"/>
    <w:rsid w:val="000F1BA0"/>
    <w:rsid w:val="0010348A"/>
    <w:rsid w:val="001139D3"/>
    <w:rsid w:val="00116E44"/>
    <w:rsid w:val="0011745F"/>
    <w:rsid w:val="001324B7"/>
    <w:rsid w:val="00140435"/>
    <w:rsid w:val="00150E9B"/>
    <w:rsid w:val="0016359D"/>
    <w:rsid w:val="00170700"/>
    <w:rsid w:val="00173684"/>
    <w:rsid w:val="00174ED6"/>
    <w:rsid w:val="001817A2"/>
    <w:rsid w:val="00184656"/>
    <w:rsid w:val="0018495C"/>
    <w:rsid w:val="001872DC"/>
    <w:rsid w:val="0018773C"/>
    <w:rsid w:val="001923B4"/>
    <w:rsid w:val="00195F46"/>
    <w:rsid w:val="001A609B"/>
    <w:rsid w:val="001A7A6F"/>
    <w:rsid w:val="001B396F"/>
    <w:rsid w:val="001B4566"/>
    <w:rsid w:val="001B4B98"/>
    <w:rsid w:val="001B57FA"/>
    <w:rsid w:val="001B7F46"/>
    <w:rsid w:val="001C332B"/>
    <w:rsid w:val="001C52D6"/>
    <w:rsid w:val="001C5DF7"/>
    <w:rsid w:val="001D2460"/>
    <w:rsid w:val="001D2B0F"/>
    <w:rsid w:val="001D5FB2"/>
    <w:rsid w:val="001D6CAD"/>
    <w:rsid w:val="001E260C"/>
    <w:rsid w:val="001E4F22"/>
    <w:rsid w:val="001E503C"/>
    <w:rsid w:val="001E6A21"/>
    <w:rsid w:val="001E72B8"/>
    <w:rsid w:val="001F61B6"/>
    <w:rsid w:val="0020562F"/>
    <w:rsid w:val="002070A3"/>
    <w:rsid w:val="0022073B"/>
    <w:rsid w:val="0022100E"/>
    <w:rsid w:val="00223C51"/>
    <w:rsid w:val="00225CF1"/>
    <w:rsid w:val="0023489C"/>
    <w:rsid w:val="00240B52"/>
    <w:rsid w:val="0024119E"/>
    <w:rsid w:val="002427D6"/>
    <w:rsid w:val="00242F63"/>
    <w:rsid w:val="00244648"/>
    <w:rsid w:val="002461C5"/>
    <w:rsid w:val="00247FC7"/>
    <w:rsid w:val="0025271A"/>
    <w:rsid w:val="0025554D"/>
    <w:rsid w:val="00260E9A"/>
    <w:rsid w:val="00264496"/>
    <w:rsid w:val="00267789"/>
    <w:rsid w:val="0027005D"/>
    <w:rsid w:val="002708D0"/>
    <w:rsid w:val="002712C5"/>
    <w:rsid w:val="00282F62"/>
    <w:rsid w:val="0028303D"/>
    <w:rsid w:val="002A1908"/>
    <w:rsid w:val="002A1BD1"/>
    <w:rsid w:val="002A4DAA"/>
    <w:rsid w:val="002A5EFE"/>
    <w:rsid w:val="002B142A"/>
    <w:rsid w:val="002B25FA"/>
    <w:rsid w:val="002B6BE7"/>
    <w:rsid w:val="002C30A3"/>
    <w:rsid w:val="002C4A4D"/>
    <w:rsid w:val="002C5665"/>
    <w:rsid w:val="002D27D4"/>
    <w:rsid w:val="002D5D8F"/>
    <w:rsid w:val="002E3779"/>
    <w:rsid w:val="002E5138"/>
    <w:rsid w:val="002E5295"/>
    <w:rsid w:val="002E65F1"/>
    <w:rsid w:val="002F02AD"/>
    <w:rsid w:val="002F0EB5"/>
    <w:rsid w:val="002F196D"/>
    <w:rsid w:val="002F5D04"/>
    <w:rsid w:val="00313F17"/>
    <w:rsid w:val="0031634D"/>
    <w:rsid w:val="00320836"/>
    <w:rsid w:val="00324DB1"/>
    <w:rsid w:val="00327F3F"/>
    <w:rsid w:val="00335ADB"/>
    <w:rsid w:val="00341F55"/>
    <w:rsid w:val="003433C3"/>
    <w:rsid w:val="00350D23"/>
    <w:rsid w:val="00350FC7"/>
    <w:rsid w:val="00353F19"/>
    <w:rsid w:val="00360D19"/>
    <w:rsid w:val="00364B51"/>
    <w:rsid w:val="0037188D"/>
    <w:rsid w:val="00372E7E"/>
    <w:rsid w:val="003744A1"/>
    <w:rsid w:val="003750FC"/>
    <w:rsid w:val="003803A9"/>
    <w:rsid w:val="00382D0A"/>
    <w:rsid w:val="0038796F"/>
    <w:rsid w:val="003917CB"/>
    <w:rsid w:val="00391D5F"/>
    <w:rsid w:val="00394A6E"/>
    <w:rsid w:val="003A2D3A"/>
    <w:rsid w:val="003A379E"/>
    <w:rsid w:val="003A6D3C"/>
    <w:rsid w:val="003B0BE9"/>
    <w:rsid w:val="003B4656"/>
    <w:rsid w:val="003C44F9"/>
    <w:rsid w:val="003C5CF2"/>
    <w:rsid w:val="003D69C0"/>
    <w:rsid w:val="003D7887"/>
    <w:rsid w:val="003F31D7"/>
    <w:rsid w:val="003F613F"/>
    <w:rsid w:val="00400261"/>
    <w:rsid w:val="0040240B"/>
    <w:rsid w:val="004059F3"/>
    <w:rsid w:val="00406537"/>
    <w:rsid w:val="00410E06"/>
    <w:rsid w:val="00412385"/>
    <w:rsid w:val="00413749"/>
    <w:rsid w:val="004143CE"/>
    <w:rsid w:val="00417ACA"/>
    <w:rsid w:val="00421F49"/>
    <w:rsid w:val="00423221"/>
    <w:rsid w:val="00423A78"/>
    <w:rsid w:val="0042435E"/>
    <w:rsid w:val="00426782"/>
    <w:rsid w:val="004300DC"/>
    <w:rsid w:val="004332A8"/>
    <w:rsid w:val="004355ED"/>
    <w:rsid w:val="00436BCD"/>
    <w:rsid w:val="00450909"/>
    <w:rsid w:val="00452000"/>
    <w:rsid w:val="004546CE"/>
    <w:rsid w:val="00457134"/>
    <w:rsid w:val="004621AF"/>
    <w:rsid w:val="00464535"/>
    <w:rsid w:val="00474BE3"/>
    <w:rsid w:val="004828C0"/>
    <w:rsid w:val="00493E7B"/>
    <w:rsid w:val="00494814"/>
    <w:rsid w:val="004A2166"/>
    <w:rsid w:val="004A6D2F"/>
    <w:rsid w:val="004B3A39"/>
    <w:rsid w:val="004C0B7B"/>
    <w:rsid w:val="004C441B"/>
    <w:rsid w:val="004D549E"/>
    <w:rsid w:val="004E10AC"/>
    <w:rsid w:val="004E169B"/>
    <w:rsid w:val="004E3D7B"/>
    <w:rsid w:val="004E41D6"/>
    <w:rsid w:val="004E441A"/>
    <w:rsid w:val="004F3D9A"/>
    <w:rsid w:val="004F6A78"/>
    <w:rsid w:val="00502A8F"/>
    <w:rsid w:val="00510F01"/>
    <w:rsid w:val="00514F68"/>
    <w:rsid w:val="005202E0"/>
    <w:rsid w:val="00521998"/>
    <w:rsid w:val="00530F48"/>
    <w:rsid w:val="0053290D"/>
    <w:rsid w:val="00541F29"/>
    <w:rsid w:val="005429C4"/>
    <w:rsid w:val="0054509D"/>
    <w:rsid w:val="0055237F"/>
    <w:rsid w:val="0055706B"/>
    <w:rsid w:val="00561DB8"/>
    <w:rsid w:val="00561FA9"/>
    <w:rsid w:val="00566FF9"/>
    <w:rsid w:val="00574BBA"/>
    <w:rsid w:val="00574DB2"/>
    <w:rsid w:val="0057565D"/>
    <w:rsid w:val="0057658C"/>
    <w:rsid w:val="005816AE"/>
    <w:rsid w:val="0058637A"/>
    <w:rsid w:val="00591836"/>
    <w:rsid w:val="00591BE6"/>
    <w:rsid w:val="00592B72"/>
    <w:rsid w:val="00592D7B"/>
    <w:rsid w:val="00594CB5"/>
    <w:rsid w:val="00595488"/>
    <w:rsid w:val="00596FFC"/>
    <w:rsid w:val="005971D7"/>
    <w:rsid w:val="005A162C"/>
    <w:rsid w:val="005B0928"/>
    <w:rsid w:val="005B13E7"/>
    <w:rsid w:val="005B1BFE"/>
    <w:rsid w:val="005B77BC"/>
    <w:rsid w:val="005C06D9"/>
    <w:rsid w:val="005C34A4"/>
    <w:rsid w:val="005C6F4C"/>
    <w:rsid w:val="005D2499"/>
    <w:rsid w:val="005D3DBE"/>
    <w:rsid w:val="005D7043"/>
    <w:rsid w:val="005E2746"/>
    <w:rsid w:val="005E4919"/>
    <w:rsid w:val="005E6153"/>
    <w:rsid w:val="005F09F7"/>
    <w:rsid w:val="00602648"/>
    <w:rsid w:val="00614C42"/>
    <w:rsid w:val="00615B2B"/>
    <w:rsid w:val="00645A2C"/>
    <w:rsid w:val="0065174B"/>
    <w:rsid w:val="006521C0"/>
    <w:rsid w:val="00655AAB"/>
    <w:rsid w:val="00665745"/>
    <w:rsid w:val="00665810"/>
    <w:rsid w:val="00665C4B"/>
    <w:rsid w:val="00667635"/>
    <w:rsid w:val="00671EC2"/>
    <w:rsid w:val="00682AF9"/>
    <w:rsid w:val="00685179"/>
    <w:rsid w:val="00685E8B"/>
    <w:rsid w:val="006869D0"/>
    <w:rsid w:val="00686F7E"/>
    <w:rsid w:val="00690079"/>
    <w:rsid w:val="0069286B"/>
    <w:rsid w:val="00697781"/>
    <w:rsid w:val="006A4D84"/>
    <w:rsid w:val="006A6328"/>
    <w:rsid w:val="006A6706"/>
    <w:rsid w:val="006A67AB"/>
    <w:rsid w:val="006B227E"/>
    <w:rsid w:val="006C58A6"/>
    <w:rsid w:val="006D11A3"/>
    <w:rsid w:val="006D4C64"/>
    <w:rsid w:val="006D53EE"/>
    <w:rsid w:val="006D7E6A"/>
    <w:rsid w:val="006E0677"/>
    <w:rsid w:val="006E332A"/>
    <w:rsid w:val="006E3CED"/>
    <w:rsid w:val="006F0939"/>
    <w:rsid w:val="0071046A"/>
    <w:rsid w:val="00713F7D"/>
    <w:rsid w:val="00716698"/>
    <w:rsid w:val="00716985"/>
    <w:rsid w:val="00722C52"/>
    <w:rsid w:val="00722ED8"/>
    <w:rsid w:val="00725A2B"/>
    <w:rsid w:val="00731DFB"/>
    <w:rsid w:val="00742F34"/>
    <w:rsid w:val="007465CC"/>
    <w:rsid w:val="00747DF0"/>
    <w:rsid w:val="00750896"/>
    <w:rsid w:val="00750FA5"/>
    <w:rsid w:val="00751D8A"/>
    <w:rsid w:val="007522C3"/>
    <w:rsid w:val="007522E1"/>
    <w:rsid w:val="00755A7A"/>
    <w:rsid w:val="00756938"/>
    <w:rsid w:val="00764A52"/>
    <w:rsid w:val="00765AA9"/>
    <w:rsid w:val="00766EAF"/>
    <w:rsid w:val="0076795B"/>
    <w:rsid w:val="00772E9D"/>
    <w:rsid w:val="007739E4"/>
    <w:rsid w:val="00777B07"/>
    <w:rsid w:val="00777E9A"/>
    <w:rsid w:val="007834B5"/>
    <w:rsid w:val="00785041"/>
    <w:rsid w:val="007A2265"/>
    <w:rsid w:val="007A2941"/>
    <w:rsid w:val="007A4097"/>
    <w:rsid w:val="007A703A"/>
    <w:rsid w:val="007A75A0"/>
    <w:rsid w:val="007B5474"/>
    <w:rsid w:val="007B55A0"/>
    <w:rsid w:val="007B7774"/>
    <w:rsid w:val="007C7907"/>
    <w:rsid w:val="007D4273"/>
    <w:rsid w:val="007D4B93"/>
    <w:rsid w:val="007D4BCD"/>
    <w:rsid w:val="007E1492"/>
    <w:rsid w:val="007E6A2E"/>
    <w:rsid w:val="007F1A56"/>
    <w:rsid w:val="007F38A5"/>
    <w:rsid w:val="007F5D4E"/>
    <w:rsid w:val="007F6CAB"/>
    <w:rsid w:val="00801909"/>
    <w:rsid w:val="00803D5E"/>
    <w:rsid w:val="00806E64"/>
    <w:rsid w:val="0080738D"/>
    <w:rsid w:val="0083073C"/>
    <w:rsid w:val="008307E8"/>
    <w:rsid w:val="008357A1"/>
    <w:rsid w:val="00841E4D"/>
    <w:rsid w:val="00842CC5"/>
    <w:rsid w:val="0084361C"/>
    <w:rsid w:val="00844CFF"/>
    <w:rsid w:val="00846855"/>
    <w:rsid w:val="00847769"/>
    <w:rsid w:val="00855B8F"/>
    <w:rsid w:val="00865CC3"/>
    <w:rsid w:val="00866FDF"/>
    <w:rsid w:val="008758B8"/>
    <w:rsid w:val="008871E5"/>
    <w:rsid w:val="008933A5"/>
    <w:rsid w:val="00894EA1"/>
    <w:rsid w:val="008A09DC"/>
    <w:rsid w:val="008A3116"/>
    <w:rsid w:val="008B0404"/>
    <w:rsid w:val="008B2FBB"/>
    <w:rsid w:val="008B49B2"/>
    <w:rsid w:val="008C117D"/>
    <w:rsid w:val="008C4327"/>
    <w:rsid w:val="008D09FC"/>
    <w:rsid w:val="008D28AF"/>
    <w:rsid w:val="008D5E9A"/>
    <w:rsid w:val="008D69F3"/>
    <w:rsid w:val="008E1715"/>
    <w:rsid w:val="008E46CB"/>
    <w:rsid w:val="008F3845"/>
    <w:rsid w:val="00903C7B"/>
    <w:rsid w:val="00905877"/>
    <w:rsid w:val="00913CED"/>
    <w:rsid w:val="00917086"/>
    <w:rsid w:val="009246F8"/>
    <w:rsid w:val="00925DCF"/>
    <w:rsid w:val="00930101"/>
    <w:rsid w:val="009307A6"/>
    <w:rsid w:val="00933981"/>
    <w:rsid w:val="00943E1E"/>
    <w:rsid w:val="00944313"/>
    <w:rsid w:val="009454C6"/>
    <w:rsid w:val="00950FF1"/>
    <w:rsid w:val="00953565"/>
    <w:rsid w:val="00962D38"/>
    <w:rsid w:val="0097224E"/>
    <w:rsid w:val="00977151"/>
    <w:rsid w:val="009777D9"/>
    <w:rsid w:val="00980029"/>
    <w:rsid w:val="00982605"/>
    <w:rsid w:val="0098736D"/>
    <w:rsid w:val="00992500"/>
    <w:rsid w:val="009A0422"/>
    <w:rsid w:val="009B0482"/>
    <w:rsid w:val="009B39CB"/>
    <w:rsid w:val="009C03E8"/>
    <w:rsid w:val="009C67D4"/>
    <w:rsid w:val="009D7EB9"/>
    <w:rsid w:val="009E4AB4"/>
    <w:rsid w:val="009E6CFD"/>
    <w:rsid w:val="009F408E"/>
    <w:rsid w:val="009F635A"/>
    <w:rsid w:val="00A02D58"/>
    <w:rsid w:val="00A043A5"/>
    <w:rsid w:val="00A0757A"/>
    <w:rsid w:val="00A147A7"/>
    <w:rsid w:val="00A14D0E"/>
    <w:rsid w:val="00A23058"/>
    <w:rsid w:val="00A30436"/>
    <w:rsid w:val="00A304F3"/>
    <w:rsid w:val="00A3315B"/>
    <w:rsid w:val="00A344E1"/>
    <w:rsid w:val="00A37463"/>
    <w:rsid w:val="00A45502"/>
    <w:rsid w:val="00A50F86"/>
    <w:rsid w:val="00A52A81"/>
    <w:rsid w:val="00A64DD2"/>
    <w:rsid w:val="00A6665E"/>
    <w:rsid w:val="00A70968"/>
    <w:rsid w:val="00A73EEF"/>
    <w:rsid w:val="00A75BFE"/>
    <w:rsid w:val="00A77076"/>
    <w:rsid w:val="00A811EA"/>
    <w:rsid w:val="00A86AEF"/>
    <w:rsid w:val="00A8738B"/>
    <w:rsid w:val="00A901C2"/>
    <w:rsid w:val="00A90EA6"/>
    <w:rsid w:val="00AB01ED"/>
    <w:rsid w:val="00AB5F9B"/>
    <w:rsid w:val="00AB617B"/>
    <w:rsid w:val="00AC4082"/>
    <w:rsid w:val="00AC5F45"/>
    <w:rsid w:val="00AD0DCE"/>
    <w:rsid w:val="00AD16AE"/>
    <w:rsid w:val="00AD1BA0"/>
    <w:rsid w:val="00AD5E82"/>
    <w:rsid w:val="00AE00A2"/>
    <w:rsid w:val="00AE0842"/>
    <w:rsid w:val="00AE6182"/>
    <w:rsid w:val="00AE6E1F"/>
    <w:rsid w:val="00AF0DC2"/>
    <w:rsid w:val="00AF262B"/>
    <w:rsid w:val="00AF2F88"/>
    <w:rsid w:val="00AF4068"/>
    <w:rsid w:val="00AF51BD"/>
    <w:rsid w:val="00AF67C6"/>
    <w:rsid w:val="00AF7D5B"/>
    <w:rsid w:val="00B01F7C"/>
    <w:rsid w:val="00B0652D"/>
    <w:rsid w:val="00B0764C"/>
    <w:rsid w:val="00B118DF"/>
    <w:rsid w:val="00B13024"/>
    <w:rsid w:val="00B1442F"/>
    <w:rsid w:val="00B34511"/>
    <w:rsid w:val="00B3652D"/>
    <w:rsid w:val="00B40539"/>
    <w:rsid w:val="00B42612"/>
    <w:rsid w:val="00B43359"/>
    <w:rsid w:val="00B4364E"/>
    <w:rsid w:val="00B43A9D"/>
    <w:rsid w:val="00B46438"/>
    <w:rsid w:val="00B534BF"/>
    <w:rsid w:val="00B620A9"/>
    <w:rsid w:val="00B655C7"/>
    <w:rsid w:val="00B711C2"/>
    <w:rsid w:val="00B72C5F"/>
    <w:rsid w:val="00B74C63"/>
    <w:rsid w:val="00B82B35"/>
    <w:rsid w:val="00B94248"/>
    <w:rsid w:val="00B94960"/>
    <w:rsid w:val="00BA27B0"/>
    <w:rsid w:val="00BA47AE"/>
    <w:rsid w:val="00BB4900"/>
    <w:rsid w:val="00BC0862"/>
    <w:rsid w:val="00BC093D"/>
    <w:rsid w:val="00BD12A8"/>
    <w:rsid w:val="00BD43A4"/>
    <w:rsid w:val="00BE0349"/>
    <w:rsid w:val="00BE5A91"/>
    <w:rsid w:val="00BF05EA"/>
    <w:rsid w:val="00BF20F4"/>
    <w:rsid w:val="00BF32E8"/>
    <w:rsid w:val="00BF54FF"/>
    <w:rsid w:val="00BF5CFC"/>
    <w:rsid w:val="00BF6165"/>
    <w:rsid w:val="00BF7B08"/>
    <w:rsid w:val="00C01389"/>
    <w:rsid w:val="00C07E74"/>
    <w:rsid w:val="00C07FA9"/>
    <w:rsid w:val="00C10DA8"/>
    <w:rsid w:val="00C228AB"/>
    <w:rsid w:val="00C23974"/>
    <w:rsid w:val="00C326C6"/>
    <w:rsid w:val="00C33806"/>
    <w:rsid w:val="00C353F1"/>
    <w:rsid w:val="00C4180F"/>
    <w:rsid w:val="00C450CF"/>
    <w:rsid w:val="00C454BA"/>
    <w:rsid w:val="00C50D06"/>
    <w:rsid w:val="00C50E24"/>
    <w:rsid w:val="00C51B5F"/>
    <w:rsid w:val="00C5599D"/>
    <w:rsid w:val="00C704DA"/>
    <w:rsid w:val="00C73872"/>
    <w:rsid w:val="00C7789C"/>
    <w:rsid w:val="00C77D28"/>
    <w:rsid w:val="00C80274"/>
    <w:rsid w:val="00C80E1E"/>
    <w:rsid w:val="00C81FD7"/>
    <w:rsid w:val="00C82C82"/>
    <w:rsid w:val="00C864BE"/>
    <w:rsid w:val="00C866F0"/>
    <w:rsid w:val="00CB063D"/>
    <w:rsid w:val="00CB3ED2"/>
    <w:rsid w:val="00CC133E"/>
    <w:rsid w:val="00CC2586"/>
    <w:rsid w:val="00CC65D3"/>
    <w:rsid w:val="00CC6FAA"/>
    <w:rsid w:val="00CD3AF1"/>
    <w:rsid w:val="00CD53A3"/>
    <w:rsid w:val="00CF2EE2"/>
    <w:rsid w:val="00CF4CF5"/>
    <w:rsid w:val="00CF4FFF"/>
    <w:rsid w:val="00CF548E"/>
    <w:rsid w:val="00CF5818"/>
    <w:rsid w:val="00D02213"/>
    <w:rsid w:val="00D034B0"/>
    <w:rsid w:val="00D03869"/>
    <w:rsid w:val="00D212AA"/>
    <w:rsid w:val="00D3098D"/>
    <w:rsid w:val="00D44E1E"/>
    <w:rsid w:val="00D504AC"/>
    <w:rsid w:val="00D6039B"/>
    <w:rsid w:val="00D63135"/>
    <w:rsid w:val="00D66417"/>
    <w:rsid w:val="00D70CB5"/>
    <w:rsid w:val="00D71C7D"/>
    <w:rsid w:val="00D81703"/>
    <w:rsid w:val="00D84F55"/>
    <w:rsid w:val="00D91A08"/>
    <w:rsid w:val="00DA038E"/>
    <w:rsid w:val="00DA09AD"/>
    <w:rsid w:val="00DA411D"/>
    <w:rsid w:val="00DB2BEC"/>
    <w:rsid w:val="00DB2E77"/>
    <w:rsid w:val="00DB6A70"/>
    <w:rsid w:val="00DC0D9C"/>
    <w:rsid w:val="00DC235B"/>
    <w:rsid w:val="00DC697D"/>
    <w:rsid w:val="00DC6988"/>
    <w:rsid w:val="00DC75B1"/>
    <w:rsid w:val="00DD310A"/>
    <w:rsid w:val="00DE39B3"/>
    <w:rsid w:val="00DF379E"/>
    <w:rsid w:val="00DF54B2"/>
    <w:rsid w:val="00E024FE"/>
    <w:rsid w:val="00E132FF"/>
    <w:rsid w:val="00E20A4D"/>
    <w:rsid w:val="00E24C41"/>
    <w:rsid w:val="00E30174"/>
    <w:rsid w:val="00E37616"/>
    <w:rsid w:val="00E5075E"/>
    <w:rsid w:val="00E50C2C"/>
    <w:rsid w:val="00E564D3"/>
    <w:rsid w:val="00E63302"/>
    <w:rsid w:val="00E65AAA"/>
    <w:rsid w:val="00E67044"/>
    <w:rsid w:val="00E72DEB"/>
    <w:rsid w:val="00E730EC"/>
    <w:rsid w:val="00E8274B"/>
    <w:rsid w:val="00E83812"/>
    <w:rsid w:val="00E8763D"/>
    <w:rsid w:val="00E87677"/>
    <w:rsid w:val="00E92131"/>
    <w:rsid w:val="00E94042"/>
    <w:rsid w:val="00E960DC"/>
    <w:rsid w:val="00EA1CC3"/>
    <w:rsid w:val="00EB154E"/>
    <w:rsid w:val="00EB4F49"/>
    <w:rsid w:val="00EB5799"/>
    <w:rsid w:val="00EC1B6D"/>
    <w:rsid w:val="00EC474F"/>
    <w:rsid w:val="00EC6A03"/>
    <w:rsid w:val="00ED3F56"/>
    <w:rsid w:val="00ED427B"/>
    <w:rsid w:val="00EE5321"/>
    <w:rsid w:val="00EE6E41"/>
    <w:rsid w:val="00EF0F88"/>
    <w:rsid w:val="00EF3670"/>
    <w:rsid w:val="00EF3836"/>
    <w:rsid w:val="00F05297"/>
    <w:rsid w:val="00F06A27"/>
    <w:rsid w:val="00F07A6A"/>
    <w:rsid w:val="00F12932"/>
    <w:rsid w:val="00F202F7"/>
    <w:rsid w:val="00F208DB"/>
    <w:rsid w:val="00F23A97"/>
    <w:rsid w:val="00F278CA"/>
    <w:rsid w:val="00F3091C"/>
    <w:rsid w:val="00F36189"/>
    <w:rsid w:val="00F365AB"/>
    <w:rsid w:val="00F41DFC"/>
    <w:rsid w:val="00F47C84"/>
    <w:rsid w:val="00F504C4"/>
    <w:rsid w:val="00F608D9"/>
    <w:rsid w:val="00F608EC"/>
    <w:rsid w:val="00F60C87"/>
    <w:rsid w:val="00F67115"/>
    <w:rsid w:val="00F71BE5"/>
    <w:rsid w:val="00F772AA"/>
    <w:rsid w:val="00F80C1B"/>
    <w:rsid w:val="00F83E91"/>
    <w:rsid w:val="00F84C66"/>
    <w:rsid w:val="00F94909"/>
    <w:rsid w:val="00F95674"/>
    <w:rsid w:val="00FA1273"/>
    <w:rsid w:val="00FA1C87"/>
    <w:rsid w:val="00FA6083"/>
    <w:rsid w:val="00FB2D81"/>
    <w:rsid w:val="00FC0DCD"/>
    <w:rsid w:val="00FC1057"/>
    <w:rsid w:val="00FC5F28"/>
    <w:rsid w:val="00FD16BA"/>
    <w:rsid w:val="00FD3C0E"/>
    <w:rsid w:val="00FD56EC"/>
    <w:rsid w:val="00FE1289"/>
    <w:rsid w:val="00FE13A3"/>
    <w:rsid w:val="00FE697D"/>
    <w:rsid w:val="00FF0F86"/>
    <w:rsid w:val="01FF3263"/>
    <w:rsid w:val="0213182E"/>
    <w:rsid w:val="028D5DB7"/>
    <w:rsid w:val="029137FA"/>
    <w:rsid w:val="02DF39F5"/>
    <w:rsid w:val="02E421D0"/>
    <w:rsid w:val="03026236"/>
    <w:rsid w:val="03892A60"/>
    <w:rsid w:val="038F541B"/>
    <w:rsid w:val="041659F1"/>
    <w:rsid w:val="05281683"/>
    <w:rsid w:val="059E7B97"/>
    <w:rsid w:val="05C132A7"/>
    <w:rsid w:val="0639166E"/>
    <w:rsid w:val="06825418"/>
    <w:rsid w:val="06DA69AD"/>
    <w:rsid w:val="07550729"/>
    <w:rsid w:val="078608E3"/>
    <w:rsid w:val="07905641"/>
    <w:rsid w:val="07B31491"/>
    <w:rsid w:val="07BF3436"/>
    <w:rsid w:val="080F2686"/>
    <w:rsid w:val="08187CF1"/>
    <w:rsid w:val="08BD1229"/>
    <w:rsid w:val="08F35E3C"/>
    <w:rsid w:val="09745537"/>
    <w:rsid w:val="0983157E"/>
    <w:rsid w:val="09AE497E"/>
    <w:rsid w:val="09C000DC"/>
    <w:rsid w:val="09CC0E05"/>
    <w:rsid w:val="0A8F3F52"/>
    <w:rsid w:val="0AA925B8"/>
    <w:rsid w:val="0AF838A6"/>
    <w:rsid w:val="0B011895"/>
    <w:rsid w:val="0B0A397A"/>
    <w:rsid w:val="0B100BEF"/>
    <w:rsid w:val="0B1A381C"/>
    <w:rsid w:val="0B291CB1"/>
    <w:rsid w:val="0B4E2A8F"/>
    <w:rsid w:val="0B732F2C"/>
    <w:rsid w:val="0B8A2AEF"/>
    <w:rsid w:val="0BC32105"/>
    <w:rsid w:val="0CC151AB"/>
    <w:rsid w:val="0CF04062"/>
    <w:rsid w:val="0D133464"/>
    <w:rsid w:val="0D754699"/>
    <w:rsid w:val="0E1C5B1C"/>
    <w:rsid w:val="0EE84E60"/>
    <w:rsid w:val="0F070D73"/>
    <w:rsid w:val="0F7979B8"/>
    <w:rsid w:val="0F8E47D8"/>
    <w:rsid w:val="0F97417B"/>
    <w:rsid w:val="10E14510"/>
    <w:rsid w:val="11274EE5"/>
    <w:rsid w:val="114E06C3"/>
    <w:rsid w:val="11E132E5"/>
    <w:rsid w:val="127952CC"/>
    <w:rsid w:val="12B44556"/>
    <w:rsid w:val="12BC78AF"/>
    <w:rsid w:val="12F40DF6"/>
    <w:rsid w:val="12FD4D83"/>
    <w:rsid w:val="13454A16"/>
    <w:rsid w:val="13AB63B7"/>
    <w:rsid w:val="13EB2D76"/>
    <w:rsid w:val="141C58F1"/>
    <w:rsid w:val="143C1E2E"/>
    <w:rsid w:val="147C012B"/>
    <w:rsid w:val="14B720DC"/>
    <w:rsid w:val="14E153AA"/>
    <w:rsid w:val="15284D87"/>
    <w:rsid w:val="15722DE1"/>
    <w:rsid w:val="15840EB8"/>
    <w:rsid w:val="15E05662"/>
    <w:rsid w:val="15F708A7"/>
    <w:rsid w:val="15FD125D"/>
    <w:rsid w:val="161672D6"/>
    <w:rsid w:val="16247C45"/>
    <w:rsid w:val="16493207"/>
    <w:rsid w:val="16DF9584"/>
    <w:rsid w:val="16E318AE"/>
    <w:rsid w:val="16F21EDA"/>
    <w:rsid w:val="17516817"/>
    <w:rsid w:val="17DBA397"/>
    <w:rsid w:val="17E543A0"/>
    <w:rsid w:val="17F70FF7"/>
    <w:rsid w:val="17FFAF59"/>
    <w:rsid w:val="19151728"/>
    <w:rsid w:val="196842EC"/>
    <w:rsid w:val="196F6DF4"/>
    <w:rsid w:val="19AD46D3"/>
    <w:rsid w:val="1A035A76"/>
    <w:rsid w:val="1AB33C6D"/>
    <w:rsid w:val="1AE17EB2"/>
    <w:rsid w:val="1B3C158C"/>
    <w:rsid w:val="1C081480"/>
    <w:rsid w:val="1CAFCB58"/>
    <w:rsid w:val="1CE974F2"/>
    <w:rsid w:val="1D5E1C8E"/>
    <w:rsid w:val="1DCF6977"/>
    <w:rsid w:val="1DD71A40"/>
    <w:rsid w:val="1DD77C1F"/>
    <w:rsid w:val="1E2E09BA"/>
    <w:rsid w:val="1EA20612"/>
    <w:rsid w:val="1ED70052"/>
    <w:rsid w:val="1EFF5A24"/>
    <w:rsid w:val="1F5E5F75"/>
    <w:rsid w:val="1F93764A"/>
    <w:rsid w:val="1F9A0F77"/>
    <w:rsid w:val="1FB15CCE"/>
    <w:rsid w:val="1FB2006F"/>
    <w:rsid w:val="1FD75083"/>
    <w:rsid w:val="1FDE70B6"/>
    <w:rsid w:val="1FDF810F"/>
    <w:rsid w:val="1FF21D8D"/>
    <w:rsid w:val="1FF5BB0C"/>
    <w:rsid w:val="207B2B57"/>
    <w:rsid w:val="208042F0"/>
    <w:rsid w:val="20927AD8"/>
    <w:rsid w:val="20AF1DF1"/>
    <w:rsid w:val="21E82E66"/>
    <w:rsid w:val="21FC72A6"/>
    <w:rsid w:val="227B0BEC"/>
    <w:rsid w:val="22A939AB"/>
    <w:rsid w:val="22CC6570"/>
    <w:rsid w:val="22F3177B"/>
    <w:rsid w:val="239F4DAE"/>
    <w:rsid w:val="23E8624A"/>
    <w:rsid w:val="23EC4F18"/>
    <w:rsid w:val="2415200F"/>
    <w:rsid w:val="24617421"/>
    <w:rsid w:val="24DE57D6"/>
    <w:rsid w:val="24F2250B"/>
    <w:rsid w:val="256736AA"/>
    <w:rsid w:val="259F1096"/>
    <w:rsid w:val="25C13C4E"/>
    <w:rsid w:val="25CE197B"/>
    <w:rsid w:val="25ED1E01"/>
    <w:rsid w:val="266966EC"/>
    <w:rsid w:val="268B51EA"/>
    <w:rsid w:val="26E412D4"/>
    <w:rsid w:val="26FB00A8"/>
    <w:rsid w:val="274A360B"/>
    <w:rsid w:val="277976C4"/>
    <w:rsid w:val="27DD40F7"/>
    <w:rsid w:val="28221B0A"/>
    <w:rsid w:val="288C24E9"/>
    <w:rsid w:val="28942A08"/>
    <w:rsid w:val="28B871F5"/>
    <w:rsid w:val="28C05B16"/>
    <w:rsid w:val="28EB63A0"/>
    <w:rsid w:val="293B5829"/>
    <w:rsid w:val="294A756A"/>
    <w:rsid w:val="29EF6820"/>
    <w:rsid w:val="29FF158E"/>
    <w:rsid w:val="2AB22E86"/>
    <w:rsid w:val="2B4F0E68"/>
    <w:rsid w:val="2BCD6263"/>
    <w:rsid w:val="2BDB79DF"/>
    <w:rsid w:val="2C3047F6"/>
    <w:rsid w:val="2C475FE3"/>
    <w:rsid w:val="2C554AAF"/>
    <w:rsid w:val="2D1F0559"/>
    <w:rsid w:val="2D5E5392"/>
    <w:rsid w:val="2E2642CF"/>
    <w:rsid w:val="2E9D157A"/>
    <w:rsid w:val="2F4F2563"/>
    <w:rsid w:val="2F7FBCDC"/>
    <w:rsid w:val="2FA82A32"/>
    <w:rsid w:val="2FD40A48"/>
    <w:rsid w:val="2FD6EE65"/>
    <w:rsid w:val="2FD94673"/>
    <w:rsid w:val="305F7D9F"/>
    <w:rsid w:val="30E20088"/>
    <w:rsid w:val="30E42146"/>
    <w:rsid w:val="31235DF2"/>
    <w:rsid w:val="31572CC2"/>
    <w:rsid w:val="327C3D76"/>
    <w:rsid w:val="32E77532"/>
    <w:rsid w:val="32F3657D"/>
    <w:rsid w:val="33030EB6"/>
    <w:rsid w:val="335EA73F"/>
    <w:rsid w:val="338B4A07"/>
    <w:rsid w:val="33BE4DDD"/>
    <w:rsid w:val="33EE5D5B"/>
    <w:rsid w:val="348E093D"/>
    <w:rsid w:val="34CA0CFD"/>
    <w:rsid w:val="350F0F1C"/>
    <w:rsid w:val="358BAD56"/>
    <w:rsid w:val="359758E5"/>
    <w:rsid w:val="35BC1E66"/>
    <w:rsid w:val="35FEEFC4"/>
    <w:rsid w:val="364A96AC"/>
    <w:rsid w:val="36D87F64"/>
    <w:rsid w:val="36EF34FF"/>
    <w:rsid w:val="37725902"/>
    <w:rsid w:val="37800CF3"/>
    <w:rsid w:val="37B7B85E"/>
    <w:rsid w:val="37BB707D"/>
    <w:rsid w:val="37BBEE6D"/>
    <w:rsid w:val="37E87366"/>
    <w:rsid w:val="37EE6635"/>
    <w:rsid w:val="37FC73E0"/>
    <w:rsid w:val="38194E02"/>
    <w:rsid w:val="385775AE"/>
    <w:rsid w:val="38641F79"/>
    <w:rsid w:val="389A29C0"/>
    <w:rsid w:val="38A3308B"/>
    <w:rsid w:val="391B4A7F"/>
    <w:rsid w:val="391D4354"/>
    <w:rsid w:val="393F42CA"/>
    <w:rsid w:val="396D59CC"/>
    <w:rsid w:val="39FEC16E"/>
    <w:rsid w:val="3A112FF7"/>
    <w:rsid w:val="3A370AF3"/>
    <w:rsid w:val="3A3B26DD"/>
    <w:rsid w:val="3A9B7D5C"/>
    <w:rsid w:val="3ABF0849"/>
    <w:rsid w:val="3ACC6C89"/>
    <w:rsid w:val="3AF671FC"/>
    <w:rsid w:val="3AFA5C1B"/>
    <w:rsid w:val="3AFF020E"/>
    <w:rsid w:val="3B4F4141"/>
    <w:rsid w:val="3B5B6EC2"/>
    <w:rsid w:val="3BBB7D50"/>
    <w:rsid w:val="3BE51B48"/>
    <w:rsid w:val="3BEEE4D4"/>
    <w:rsid w:val="3BF353EE"/>
    <w:rsid w:val="3BF74C8E"/>
    <w:rsid w:val="3BF7C74B"/>
    <w:rsid w:val="3C6B3628"/>
    <w:rsid w:val="3C720B94"/>
    <w:rsid w:val="3CA07C16"/>
    <w:rsid w:val="3D140681"/>
    <w:rsid w:val="3DE5AF90"/>
    <w:rsid w:val="3DEF3C08"/>
    <w:rsid w:val="3DF8538F"/>
    <w:rsid w:val="3E016EDC"/>
    <w:rsid w:val="3E0778B8"/>
    <w:rsid w:val="3E774644"/>
    <w:rsid w:val="3EBD52CD"/>
    <w:rsid w:val="3EF5312B"/>
    <w:rsid w:val="3EF93913"/>
    <w:rsid w:val="3EFF87AC"/>
    <w:rsid w:val="3EFF9CF3"/>
    <w:rsid w:val="3F1FFC70"/>
    <w:rsid w:val="3F6A53F9"/>
    <w:rsid w:val="3F7B8029"/>
    <w:rsid w:val="3F7F02F9"/>
    <w:rsid w:val="3F7F25CA"/>
    <w:rsid w:val="3F935AA1"/>
    <w:rsid w:val="3F97C7EF"/>
    <w:rsid w:val="3FAE03FB"/>
    <w:rsid w:val="3FC76DC7"/>
    <w:rsid w:val="3FDD8B5F"/>
    <w:rsid w:val="3FDFB8EE"/>
    <w:rsid w:val="3FDFE796"/>
    <w:rsid w:val="3FEF1727"/>
    <w:rsid w:val="3FF14C82"/>
    <w:rsid w:val="3FF5E9DB"/>
    <w:rsid w:val="3FF783A2"/>
    <w:rsid w:val="3FFA296B"/>
    <w:rsid w:val="3FFF1FBF"/>
    <w:rsid w:val="402C1320"/>
    <w:rsid w:val="40B20E7B"/>
    <w:rsid w:val="40C41DC9"/>
    <w:rsid w:val="412D2B6A"/>
    <w:rsid w:val="41790912"/>
    <w:rsid w:val="41801923"/>
    <w:rsid w:val="41C51100"/>
    <w:rsid w:val="420F7500"/>
    <w:rsid w:val="422F6EA6"/>
    <w:rsid w:val="42336996"/>
    <w:rsid w:val="42DD60ED"/>
    <w:rsid w:val="43394480"/>
    <w:rsid w:val="439114E7"/>
    <w:rsid w:val="43AD4526"/>
    <w:rsid w:val="44022AC4"/>
    <w:rsid w:val="444D3C17"/>
    <w:rsid w:val="445E4060"/>
    <w:rsid w:val="44F763A1"/>
    <w:rsid w:val="452779D7"/>
    <w:rsid w:val="45844431"/>
    <w:rsid w:val="4597723C"/>
    <w:rsid w:val="460A2104"/>
    <w:rsid w:val="4669507C"/>
    <w:rsid w:val="46A247CB"/>
    <w:rsid w:val="46D22C21"/>
    <w:rsid w:val="473E02A6"/>
    <w:rsid w:val="47DD4F82"/>
    <w:rsid w:val="47DE429A"/>
    <w:rsid w:val="47EF8DEF"/>
    <w:rsid w:val="47FFD9E1"/>
    <w:rsid w:val="482B7945"/>
    <w:rsid w:val="489D725F"/>
    <w:rsid w:val="48B77A66"/>
    <w:rsid w:val="49057F53"/>
    <w:rsid w:val="4A435BE4"/>
    <w:rsid w:val="4B7A2A9B"/>
    <w:rsid w:val="4B944949"/>
    <w:rsid w:val="4B9A1CC3"/>
    <w:rsid w:val="4CB42DC9"/>
    <w:rsid w:val="4CBFF655"/>
    <w:rsid w:val="4CF792EA"/>
    <w:rsid w:val="4D2E442F"/>
    <w:rsid w:val="4D341814"/>
    <w:rsid w:val="4E047333"/>
    <w:rsid w:val="4E640763"/>
    <w:rsid w:val="4EB79E6A"/>
    <w:rsid w:val="4F31290A"/>
    <w:rsid w:val="4F5F5E36"/>
    <w:rsid w:val="4F6C34E7"/>
    <w:rsid w:val="4F7C4188"/>
    <w:rsid w:val="4FD6E0F1"/>
    <w:rsid w:val="4FFE3142"/>
    <w:rsid w:val="50854189"/>
    <w:rsid w:val="50BE7D72"/>
    <w:rsid w:val="50D2381E"/>
    <w:rsid w:val="51352BFD"/>
    <w:rsid w:val="516FE6CA"/>
    <w:rsid w:val="51CD6B72"/>
    <w:rsid w:val="51F868C1"/>
    <w:rsid w:val="52080588"/>
    <w:rsid w:val="528172AA"/>
    <w:rsid w:val="528B0128"/>
    <w:rsid w:val="5298591B"/>
    <w:rsid w:val="532FEC94"/>
    <w:rsid w:val="5354676C"/>
    <w:rsid w:val="535B111A"/>
    <w:rsid w:val="53C3C782"/>
    <w:rsid w:val="545A6004"/>
    <w:rsid w:val="548328B3"/>
    <w:rsid w:val="54A51975"/>
    <w:rsid w:val="555DDF97"/>
    <w:rsid w:val="5583158B"/>
    <w:rsid w:val="56536C68"/>
    <w:rsid w:val="566D5190"/>
    <w:rsid w:val="56A31EE4"/>
    <w:rsid w:val="578EACAC"/>
    <w:rsid w:val="57A6E917"/>
    <w:rsid w:val="57EB2056"/>
    <w:rsid w:val="57FA04F4"/>
    <w:rsid w:val="57FD96BD"/>
    <w:rsid w:val="58515F24"/>
    <w:rsid w:val="58642427"/>
    <w:rsid w:val="590E040D"/>
    <w:rsid w:val="59BFBBB0"/>
    <w:rsid w:val="59DD7177"/>
    <w:rsid w:val="5AB0697E"/>
    <w:rsid w:val="5ABC7EDB"/>
    <w:rsid w:val="5B9E9E3B"/>
    <w:rsid w:val="5BAC2B80"/>
    <w:rsid w:val="5BD7FE54"/>
    <w:rsid w:val="5BFB4015"/>
    <w:rsid w:val="5C112D6F"/>
    <w:rsid w:val="5C2D656F"/>
    <w:rsid w:val="5C480E38"/>
    <w:rsid w:val="5C565A08"/>
    <w:rsid w:val="5C6C4B26"/>
    <w:rsid w:val="5CB87EC4"/>
    <w:rsid w:val="5D0B07E3"/>
    <w:rsid w:val="5D5D1495"/>
    <w:rsid w:val="5D6677C8"/>
    <w:rsid w:val="5D6E4A33"/>
    <w:rsid w:val="5D7C46AA"/>
    <w:rsid w:val="5DD6DB7E"/>
    <w:rsid w:val="5DFFC3BB"/>
    <w:rsid w:val="5DFFF6E1"/>
    <w:rsid w:val="5E0D0428"/>
    <w:rsid w:val="5E551D41"/>
    <w:rsid w:val="5EBFD916"/>
    <w:rsid w:val="5EEA5F68"/>
    <w:rsid w:val="5F0A0EFB"/>
    <w:rsid w:val="5F381638"/>
    <w:rsid w:val="5F5C70D4"/>
    <w:rsid w:val="5F5D5F46"/>
    <w:rsid w:val="5F5F6BC4"/>
    <w:rsid w:val="5F777467"/>
    <w:rsid w:val="5F7791C5"/>
    <w:rsid w:val="5F897A82"/>
    <w:rsid w:val="5F954E7A"/>
    <w:rsid w:val="5F9BF511"/>
    <w:rsid w:val="5FB2252C"/>
    <w:rsid w:val="5FEF34BC"/>
    <w:rsid w:val="5FEF47F1"/>
    <w:rsid w:val="5FF7673B"/>
    <w:rsid w:val="5FFE29FF"/>
    <w:rsid w:val="60030192"/>
    <w:rsid w:val="61301734"/>
    <w:rsid w:val="617E6AB1"/>
    <w:rsid w:val="6183303E"/>
    <w:rsid w:val="61891E9D"/>
    <w:rsid w:val="61963FB3"/>
    <w:rsid w:val="62DA702B"/>
    <w:rsid w:val="630670EC"/>
    <w:rsid w:val="63660521"/>
    <w:rsid w:val="63C4349A"/>
    <w:rsid w:val="63DA4A6C"/>
    <w:rsid w:val="63F7A45A"/>
    <w:rsid w:val="63FDD635"/>
    <w:rsid w:val="640815D9"/>
    <w:rsid w:val="644770E0"/>
    <w:rsid w:val="64A57BA6"/>
    <w:rsid w:val="65293EFC"/>
    <w:rsid w:val="657B5DDA"/>
    <w:rsid w:val="65FC1649"/>
    <w:rsid w:val="662355A1"/>
    <w:rsid w:val="66D548DE"/>
    <w:rsid w:val="66DFBFB5"/>
    <w:rsid w:val="66FA11AC"/>
    <w:rsid w:val="67002A3B"/>
    <w:rsid w:val="673E4899"/>
    <w:rsid w:val="673EBC43"/>
    <w:rsid w:val="677156E7"/>
    <w:rsid w:val="6777FD2A"/>
    <w:rsid w:val="67FD17DF"/>
    <w:rsid w:val="681D13CB"/>
    <w:rsid w:val="686B2D87"/>
    <w:rsid w:val="687B6378"/>
    <w:rsid w:val="68867680"/>
    <w:rsid w:val="68906593"/>
    <w:rsid w:val="68A5389A"/>
    <w:rsid w:val="68ED3493"/>
    <w:rsid w:val="693E5A9D"/>
    <w:rsid w:val="697D17B5"/>
    <w:rsid w:val="69886D18"/>
    <w:rsid w:val="699F53F8"/>
    <w:rsid w:val="69DF6F8E"/>
    <w:rsid w:val="6A2D7BFC"/>
    <w:rsid w:val="6AA06A0F"/>
    <w:rsid w:val="6B281B40"/>
    <w:rsid w:val="6BA37D93"/>
    <w:rsid w:val="6BAA566B"/>
    <w:rsid w:val="6BBDC8AD"/>
    <w:rsid w:val="6BDFC2D9"/>
    <w:rsid w:val="6BFFD0C5"/>
    <w:rsid w:val="6C111659"/>
    <w:rsid w:val="6C497952"/>
    <w:rsid w:val="6C553829"/>
    <w:rsid w:val="6CE13FB9"/>
    <w:rsid w:val="6CE7EE55"/>
    <w:rsid w:val="6D5B5893"/>
    <w:rsid w:val="6D9B170F"/>
    <w:rsid w:val="6DA68AE3"/>
    <w:rsid w:val="6DBC2689"/>
    <w:rsid w:val="6E283B6C"/>
    <w:rsid w:val="6E385CCF"/>
    <w:rsid w:val="6E3E4015"/>
    <w:rsid w:val="6E4160E9"/>
    <w:rsid w:val="6E4C0C5C"/>
    <w:rsid w:val="6E8A2477"/>
    <w:rsid w:val="6ECDC832"/>
    <w:rsid w:val="6F174DC6"/>
    <w:rsid w:val="6F439BF9"/>
    <w:rsid w:val="6F7DF847"/>
    <w:rsid w:val="6FEF3880"/>
    <w:rsid w:val="6FF9563A"/>
    <w:rsid w:val="6FFBD74D"/>
    <w:rsid w:val="703561A0"/>
    <w:rsid w:val="70714ED0"/>
    <w:rsid w:val="708278F0"/>
    <w:rsid w:val="709A02F9"/>
    <w:rsid w:val="70BD49EA"/>
    <w:rsid w:val="70C42D2B"/>
    <w:rsid w:val="713E68F1"/>
    <w:rsid w:val="71DF7E78"/>
    <w:rsid w:val="72023A42"/>
    <w:rsid w:val="7235109C"/>
    <w:rsid w:val="72B33057"/>
    <w:rsid w:val="72BF22DA"/>
    <w:rsid w:val="72C45265"/>
    <w:rsid w:val="73057B9B"/>
    <w:rsid w:val="732EA174"/>
    <w:rsid w:val="73BEF022"/>
    <w:rsid w:val="73FCD214"/>
    <w:rsid w:val="74293ECF"/>
    <w:rsid w:val="745F760F"/>
    <w:rsid w:val="74933140"/>
    <w:rsid w:val="74A61924"/>
    <w:rsid w:val="74E50B73"/>
    <w:rsid w:val="74EB4D2A"/>
    <w:rsid w:val="7577657B"/>
    <w:rsid w:val="757FF5FC"/>
    <w:rsid w:val="75933945"/>
    <w:rsid w:val="76174113"/>
    <w:rsid w:val="766EE813"/>
    <w:rsid w:val="768A605B"/>
    <w:rsid w:val="76A809F9"/>
    <w:rsid w:val="76F4F752"/>
    <w:rsid w:val="76FB9578"/>
    <w:rsid w:val="771B40B1"/>
    <w:rsid w:val="77299DAE"/>
    <w:rsid w:val="77560A79"/>
    <w:rsid w:val="775C53C8"/>
    <w:rsid w:val="77752549"/>
    <w:rsid w:val="777EDA04"/>
    <w:rsid w:val="7798316B"/>
    <w:rsid w:val="77CBEDDD"/>
    <w:rsid w:val="77EF0B14"/>
    <w:rsid w:val="77F72005"/>
    <w:rsid w:val="77FBC2B9"/>
    <w:rsid w:val="77FFA413"/>
    <w:rsid w:val="78540ABA"/>
    <w:rsid w:val="785476EB"/>
    <w:rsid w:val="78590270"/>
    <w:rsid w:val="787F0893"/>
    <w:rsid w:val="78CD021B"/>
    <w:rsid w:val="78F9177F"/>
    <w:rsid w:val="794457F0"/>
    <w:rsid w:val="79786DA9"/>
    <w:rsid w:val="797B538C"/>
    <w:rsid w:val="79BFB31A"/>
    <w:rsid w:val="79EE94E8"/>
    <w:rsid w:val="79F72413"/>
    <w:rsid w:val="79FD41CE"/>
    <w:rsid w:val="79FF6B82"/>
    <w:rsid w:val="79FFAF52"/>
    <w:rsid w:val="79FFFA71"/>
    <w:rsid w:val="7A1A1C0E"/>
    <w:rsid w:val="7A2F4205"/>
    <w:rsid w:val="7A4078C7"/>
    <w:rsid w:val="7A9E58A2"/>
    <w:rsid w:val="7ACB0956"/>
    <w:rsid w:val="7AE71AF0"/>
    <w:rsid w:val="7B292E99"/>
    <w:rsid w:val="7B54ADB5"/>
    <w:rsid w:val="7B65510B"/>
    <w:rsid w:val="7B864B9E"/>
    <w:rsid w:val="7B96293A"/>
    <w:rsid w:val="7BB0282A"/>
    <w:rsid w:val="7BBF27FC"/>
    <w:rsid w:val="7BC7F16A"/>
    <w:rsid w:val="7BF70082"/>
    <w:rsid w:val="7BF73EE1"/>
    <w:rsid w:val="7BF87D2D"/>
    <w:rsid w:val="7BFE19B2"/>
    <w:rsid w:val="7C195991"/>
    <w:rsid w:val="7CA61B50"/>
    <w:rsid w:val="7CAC1243"/>
    <w:rsid w:val="7CEF0463"/>
    <w:rsid w:val="7D57525D"/>
    <w:rsid w:val="7D5E6A84"/>
    <w:rsid w:val="7D77A5C2"/>
    <w:rsid w:val="7D904A51"/>
    <w:rsid w:val="7DAA27E9"/>
    <w:rsid w:val="7DAF082E"/>
    <w:rsid w:val="7DBDC5DD"/>
    <w:rsid w:val="7DDEDC3D"/>
    <w:rsid w:val="7DDF996B"/>
    <w:rsid w:val="7DF00F37"/>
    <w:rsid w:val="7DFDD61D"/>
    <w:rsid w:val="7E1A7A96"/>
    <w:rsid w:val="7E5FC689"/>
    <w:rsid w:val="7E766B5E"/>
    <w:rsid w:val="7EB4ACCB"/>
    <w:rsid w:val="7ECFB2D6"/>
    <w:rsid w:val="7EF93499"/>
    <w:rsid w:val="7EFBEB5E"/>
    <w:rsid w:val="7F3B7255"/>
    <w:rsid w:val="7F5379FA"/>
    <w:rsid w:val="7F6FC8EA"/>
    <w:rsid w:val="7F7F056D"/>
    <w:rsid w:val="7F7F0DB9"/>
    <w:rsid w:val="7F875650"/>
    <w:rsid w:val="7F8DE503"/>
    <w:rsid w:val="7F9748CE"/>
    <w:rsid w:val="7FA52FD6"/>
    <w:rsid w:val="7FADE0B4"/>
    <w:rsid w:val="7FB11E58"/>
    <w:rsid w:val="7FB9287C"/>
    <w:rsid w:val="7FBA5031"/>
    <w:rsid w:val="7FBBEA70"/>
    <w:rsid w:val="7FBF1A65"/>
    <w:rsid w:val="7FBF3748"/>
    <w:rsid w:val="7FBFC4D8"/>
    <w:rsid w:val="7FDF7338"/>
    <w:rsid w:val="7FDFA0D5"/>
    <w:rsid w:val="7FDFEF94"/>
    <w:rsid w:val="7FF3FC7C"/>
    <w:rsid w:val="7FF6A62A"/>
    <w:rsid w:val="7FF75A31"/>
    <w:rsid w:val="7FF7B2E5"/>
    <w:rsid w:val="7FF8B9E5"/>
    <w:rsid w:val="7FFB13EE"/>
    <w:rsid w:val="7FFC5351"/>
    <w:rsid w:val="7FFD0327"/>
    <w:rsid w:val="7FFD3531"/>
    <w:rsid w:val="7FFE8734"/>
    <w:rsid w:val="7FFEFC7B"/>
    <w:rsid w:val="7FFF024C"/>
    <w:rsid w:val="7FFFBBC8"/>
    <w:rsid w:val="7FFFC0B7"/>
    <w:rsid w:val="7FFFC3AC"/>
    <w:rsid w:val="86FB1943"/>
    <w:rsid w:val="95FBC3A9"/>
    <w:rsid w:val="99BD71CE"/>
    <w:rsid w:val="9FAC5940"/>
    <w:rsid w:val="9FB795F7"/>
    <w:rsid w:val="9FD61BD6"/>
    <w:rsid w:val="9FDF4DD0"/>
    <w:rsid w:val="A769E3C1"/>
    <w:rsid w:val="A7E38C62"/>
    <w:rsid w:val="A7FB776D"/>
    <w:rsid w:val="A7FDAC38"/>
    <w:rsid w:val="ABABF222"/>
    <w:rsid w:val="ABB72248"/>
    <w:rsid w:val="ABFEA10E"/>
    <w:rsid w:val="AD7EEE30"/>
    <w:rsid w:val="ADEB3298"/>
    <w:rsid w:val="AF9F92F3"/>
    <w:rsid w:val="AFB812CE"/>
    <w:rsid w:val="AFDCE0D0"/>
    <w:rsid w:val="AFFA9CB6"/>
    <w:rsid w:val="B1AAABFE"/>
    <w:rsid w:val="B37FBB8E"/>
    <w:rsid w:val="B3FC29AB"/>
    <w:rsid w:val="B3FD2097"/>
    <w:rsid w:val="B3FE0E48"/>
    <w:rsid w:val="B5F68085"/>
    <w:rsid w:val="B7DCFEB7"/>
    <w:rsid w:val="B7EF4839"/>
    <w:rsid w:val="B7F56B88"/>
    <w:rsid w:val="B7FDF3A4"/>
    <w:rsid w:val="B95774C7"/>
    <w:rsid w:val="B9BF9C49"/>
    <w:rsid w:val="BA540113"/>
    <w:rsid w:val="BA7EF8A3"/>
    <w:rsid w:val="BAF48763"/>
    <w:rsid w:val="BBE78239"/>
    <w:rsid w:val="BBFB9DE3"/>
    <w:rsid w:val="BCF69475"/>
    <w:rsid w:val="BD3D8E61"/>
    <w:rsid w:val="BD5BD740"/>
    <w:rsid w:val="BDCFD3CE"/>
    <w:rsid w:val="BDDF0635"/>
    <w:rsid w:val="BDDF1223"/>
    <w:rsid w:val="BE5F681E"/>
    <w:rsid w:val="BE73B64E"/>
    <w:rsid w:val="BEBEF924"/>
    <w:rsid w:val="BED7A089"/>
    <w:rsid w:val="BEDDA45C"/>
    <w:rsid w:val="BF553311"/>
    <w:rsid w:val="BF6697F6"/>
    <w:rsid w:val="BF6F7B18"/>
    <w:rsid w:val="BF97BA53"/>
    <w:rsid w:val="BFC57D1B"/>
    <w:rsid w:val="BFDFCE6E"/>
    <w:rsid w:val="BFE5C4F4"/>
    <w:rsid w:val="BFEB8066"/>
    <w:rsid w:val="BFEF3067"/>
    <w:rsid w:val="BFEF5606"/>
    <w:rsid w:val="BFF3C58D"/>
    <w:rsid w:val="BFF54936"/>
    <w:rsid w:val="BFF6D17A"/>
    <w:rsid w:val="BFFB18EA"/>
    <w:rsid w:val="C56DBE1D"/>
    <w:rsid w:val="C6FF2B5C"/>
    <w:rsid w:val="C73D276D"/>
    <w:rsid w:val="CDED6F01"/>
    <w:rsid w:val="CDEF232D"/>
    <w:rsid w:val="CF670C17"/>
    <w:rsid w:val="CF6F8EE2"/>
    <w:rsid w:val="CF6F91B4"/>
    <w:rsid w:val="CFEE9801"/>
    <w:rsid w:val="CFF66894"/>
    <w:rsid w:val="CFFFDB2E"/>
    <w:rsid w:val="D3F33426"/>
    <w:rsid w:val="D3FBC081"/>
    <w:rsid w:val="D43767AA"/>
    <w:rsid w:val="D77DC63D"/>
    <w:rsid w:val="D7EFC69D"/>
    <w:rsid w:val="D8D1AEA1"/>
    <w:rsid w:val="D96F4C10"/>
    <w:rsid w:val="DAFF67E7"/>
    <w:rsid w:val="DBDDFCEE"/>
    <w:rsid w:val="DBF9752C"/>
    <w:rsid w:val="DBFEE9B2"/>
    <w:rsid w:val="DD73702A"/>
    <w:rsid w:val="DDEE993E"/>
    <w:rsid w:val="DDFC42C2"/>
    <w:rsid w:val="DECFDE9F"/>
    <w:rsid w:val="DEF72424"/>
    <w:rsid w:val="DEFFC177"/>
    <w:rsid w:val="DF73D73F"/>
    <w:rsid w:val="DF7EAC4F"/>
    <w:rsid w:val="DF9C70F4"/>
    <w:rsid w:val="DFD5D7E8"/>
    <w:rsid w:val="DFE7A4FF"/>
    <w:rsid w:val="DFEE3358"/>
    <w:rsid w:val="DFEFFB5A"/>
    <w:rsid w:val="DFF5AC6E"/>
    <w:rsid w:val="DFFA3D0E"/>
    <w:rsid w:val="DFFB206D"/>
    <w:rsid w:val="DFFE6EDE"/>
    <w:rsid w:val="E2D90D95"/>
    <w:rsid w:val="E3DB50AE"/>
    <w:rsid w:val="E4FF1758"/>
    <w:rsid w:val="E77BD1CF"/>
    <w:rsid w:val="E77F0DA7"/>
    <w:rsid w:val="E77F67E7"/>
    <w:rsid w:val="E7AD8275"/>
    <w:rsid w:val="E87E8EBB"/>
    <w:rsid w:val="E8AF04AC"/>
    <w:rsid w:val="E94F3465"/>
    <w:rsid w:val="E9FF0868"/>
    <w:rsid w:val="EA7FBD48"/>
    <w:rsid w:val="EB2A3D71"/>
    <w:rsid w:val="EB758F6B"/>
    <w:rsid w:val="EBEFC1F1"/>
    <w:rsid w:val="EBF971F6"/>
    <w:rsid w:val="EBFED7DC"/>
    <w:rsid w:val="EBFEEE47"/>
    <w:rsid w:val="ECDF3AC5"/>
    <w:rsid w:val="EDBDF1AD"/>
    <w:rsid w:val="EDBF9F75"/>
    <w:rsid w:val="EDF3E961"/>
    <w:rsid w:val="EDFE5068"/>
    <w:rsid w:val="EEFFAAA6"/>
    <w:rsid w:val="EF2FB8F4"/>
    <w:rsid w:val="EF6F03BE"/>
    <w:rsid w:val="EF736FD3"/>
    <w:rsid w:val="EF7713BC"/>
    <w:rsid w:val="EF7F417A"/>
    <w:rsid w:val="EF973AE5"/>
    <w:rsid w:val="EFBB9AC4"/>
    <w:rsid w:val="EFBFD9FA"/>
    <w:rsid w:val="EFDED487"/>
    <w:rsid w:val="EFDF5938"/>
    <w:rsid w:val="EFEE37B2"/>
    <w:rsid w:val="EFF3930B"/>
    <w:rsid w:val="EFFF8823"/>
    <w:rsid w:val="EFFF9230"/>
    <w:rsid w:val="F0BDD70E"/>
    <w:rsid w:val="F125DE8B"/>
    <w:rsid w:val="F1F75DE7"/>
    <w:rsid w:val="F1F7633B"/>
    <w:rsid w:val="F377B58F"/>
    <w:rsid w:val="F3FF26B7"/>
    <w:rsid w:val="F46F142C"/>
    <w:rsid w:val="F4AACC31"/>
    <w:rsid w:val="F4EFDCE7"/>
    <w:rsid w:val="F5792B4C"/>
    <w:rsid w:val="F5BB0229"/>
    <w:rsid w:val="F67E92EC"/>
    <w:rsid w:val="F6BF70A2"/>
    <w:rsid w:val="F6DF725F"/>
    <w:rsid w:val="F6EB27AD"/>
    <w:rsid w:val="F6EF7C68"/>
    <w:rsid w:val="F6FE8EEE"/>
    <w:rsid w:val="F71E1EE6"/>
    <w:rsid w:val="F7477B11"/>
    <w:rsid w:val="F74E4492"/>
    <w:rsid w:val="F77561BD"/>
    <w:rsid w:val="F77F8755"/>
    <w:rsid w:val="F78A6372"/>
    <w:rsid w:val="F79F7369"/>
    <w:rsid w:val="F7AFDB1F"/>
    <w:rsid w:val="F7BB5392"/>
    <w:rsid w:val="F7E71663"/>
    <w:rsid w:val="F7E76B97"/>
    <w:rsid w:val="F7FAC562"/>
    <w:rsid w:val="F7FF34D6"/>
    <w:rsid w:val="F7FF5358"/>
    <w:rsid w:val="F7FF8628"/>
    <w:rsid w:val="F7FFF0A5"/>
    <w:rsid w:val="F87F9F0B"/>
    <w:rsid w:val="F8CE78E3"/>
    <w:rsid w:val="F8D5AA1E"/>
    <w:rsid w:val="F8FE844D"/>
    <w:rsid w:val="F9DB253D"/>
    <w:rsid w:val="F9FEFD22"/>
    <w:rsid w:val="F9FF2AE7"/>
    <w:rsid w:val="FAE4446B"/>
    <w:rsid w:val="FAF5A80D"/>
    <w:rsid w:val="FAFF0FB3"/>
    <w:rsid w:val="FB616C94"/>
    <w:rsid w:val="FB6F6938"/>
    <w:rsid w:val="FBAA4FAC"/>
    <w:rsid w:val="FBBC5073"/>
    <w:rsid w:val="FBDB4B00"/>
    <w:rsid w:val="FBDEB54D"/>
    <w:rsid w:val="FBF59216"/>
    <w:rsid w:val="FBFBDE1A"/>
    <w:rsid w:val="FBFC5C9E"/>
    <w:rsid w:val="FBFE20BF"/>
    <w:rsid w:val="FCBDC3D4"/>
    <w:rsid w:val="FCCEB26F"/>
    <w:rsid w:val="FD256DFF"/>
    <w:rsid w:val="FD579CCF"/>
    <w:rsid w:val="FD5EFC4F"/>
    <w:rsid w:val="FDDF02A6"/>
    <w:rsid w:val="FDECB3D5"/>
    <w:rsid w:val="FDF752B7"/>
    <w:rsid w:val="FDFEC8E7"/>
    <w:rsid w:val="FE3E4B2E"/>
    <w:rsid w:val="FE7571C7"/>
    <w:rsid w:val="FE7DE30A"/>
    <w:rsid w:val="FE7FF568"/>
    <w:rsid w:val="FE857F65"/>
    <w:rsid w:val="FE8F4C0B"/>
    <w:rsid w:val="FE9F6BE9"/>
    <w:rsid w:val="FEAF20DA"/>
    <w:rsid w:val="FEC2BA8D"/>
    <w:rsid w:val="FED57DEF"/>
    <w:rsid w:val="FEDE59BE"/>
    <w:rsid w:val="FEEB2F13"/>
    <w:rsid w:val="FEEF0BF7"/>
    <w:rsid w:val="FEFB7C3E"/>
    <w:rsid w:val="FEFBBA43"/>
    <w:rsid w:val="FEFDE3EF"/>
    <w:rsid w:val="FEFE509D"/>
    <w:rsid w:val="FF5A8EE6"/>
    <w:rsid w:val="FF5FEE1A"/>
    <w:rsid w:val="FF671A96"/>
    <w:rsid w:val="FF7D4E69"/>
    <w:rsid w:val="FF7E6764"/>
    <w:rsid w:val="FF7F08F8"/>
    <w:rsid w:val="FF7F9459"/>
    <w:rsid w:val="FF81D7C1"/>
    <w:rsid w:val="FF9B8F8E"/>
    <w:rsid w:val="FFB77DCB"/>
    <w:rsid w:val="FFBA2DFF"/>
    <w:rsid w:val="FFBDD979"/>
    <w:rsid w:val="FFBF7D28"/>
    <w:rsid w:val="FFBF8653"/>
    <w:rsid w:val="FFC7EFF9"/>
    <w:rsid w:val="FFCBA83E"/>
    <w:rsid w:val="FFCDF714"/>
    <w:rsid w:val="FFDDA63F"/>
    <w:rsid w:val="FFDF234D"/>
    <w:rsid w:val="FFE7C6D1"/>
    <w:rsid w:val="FFECFFB8"/>
    <w:rsid w:val="FFEE43F2"/>
    <w:rsid w:val="FFEFC708"/>
    <w:rsid w:val="FFEFEEDF"/>
    <w:rsid w:val="FFF72AE0"/>
    <w:rsid w:val="FFF95B43"/>
    <w:rsid w:val="FFFB0B92"/>
    <w:rsid w:val="FFFB0BE0"/>
    <w:rsid w:val="FFFBFACD"/>
    <w:rsid w:val="FFFC9D8A"/>
    <w:rsid w:val="FFFD111D"/>
    <w:rsid w:val="FFFE8C5F"/>
    <w:rsid w:val="FFFEFEA4"/>
    <w:rsid w:val="FFFF50AC"/>
    <w:rsid w:val="FFFF5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9"/>
    <w:unhideWhenUsed/>
    <w:qFormat/>
    <w:uiPriority w:val="0"/>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unhideWhenUsed/>
    <w:qFormat/>
    <w:uiPriority w:val="9"/>
    <w:pPr>
      <w:spacing w:before="100" w:beforeAutospacing="1" w:after="100" w:afterAutospacing="1"/>
      <w:jc w:val="left"/>
      <w:outlineLvl w:val="2"/>
    </w:pPr>
    <w:rPr>
      <w:rFonts w:hint="eastAsia" w:ascii="宋体" w:hAnsi="宋体"/>
      <w:b/>
      <w:bCs/>
      <w:kern w:val="0"/>
      <w:sz w:val="27"/>
      <w:szCs w:val="27"/>
    </w:rPr>
  </w:style>
  <w:style w:type="paragraph" w:styleId="4">
    <w:name w:val="heading 4"/>
    <w:basedOn w:val="1"/>
    <w:next w:val="1"/>
    <w:semiHidden/>
    <w:unhideWhenUsed/>
    <w:qFormat/>
    <w:uiPriority w:val="9"/>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sz w:val="20"/>
      <w:szCs w:val="20"/>
    </w:rPr>
  </w:style>
  <w:style w:type="paragraph" w:styleId="6">
    <w:name w:val="annotation text"/>
    <w:basedOn w:val="1"/>
    <w:link w:val="31"/>
    <w:unhideWhenUsed/>
    <w:qFormat/>
    <w:uiPriority w:val="0"/>
    <w:pPr>
      <w:jc w:val="left"/>
    </w:pPr>
  </w:style>
  <w:style w:type="paragraph" w:styleId="7">
    <w:name w:val="Balloon Text"/>
    <w:basedOn w:val="1"/>
    <w:link w:val="20"/>
    <w:unhideWhenUsed/>
    <w:qFormat/>
    <w:uiPriority w:val="99"/>
    <w:rPr>
      <w:kern w:val="0"/>
      <w:sz w:val="18"/>
      <w:szCs w:val="18"/>
    </w:rPr>
  </w:style>
  <w:style w:type="paragraph" w:styleId="8">
    <w:name w:val="footer"/>
    <w:basedOn w:val="1"/>
    <w:link w:val="21"/>
    <w:qFormat/>
    <w:uiPriority w:val="99"/>
    <w:pPr>
      <w:tabs>
        <w:tab w:val="center" w:pos="4153"/>
        <w:tab w:val="right" w:pos="8306"/>
      </w:tabs>
      <w:wordWrap w:val="0"/>
      <w:snapToGrid w:val="0"/>
      <w:ind w:right="83"/>
      <w:jc w:val="right"/>
    </w:pPr>
    <w:rPr>
      <w:kern w:val="0"/>
      <w:sz w:val="28"/>
      <w:szCs w:val="2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rPr>
      <w:sz w:val="24"/>
    </w:rPr>
  </w:style>
  <w:style w:type="paragraph" w:styleId="11">
    <w:name w:val="annotation subject"/>
    <w:basedOn w:val="6"/>
    <w:next w:val="6"/>
    <w:link w:val="32"/>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page number"/>
    <w:basedOn w:val="14"/>
    <w:qFormat/>
    <w:uiPriority w:val="0"/>
  </w:style>
  <w:style w:type="character" w:styleId="17">
    <w:name w:val="annotation reference"/>
    <w:unhideWhenUsed/>
    <w:qFormat/>
    <w:uiPriority w:val="0"/>
    <w:rPr>
      <w:sz w:val="21"/>
      <w:szCs w:val="21"/>
    </w:rPr>
  </w:style>
  <w:style w:type="paragraph" w:styleId="18">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19">
    <w:name w:val="标题 2 字符"/>
    <w:link w:val="2"/>
    <w:semiHidden/>
    <w:qFormat/>
    <w:uiPriority w:val="0"/>
    <w:rPr>
      <w:rFonts w:ascii="Cambria" w:hAnsi="Cambria" w:eastAsia="宋体" w:cs="Times New Roman"/>
      <w:b/>
      <w:bCs/>
      <w:sz w:val="32"/>
      <w:szCs w:val="32"/>
    </w:rPr>
  </w:style>
  <w:style w:type="character" w:customStyle="1" w:styleId="20">
    <w:name w:val="批注框文本 字符"/>
    <w:link w:val="7"/>
    <w:semiHidden/>
    <w:qFormat/>
    <w:uiPriority w:val="99"/>
    <w:rPr>
      <w:rFonts w:ascii="Times New Roman" w:hAnsi="Times New Roman" w:eastAsia="宋体" w:cs="Times New Roman"/>
      <w:sz w:val="18"/>
      <w:szCs w:val="18"/>
    </w:rPr>
  </w:style>
  <w:style w:type="character" w:customStyle="1" w:styleId="21">
    <w:name w:val="页脚 字符"/>
    <w:link w:val="8"/>
    <w:qFormat/>
    <w:uiPriority w:val="99"/>
    <w:rPr>
      <w:sz w:val="28"/>
      <w:szCs w:val="28"/>
    </w:rPr>
  </w:style>
  <w:style w:type="character" w:customStyle="1" w:styleId="22">
    <w:name w:val="页眉 字符"/>
    <w:link w:val="9"/>
    <w:qFormat/>
    <w:uiPriority w:val="99"/>
    <w:rPr>
      <w:rFonts w:ascii="Times New Roman" w:hAnsi="Times New Roman"/>
      <w:kern w:val="2"/>
      <w:sz w:val="18"/>
      <w:szCs w:val="18"/>
    </w:rPr>
  </w:style>
  <w:style w:type="character" w:customStyle="1" w:styleId="23">
    <w:name w:val="f101"/>
    <w:qFormat/>
    <w:uiPriority w:val="0"/>
    <w:rPr>
      <w:spacing w:val="500"/>
      <w:sz w:val="24"/>
      <w:szCs w:val="24"/>
    </w:rPr>
  </w:style>
  <w:style w:type="paragraph" w:customStyle="1" w:styleId="24">
    <w:name w:val="王奕，内文"/>
    <w:basedOn w:val="10"/>
    <w:link w:val="25"/>
    <w:qFormat/>
    <w:uiPriority w:val="0"/>
    <w:pPr>
      <w:widowControl/>
      <w:spacing w:line="360" w:lineRule="auto"/>
    </w:pPr>
    <w:rPr>
      <w:color w:val="000000"/>
      <w:kern w:val="0"/>
    </w:rPr>
  </w:style>
  <w:style w:type="character" w:customStyle="1" w:styleId="25">
    <w:name w:val="王奕，内文 Char"/>
    <w:link w:val="24"/>
    <w:qFormat/>
    <w:uiPriority w:val="0"/>
    <w:rPr>
      <w:rFonts w:ascii="Times New Roman" w:hAnsi="Times New Roman" w:eastAsia="宋体" w:cs="MS Shell Dlg"/>
      <w:color w:val="000000"/>
      <w:kern w:val="0"/>
      <w:sz w:val="24"/>
      <w:szCs w:val="24"/>
    </w:rPr>
  </w:style>
  <w:style w:type="paragraph" w:customStyle="1" w:styleId="26">
    <w:name w:val="王奕改内文"/>
    <w:basedOn w:val="24"/>
    <w:link w:val="27"/>
    <w:qFormat/>
    <w:uiPriority w:val="0"/>
    <w:pPr>
      <w:ind w:firstLine="200" w:firstLineChars="200"/>
    </w:pPr>
    <w:rPr>
      <w:rFonts w:ascii="宋体" w:hAnsi="宋体"/>
      <w:spacing w:val="-4"/>
    </w:rPr>
  </w:style>
  <w:style w:type="character" w:customStyle="1" w:styleId="27">
    <w:name w:val="王奕改内文 Char"/>
    <w:link w:val="26"/>
    <w:qFormat/>
    <w:uiPriority w:val="0"/>
    <w:rPr>
      <w:rFonts w:ascii="宋体" w:hAnsi="宋体" w:eastAsia="宋体" w:cs="MS Shell Dlg"/>
      <w:color w:val="000000"/>
      <w:spacing w:val="-4"/>
      <w:kern w:val="0"/>
      <w:sz w:val="24"/>
      <w:szCs w:val="24"/>
    </w:rPr>
  </w:style>
  <w:style w:type="paragraph" w:customStyle="1" w:styleId="28">
    <w:name w:val="王奕，三级标题"/>
    <w:basedOn w:val="24"/>
    <w:link w:val="29"/>
    <w:qFormat/>
    <w:uiPriority w:val="0"/>
    <w:pPr>
      <w:ind w:firstLine="300" w:firstLineChars="300"/>
    </w:pPr>
    <w:rPr>
      <w:b/>
      <w:sz w:val="28"/>
      <w:szCs w:val="28"/>
    </w:rPr>
  </w:style>
  <w:style w:type="character" w:customStyle="1" w:styleId="29">
    <w:name w:val="王奕，三级标题 Char"/>
    <w:link w:val="28"/>
    <w:qFormat/>
    <w:uiPriority w:val="0"/>
    <w:rPr>
      <w:rFonts w:ascii="Times New Roman" w:hAnsi="Times New Roman" w:eastAsia="宋体" w:cs="MS Shell Dlg"/>
      <w:b/>
      <w:color w:val="000000"/>
      <w:kern w:val="0"/>
      <w:sz w:val="28"/>
      <w:szCs w:val="28"/>
    </w:rPr>
  </w:style>
  <w:style w:type="paragraph" w:customStyle="1" w:styleId="30">
    <w:name w:val="列出段落2"/>
    <w:basedOn w:val="1"/>
    <w:qFormat/>
    <w:uiPriority w:val="99"/>
    <w:pPr>
      <w:ind w:firstLine="420" w:firstLineChars="200"/>
    </w:pPr>
    <w:rPr>
      <w:rFonts w:ascii="Calibri" w:hAnsi="Calibri"/>
      <w:szCs w:val="22"/>
    </w:rPr>
  </w:style>
  <w:style w:type="character" w:customStyle="1" w:styleId="31">
    <w:name w:val="批注文字 字符"/>
    <w:basedOn w:val="14"/>
    <w:link w:val="6"/>
    <w:qFormat/>
    <w:uiPriority w:val="0"/>
    <w:rPr>
      <w:kern w:val="2"/>
      <w:sz w:val="21"/>
      <w:szCs w:val="24"/>
    </w:rPr>
  </w:style>
  <w:style w:type="character" w:customStyle="1" w:styleId="32">
    <w:name w:val="批注主题 字符"/>
    <w:basedOn w:val="31"/>
    <w:link w:val="11"/>
    <w:semiHidden/>
    <w:qFormat/>
    <w:uiPriority w:val="99"/>
    <w:rPr>
      <w:b/>
      <w:bCs/>
      <w:kern w:val="2"/>
      <w:sz w:val="21"/>
      <w:szCs w:val="24"/>
    </w:rPr>
  </w:style>
  <w:style w:type="paragraph" w:customStyle="1" w:styleId="33">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3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28</Pages>
  <Words>4026</Words>
  <Characters>4101</Characters>
  <Lines>105</Lines>
  <Paragraphs>29</Paragraphs>
  <TotalTime>8</TotalTime>
  <ScaleCrop>false</ScaleCrop>
  <LinksUpToDate>false</LinksUpToDate>
  <CharactersWithSpaces>4114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2026-07-05T08:52:00Z</dcterms:created>
  <dc:creator>孙旭颖</dc:creator>
  <cp:lastModifiedBy>凌波</cp:lastModifiedBy>
  <cp:lastPrinted>2016-02-17T09:53:00Z</cp:lastPrinted>
  <dcterms:modified xsi:type="dcterms:W3CDTF">2026-07-23T09:27:14Z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8A5D1E5784D64F619BAC20308EAB62F5_13</vt:lpwstr>
  </property>
  <property fmtid="{D5CDD505-2E9C-101B-9397-08002B2CF9AE}" pid="4" name="_IPGFID">
    <vt:lpwstr>[DocID]=AF725E38-766A-43A1-88BB-50C5115F1156</vt:lpwstr>
  </property>
  <property fmtid="{D5CDD505-2E9C-101B-9397-08002B2CF9AE}" pid="5" name="_IPGFLOW_P-84F2_E-1_FP-1_SP-1_CV-F8914A80_CN-BF75BF3C">
    <vt:lpwstr>Vxd+ozZFOH8vVZPM9KQ+jp3NBFqeicLc0+Uci9Xc95/JVLqE8tywVwhotdbi6j6wWIdYVOZP0AhOy6BJfgUMl2sEtuXLBQOAEk/yNM1aGlsqBteEmGkanzwHEI3HVG3/cBI8sZp89a4Hzg3/MaRoMcdhKTjSEUnkjcy+EdpBvH6fLLwAkIANJnAjGUje2x/BZmWvW3GPgElM26kJRTR2167NUaPY7gNQ8RhhDsuFoEur+iHz6Pf6w9OOWgA2UwW</vt:lpwstr>
  </property>
  <property fmtid="{D5CDD505-2E9C-101B-9397-08002B2CF9AE}" pid="6" name="_IPGFLOW_P-84F2_E-1_FP-1_SP-2_CV-87EDDD1A_CN-9BCB1A28">
    <vt:lpwstr>4QYxE7dxJyyHUUXuTq1Qvhln0rJsnFsGlYknqn7xtJYrTHx2sCGOxZAI0MjketPPiLGD71rgpJBIq8PGnLOooCbchFf4totNnIkFKgrlUYjDHDqxSFz9wjzHWoHBuErMtHuq95ZLoJrgQO1DibXjYjlUwQidK2gf+nbNAOEigAP91B6L7D0DyXjZ866A1e7IdP1etKSOOheh+qbpTYv5Q8A==</vt:lpwstr>
  </property>
  <property fmtid="{D5CDD505-2E9C-101B-9397-08002B2CF9AE}" pid="7" name="_IPGFLOW_P-84F2_E-0_FP-1_CV-ACF98C78_CN-AC5ABAB4">
    <vt:lpwstr>DPSPMK|3|472|2|0</vt:lpwstr>
  </property>
  <property fmtid="{D5CDD505-2E9C-101B-9397-08002B2CF9AE}" pid="8" name="_IPGFLOW_P-84F2_E-0_CV-8A14B2B5_CN-A317AB21">
    <vt:lpwstr>DPFPMK|3|50|2|0</vt:lpwstr>
  </property>
  <property fmtid="{D5CDD505-2E9C-101B-9397-08002B2CF9AE}" pid="9" name="_IPGFLOW_P-84F2_E-1_FP-2_SP-1_CV-4F069495_CN-5BDF65B5">
    <vt:lpwstr>Vxd+ozZFOH8vVZPM9KQ+jsBuc2QtCO7IaI3iJbWqdB2GhSfmaGIDy7DRu8ruR3+ZsPbN4WOe51BCe41OY0WSBcF6k1rw68HTLwM+yUBckc4BgmXv2+3wgIieRtPxLzuO+AqAbvVaKun6Cfd+sNK4RYnqduhr8TBZ3SWhIs7ukP7oOE4EEQaLrClh/lHh/WBhY9HYUlFaY1g0IFo5vcd5DjyPZzxZoUrRWNK3JxQLlQgYlGI8VlTxcN7BYo9AGRJ</vt:lpwstr>
  </property>
  <property fmtid="{D5CDD505-2E9C-101B-9397-08002B2CF9AE}" pid="10" name="_IPGFLOW_P-84F2_E-1_FP-2_SP-2_CV-C13DE292_CN-D7C94863">
    <vt:lpwstr>leWgdmdtHACitBqr5gyNJXqImJKCewutKzpWvhUXgCn3k/uV3PdU45i7AOM2oHtsq6eNd8tWzfAIYfWwohCNPZlcGo2ywg0dWUco4p+rc+FxOqH4No/pn+259O1IsVjWYo2LcalFtqSiGr9oxz0EEkQ==</vt:lpwstr>
  </property>
  <property fmtid="{D5CDD505-2E9C-101B-9397-08002B2CF9AE}" pid="11" name="_IPGFLOW_P-84F2_E-0_FP-2_CV-FB4CA461_CN-6FE49855">
    <vt:lpwstr>DPSPMK|3|408|2|0</vt:lpwstr>
  </property>
  <property fmtid="{D5CDD505-2E9C-101B-9397-08002B2CF9AE}" pid="12" name="_IPGLAB_P-84F2_E-1_CV-8D6DD066_CN-F8C7B5C1">
    <vt:lpwstr>RWt0LccSHS1QTsYJccCXAsOzDCqTw0snRtsvCvzPpiabFhQzRIoNWT5vtAdbRHV6B7qWEWkz/jaid1IMiiAYPw==</vt:lpwstr>
  </property>
  <property fmtid="{D5CDD505-2E9C-101B-9397-08002B2CF9AE}" pid="13" name="KSOTemplateDocerSaveRecord">
    <vt:lpwstr>eyJoZGlkIjoiNzlmMzRmYjdmNzYxY2M3NTJiMjhiNDBmMDUwMmQ2NzkiLCJ1c2VySWQiOiIzODk4MzIxOTIifQ==</vt:lpwstr>
  </property>
</Properties>
</file>