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5C327">
      <w:pPr>
        <w:spacing w:line="520" w:lineRule="exact"/>
        <w:jc w:val="center"/>
        <w:rPr>
          <w:rFonts w:hint="eastAsia" w:ascii="Times New Roman" w:hAnsi="Times New Roman" w:eastAsia="方正小标宋简体" w:cs="Times New Roman"/>
          <w:color w:val="000000"/>
          <w:sz w:val="44"/>
          <w:szCs w:val="44"/>
          <w:highlight w:val="none"/>
        </w:rPr>
      </w:pPr>
      <w:bookmarkStart w:id="2" w:name="_GoBack"/>
      <w:bookmarkEnd w:id="2"/>
      <w:r>
        <w:rPr>
          <w:rFonts w:hint="eastAsia" w:ascii="Times New Roman" w:hAnsi="Times New Roman" w:eastAsia="方正小标宋简体" w:cs="Times New Roman"/>
          <w:color w:val="000000"/>
          <w:sz w:val="44"/>
          <w:szCs w:val="44"/>
          <w:highlight w:val="none"/>
        </w:rPr>
        <w:t>幽门螺杆菌分析仪注册审查指导原则</w:t>
      </w:r>
    </w:p>
    <w:p w14:paraId="77DCDCDF">
      <w:pPr>
        <w:spacing w:line="520" w:lineRule="exact"/>
        <w:jc w:val="center"/>
        <w:rPr>
          <w:rFonts w:hint="eastAsia" w:ascii="Times New Roman" w:hAnsi="Times New Roman" w:eastAsia="方正小标宋简体" w:cs="Times New Roman"/>
          <w:color w:val="000000"/>
          <w:sz w:val="44"/>
          <w:szCs w:val="44"/>
          <w:highlight w:val="none"/>
          <w:lang w:eastAsia="zh-CN"/>
        </w:rPr>
      </w:pPr>
      <w:r>
        <w:rPr>
          <w:rFonts w:hint="eastAsia" w:ascii="Times New Roman" w:hAnsi="Times New Roman" w:eastAsia="方正小标宋简体" w:cs="Times New Roman"/>
          <w:color w:val="000000"/>
          <w:sz w:val="44"/>
          <w:szCs w:val="44"/>
          <w:highlight w:val="none"/>
          <w:lang w:eastAsia="zh-CN"/>
        </w:rPr>
        <w:t>（征求意见稿）</w:t>
      </w:r>
    </w:p>
    <w:p w14:paraId="27B0EB5A">
      <w:pPr>
        <w:spacing w:line="520" w:lineRule="exact"/>
        <w:jc w:val="center"/>
        <w:rPr>
          <w:rFonts w:ascii="Times New Roman" w:hAnsi="Times New Roman" w:eastAsia="方正小标宋简体" w:cs="Times New Roman"/>
          <w:color w:val="000000"/>
          <w:sz w:val="32"/>
          <w:szCs w:val="44"/>
          <w:highlight w:val="none"/>
        </w:rPr>
      </w:pPr>
    </w:p>
    <w:p w14:paraId="719418A8">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本指导原则旨在指导注册申请人对幽门螺杆菌分析仪注册申报资料的准备及撰写，同时也为技术审评部门审评注册申报资料提供参考。</w:t>
      </w:r>
    </w:p>
    <w:p w14:paraId="4A78F3C9">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本指导原则是对幽门螺杆菌分析仪的一般要求，申请人应依据产品的具体特性确定其中的内容是否适用。若不适用，需具体阐述其理由及相应的科学依据，并依据具体的产品特性对注册申报资料的内容进行充实和细化。</w:t>
      </w:r>
    </w:p>
    <w:p w14:paraId="5C0B4B28">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本指导原则是供注册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14:paraId="4EA2E51A">
      <w:pPr>
        <w:spacing w:line="520" w:lineRule="exact"/>
        <w:ind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本指导原则是在现行法规和标准体系以及当前认知水平下制定的，随着法规和标准的不断完善，以及科学技术的不断发展，相关内容也将适时进行调整。</w:t>
      </w:r>
    </w:p>
    <w:p w14:paraId="54B751B7">
      <w:pPr>
        <w:spacing w:line="520" w:lineRule="exact"/>
        <w:ind w:right="-67" w:rightChars="-32" w:firstLine="640" w:firstLineChars="200"/>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一、适用范围</w:t>
      </w:r>
    </w:p>
    <w:p w14:paraId="02CD5CE1">
      <w:pPr>
        <w:spacing w:line="520" w:lineRule="exact"/>
        <w:ind w:right="-67" w:rightChars="-32"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本</w:t>
      </w:r>
      <w:r>
        <w:rPr>
          <w:rFonts w:hint="eastAsia" w:ascii="Times New Roman" w:hAnsi="Times New Roman" w:eastAsia="仿宋_GB2312" w:cs="Times New Roman"/>
          <w:color w:val="000000"/>
          <w:sz w:val="32"/>
          <w:szCs w:val="32"/>
          <w:highlight w:val="none"/>
          <w:lang w:eastAsia="zh-CN"/>
        </w:rPr>
        <w:t>指导原则</w:t>
      </w:r>
      <w:r>
        <w:rPr>
          <w:rFonts w:ascii="Times New Roman" w:hAnsi="Times New Roman" w:eastAsia="仿宋_GB2312" w:cs="Times New Roman"/>
          <w:color w:val="000000"/>
          <w:sz w:val="32"/>
          <w:szCs w:val="32"/>
          <w:highlight w:val="none"/>
        </w:rPr>
        <w:t>适用于</w:t>
      </w:r>
      <w:r>
        <w:rPr>
          <w:rFonts w:hint="eastAsia" w:ascii="Times New Roman" w:hAnsi="Times New Roman" w:eastAsia="仿宋_GB2312" w:cs="Times New Roman"/>
          <w:color w:val="000000"/>
          <w:sz w:val="32"/>
          <w:szCs w:val="32"/>
          <w:highlight w:val="none"/>
        </w:rPr>
        <w:t>采用</w:t>
      </w:r>
      <w:r>
        <w:rPr>
          <w:rFonts w:hint="eastAsia" w:ascii="Times New Roman" w:hAnsi="Times New Roman" w:eastAsia="仿宋_GB2312" w:cs="Times New Roman"/>
          <w:color w:val="000000"/>
          <w:sz w:val="32"/>
          <w:szCs w:val="32"/>
          <w:highlight w:val="none"/>
          <w:vertAlign w:val="superscript"/>
        </w:rPr>
        <w:t>13</w:t>
      </w:r>
      <w:r>
        <w:rPr>
          <w:rFonts w:hint="eastAsia" w:ascii="Times New Roman" w:hAnsi="Times New Roman" w:eastAsia="仿宋_GB2312" w:cs="Times New Roman"/>
          <w:color w:val="000000"/>
          <w:sz w:val="32"/>
          <w:szCs w:val="32"/>
          <w:highlight w:val="none"/>
        </w:rPr>
        <w:t>C尿素呼气试验方法检测幽门螺杆菌的幽门螺杆菌分析仪产品注册</w:t>
      </w:r>
      <w:r>
        <w:rPr>
          <w:rFonts w:hint="eastAsia" w:ascii="Times New Roman" w:hAnsi="Times New Roman" w:eastAsia="仿宋_GB2312" w:cs="Times New Roman"/>
          <w:color w:val="000000"/>
          <w:sz w:val="32"/>
          <w:szCs w:val="32"/>
          <w:highlight w:val="none"/>
          <w:lang w:eastAsia="zh-CN"/>
        </w:rPr>
        <w:t>，临床上用于诊断由于幽门螺杆菌感染引起的疾病</w:t>
      </w:r>
      <w:r>
        <w:rPr>
          <w:rFonts w:ascii="Times New Roman" w:hAnsi="Times New Roman" w:eastAsia="仿宋_GB2312" w:cs="Times New Roman"/>
          <w:color w:val="000000"/>
          <w:sz w:val="32"/>
          <w:szCs w:val="32"/>
          <w:highlight w:val="none"/>
        </w:rPr>
        <w:t>。按现行《医疗器械分类目录》，</w:t>
      </w:r>
      <w:r>
        <w:rPr>
          <w:rFonts w:hint="eastAsia" w:ascii="Times New Roman" w:hAnsi="Times New Roman" w:eastAsia="仿宋_GB2312" w:cs="Times New Roman"/>
          <w:color w:val="000000"/>
          <w:sz w:val="32"/>
          <w:szCs w:val="32"/>
          <w:highlight w:val="none"/>
          <w:lang w:eastAsia="zh-CN"/>
        </w:rPr>
        <w:t>该类</w:t>
      </w:r>
      <w:r>
        <w:rPr>
          <w:rFonts w:ascii="Times New Roman" w:hAnsi="Times New Roman" w:eastAsia="仿宋_GB2312" w:cs="Times New Roman"/>
          <w:color w:val="000000"/>
          <w:sz w:val="32"/>
          <w:szCs w:val="32"/>
          <w:highlight w:val="none"/>
        </w:rPr>
        <w:t>产品分类编码为</w:t>
      </w:r>
      <w:r>
        <w:rPr>
          <w:rFonts w:hint="eastAsia" w:ascii="Times New Roman" w:hAnsi="Times New Roman" w:eastAsia="仿宋_GB2312" w:cs="Times New Roman"/>
          <w:color w:val="000000"/>
          <w:sz w:val="32"/>
          <w:szCs w:val="32"/>
          <w:highlight w:val="none"/>
        </w:rPr>
        <w:t>22-06-08</w:t>
      </w:r>
      <w:r>
        <w:rPr>
          <w:rFonts w:ascii="Times New Roman" w:hAnsi="Times New Roman" w:eastAsia="仿宋_GB2312" w:cs="Times New Roman"/>
          <w:color w:val="000000"/>
          <w:sz w:val="32"/>
          <w:szCs w:val="32"/>
          <w:highlight w:val="none"/>
        </w:rPr>
        <w:t>，管理类别为</w:t>
      </w:r>
      <w:r>
        <w:rPr>
          <w:rFonts w:hint="eastAsia" w:ascii="仿宋" w:hAnsi="仿宋" w:eastAsia="仿宋" w:cs="仿宋"/>
          <w:color w:val="000000"/>
          <w:sz w:val="32"/>
          <w:szCs w:val="32"/>
          <w:highlight w:val="none"/>
        </w:rPr>
        <w:t>Ⅱ</w:t>
      </w:r>
      <w:r>
        <w:rPr>
          <w:rFonts w:ascii="Times New Roman" w:hAnsi="Times New Roman" w:eastAsia="仿宋_GB2312" w:cs="Times New Roman"/>
          <w:color w:val="000000"/>
          <w:sz w:val="32"/>
          <w:szCs w:val="32"/>
          <w:highlight w:val="none"/>
        </w:rPr>
        <w:t>类。</w:t>
      </w:r>
    </w:p>
    <w:p w14:paraId="280B3161">
      <w:pPr>
        <w:spacing w:line="520" w:lineRule="exact"/>
        <w:ind w:right="-67" w:rightChars="-32"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本指导原则</w:t>
      </w:r>
      <w:r>
        <w:rPr>
          <w:rFonts w:hint="eastAsia" w:ascii="Times New Roman" w:hAnsi="Times New Roman" w:eastAsia="仿宋_GB2312" w:cs="Times New Roman"/>
          <w:color w:val="000000"/>
          <w:sz w:val="32"/>
          <w:szCs w:val="32"/>
          <w:highlight w:val="none"/>
          <w:lang w:val="en-US" w:eastAsia="zh-CN"/>
        </w:rPr>
        <w:t>不</w:t>
      </w:r>
      <w:r>
        <w:rPr>
          <w:rFonts w:hint="default" w:ascii="Times New Roman" w:hAnsi="Times New Roman" w:eastAsia="仿宋_GB2312" w:cs="Times New Roman"/>
          <w:color w:val="000000"/>
          <w:sz w:val="32"/>
          <w:szCs w:val="32"/>
          <w:highlight w:val="none"/>
          <w:lang w:val="en-US" w:eastAsia="zh-CN"/>
        </w:rPr>
        <w:t>适用于采用</w:t>
      </w:r>
      <w:r>
        <w:rPr>
          <w:rFonts w:hint="eastAsia" w:ascii="Times New Roman" w:hAnsi="Times New Roman" w:eastAsia="仿宋_GB2312" w:cs="Times New Roman"/>
          <w:color w:val="000000"/>
          <w:sz w:val="32"/>
          <w:szCs w:val="32"/>
          <w:highlight w:val="none"/>
          <w:vertAlign w:val="superscript"/>
          <w:lang w:val="en-US" w:eastAsia="zh-CN"/>
        </w:rPr>
        <w:t>14</w:t>
      </w:r>
      <w:r>
        <w:rPr>
          <w:rFonts w:hint="default" w:ascii="Times New Roman" w:hAnsi="Times New Roman" w:eastAsia="仿宋_GB2312" w:cs="Times New Roman"/>
          <w:color w:val="000000"/>
          <w:sz w:val="32"/>
          <w:szCs w:val="32"/>
          <w:highlight w:val="none"/>
          <w:lang w:val="en-US" w:eastAsia="zh-CN"/>
        </w:rPr>
        <w:t>C尿素呼气试验方法检测幽门螺杆菌的</w:t>
      </w:r>
      <w:r>
        <w:rPr>
          <w:rFonts w:hint="eastAsia" w:ascii="Times New Roman" w:hAnsi="Times New Roman" w:eastAsia="仿宋_GB2312" w:cs="Times New Roman"/>
          <w:color w:val="000000"/>
          <w:sz w:val="32"/>
          <w:szCs w:val="32"/>
          <w:highlight w:val="none"/>
          <w:lang w:val="en-US" w:eastAsia="zh-CN"/>
        </w:rPr>
        <w:t>分析设备。</w:t>
      </w:r>
    </w:p>
    <w:p w14:paraId="62F9AC04">
      <w:pPr>
        <w:spacing w:line="520" w:lineRule="exact"/>
        <w:ind w:right="-67" w:rightChars="-32" w:firstLine="640" w:firstLineChars="200"/>
        <w:rPr>
          <w:rFonts w:ascii="Times New Roman" w:hAnsi="Times New Roman" w:eastAsia="楷体_GB2312" w:cs="Times New Roman"/>
          <w:color w:val="000000"/>
          <w:sz w:val="32"/>
          <w:szCs w:val="32"/>
          <w:highlight w:val="none"/>
        </w:rPr>
      </w:pPr>
      <w:r>
        <w:rPr>
          <w:rFonts w:ascii="Times New Roman" w:hAnsi="Times New Roman" w:eastAsia="黑体" w:cs="Times New Roman"/>
          <w:color w:val="000000"/>
          <w:sz w:val="32"/>
          <w:szCs w:val="32"/>
          <w:highlight w:val="none"/>
        </w:rPr>
        <w:t>二、注册审查要点</w:t>
      </w:r>
    </w:p>
    <w:p w14:paraId="3D3798D1">
      <w:pPr>
        <w:spacing w:line="520" w:lineRule="exact"/>
        <w:ind w:right="-67" w:rightChars="-32" w:firstLine="640" w:firstLineChars="200"/>
        <w:rPr>
          <w:rFonts w:ascii="Times New Roman" w:hAnsi="Times New Roman" w:eastAsia="楷体_GB2312" w:cs="Times New Roman"/>
          <w:color w:val="000000"/>
          <w:sz w:val="32"/>
          <w:szCs w:val="32"/>
          <w:highlight w:val="none"/>
        </w:rPr>
      </w:pPr>
      <w:r>
        <w:rPr>
          <w:rFonts w:ascii="Times New Roman" w:hAnsi="Times New Roman" w:eastAsia="楷体_GB2312" w:cs="Times New Roman"/>
          <w:color w:val="000000"/>
          <w:sz w:val="32"/>
          <w:szCs w:val="32"/>
          <w:highlight w:val="none"/>
        </w:rPr>
        <w:t>（一）监管信息</w:t>
      </w:r>
    </w:p>
    <w:p w14:paraId="6EB67DFB">
      <w:pPr>
        <w:spacing w:line="520" w:lineRule="exact"/>
        <w:ind w:right="-67" w:rightChars="-32"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明确申请表中产品名称、管理类别、分类编码、型号规格、产品组成等信息。</w:t>
      </w:r>
    </w:p>
    <w:p w14:paraId="3B960BB2">
      <w:pPr>
        <w:spacing w:line="520" w:lineRule="exact"/>
        <w:ind w:right="-67" w:rightChars="-32"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1.产品名称</w:t>
      </w:r>
    </w:p>
    <w:p w14:paraId="25B89387">
      <w:pPr>
        <w:spacing w:line="520" w:lineRule="exact"/>
        <w:ind w:right="-67" w:rightChars="-32"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产品命名需符合《医疗器械通用名称命名规则》</w:t>
      </w:r>
      <w:r>
        <w:rPr>
          <w:rFonts w:hint="eastAsia" w:ascii="Times New Roman" w:hAnsi="Times New Roman" w:eastAsia="仿宋_GB2312" w:cs="Times New Roman"/>
          <w:color w:val="000000"/>
          <w:sz w:val="32"/>
          <w:szCs w:val="32"/>
          <w:highlight w:val="none"/>
          <w:lang w:eastAsia="zh-CN"/>
        </w:rPr>
        <w:t>《医疗器械通用名称命名指导原则》《临床检验器械通用名称命名指导原则》</w:t>
      </w:r>
      <w:r>
        <w:rPr>
          <w:rFonts w:ascii="Times New Roman" w:hAnsi="Times New Roman" w:eastAsia="仿宋_GB2312" w:cs="Times New Roman"/>
          <w:color w:val="000000"/>
          <w:sz w:val="32"/>
          <w:szCs w:val="32"/>
          <w:highlight w:val="none"/>
        </w:rPr>
        <w:t>和国家标准、行业标准以及规范性文件中的通用</w:t>
      </w:r>
      <w:r>
        <w:rPr>
          <w:rFonts w:hint="eastAsia" w:ascii="Times New Roman" w:hAnsi="Times New Roman" w:eastAsia="仿宋_GB2312" w:cs="Times New Roman"/>
          <w:color w:val="000000"/>
          <w:sz w:val="32"/>
          <w:szCs w:val="32"/>
          <w:highlight w:val="none"/>
          <w:lang w:eastAsia="zh-CN"/>
        </w:rPr>
        <w:t>名称</w:t>
      </w:r>
      <w:r>
        <w:rPr>
          <w:rFonts w:ascii="Times New Roman" w:hAnsi="Times New Roman" w:eastAsia="仿宋_GB2312" w:cs="Times New Roman"/>
          <w:color w:val="000000"/>
          <w:sz w:val="32"/>
          <w:szCs w:val="32"/>
          <w:highlight w:val="none"/>
        </w:rPr>
        <w:t>命名要求。通常命</w:t>
      </w:r>
      <w:r>
        <w:rPr>
          <w:rFonts w:ascii="Times New Roman" w:hAnsi="Times New Roman" w:eastAsia="仿宋_GB2312" w:cs="Times New Roman"/>
          <w:color w:val="auto"/>
          <w:sz w:val="32"/>
          <w:szCs w:val="32"/>
          <w:highlight w:val="none"/>
        </w:rPr>
        <w:t>名为：</w:t>
      </w:r>
      <w:r>
        <w:rPr>
          <w:rFonts w:hint="eastAsia" w:ascii="Times New Roman" w:hAnsi="Times New Roman" w:eastAsia="仿宋_GB2312" w:cs="Times New Roman"/>
          <w:color w:val="auto"/>
          <w:sz w:val="32"/>
          <w:szCs w:val="32"/>
          <w:highlight w:val="none"/>
        </w:rPr>
        <w:t>幽门螺杆菌</w:t>
      </w:r>
      <w:r>
        <w:rPr>
          <w:rFonts w:hint="eastAsia" w:ascii="Times New Roman" w:hAnsi="Times New Roman" w:eastAsia="仿宋_GB2312" w:cs="Times New Roman"/>
          <w:color w:val="auto"/>
          <w:sz w:val="32"/>
          <w:szCs w:val="32"/>
          <w:highlight w:val="none"/>
          <w:lang w:eastAsia="zh-CN"/>
        </w:rPr>
        <w:t>分析</w:t>
      </w:r>
      <w:r>
        <w:rPr>
          <w:rFonts w:hint="eastAsia" w:ascii="Times New Roman" w:hAnsi="Times New Roman" w:eastAsia="仿宋_GB2312" w:cs="Times New Roman"/>
          <w:color w:val="auto"/>
          <w:sz w:val="32"/>
          <w:szCs w:val="32"/>
          <w:highlight w:val="none"/>
        </w:rPr>
        <w:t>仪</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000000"/>
          <w:sz w:val="32"/>
          <w:szCs w:val="32"/>
          <w:highlight w:val="none"/>
        </w:rPr>
        <w:t>碳13呼气分析仪</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碳13红外光谱仪、</w:t>
      </w:r>
      <w:r>
        <w:rPr>
          <w:rFonts w:hint="eastAsia" w:ascii="Times New Roman" w:hAnsi="Times New Roman" w:eastAsia="仿宋_GB2312" w:cs="Times New Roman"/>
          <w:color w:val="000000"/>
          <w:sz w:val="32"/>
          <w:szCs w:val="32"/>
          <w:highlight w:val="none"/>
          <w:lang w:eastAsia="zh-CN"/>
        </w:rPr>
        <w:t>呼气试验测试仪等</w:t>
      </w:r>
      <w:r>
        <w:rPr>
          <w:rFonts w:ascii="Times New Roman" w:hAnsi="Times New Roman" w:eastAsia="仿宋_GB2312" w:cs="Times New Roman"/>
          <w:color w:val="000000"/>
          <w:sz w:val="32"/>
          <w:szCs w:val="32"/>
          <w:highlight w:val="none"/>
        </w:rPr>
        <w:t>。</w:t>
      </w:r>
    </w:p>
    <w:p w14:paraId="7E69AAF8">
      <w:pPr>
        <w:spacing w:line="520" w:lineRule="exact"/>
        <w:ind w:right="-67" w:rightChars="-32"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2.分类编码</w:t>
      </w:r>
    </w:p>
    <w:p w14:paraId="4C623ECD">
      <w:pPr>
        <w:spacing w:line="520" w:lineRule="exact"/>
        <w:ind w:right="-67" w:rightChars="-32" w:firstLine="640" w:firstLineChars="200"/>
        <w:rPr>
          <w:rFonts w:hint="eastAsia" w:ascii="Times New Roman" w:hAnsi="Times New Roman" w:eastAsia="仿宋_GB2312" w:cs="Times New Roman"/>
          <w:color w:val="000000"/>
          <w:sz w:val="32"/>
          <w:szCs w:val="32"/>
          <w:highlight w:val="none"/>
          <w:lang w:eastAsia="zh-CN"/>
        </w:rPr>
      </w:pPr>
      <w:r>
        <w:rPr>
          <w:rFonts w:ascii="Times New Roman" w:hAnsi="Times New Roman" w:eastAsia="仿宋_GB2312" w:cs="Times New Roman"/>
          <w:color w:val="000000"/>
          <w:sz w:val="32"/>
          <w:szCs w:val="32"/>
          <w:highlight w:val="none"/>
        </w:rPr>
        <w:t>依据《医疗器械分类目录》，申报产品分类编码为</w:t>
      </w:r>
      <w:r>
        <w:rPr>
          <w:rFonts w:hint="eastAsia" w:ascii="Times New Roman" w:hAnsi="Times New Roman" w:eastAsia="仿宋_GB2312" w:cs="Times New Roman"/>
          <w:color w:val="000000"/>
          <w:sz w:val="32"/>
          <w:szCs w:val="32"/>
          <w:highlight w:val="none"/>
        </w:rPr>
        <w:t>22-06-08</w:t>
      </w:r>
      <w:r>
        <w:rPr>
          <w:rFonts w:hint="eastAsia" w:ascii="Times New Roman" w:hAnsi="Times New Roman" w:eastAsia="仿宋_GB2312" w:cs="Times New Roman"/>
          <w:color w:val="000000"/>
          <w:sz w:val="32"/>
          <w:szCs w:val="32"/>
          <w:highlight w:val="none"/>
          <w:lang w:eastAsia="zh-CN"/>
        </w:rPr>
        <w:t>。</w:t>
      </w:r>
    </w:p>
    <w:p w14:paraId="60EF1847">
      <w:pPr>
        <w:spacing w:line="520" w:lineRule="exact"/>
        <w:ind w:right="-67" w:rightChars="-32" w:firstLine="640" w:firstLineChars="200"/>
        <w:rPr>
          <w:rFonts w:hint="eastAsia" w:ascii="Times New Roman" w:hAnsi="Times New Roman" w:eastAsia="仿宋_GB2312" w:cs="Times New Roman"/>
          <w:color w:val="000000"/>
          <w:sz w:val="32"/>
          <w:szCs w:val="32"/>
          <w:highlight w:val="none"/>
          <w:lang w:eastAsia="zh-CN"/>
        </w:rPr>
      </w:pPr>
      <w:r>
        <w:rPr>
          <w:rFonts w:ascii="Times New Roman" w:hAnsi="Times New Roman" w:eastAsia="仿宋_GB2312" w:cs="Times New Roman"/>
          <w:color w:val="000000"/>
          <w:sz w:val="32"/>
          <w:szCs w:val="32"/>
          <w:highlight w:val="none"/>
        </w:rPr>
        <w:t>3.注册单元划分</w:t>
      </w:r>
    </w:p>
    <w:p w14:paraId="53A66271">
      <w:pPr>
        <w:spacing w:line="520" w:lineRule="exact"/>
        <w:ind w:right="-67" w:rightChars="-32" w:firstLine="640" w:firstLineChars="200"/>
        <w:rPr>
          <w:rFonts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eastAsia="zh-CN"/>
        </w:rPr>
        <w:t>注册</w:t>
      </w:r>
      <w:r>
        <w:rPr>
          <w:rFonts w:ascii="Times New Roman" w:hAnsi="Times New Roman" w:eastAsia="仿宋_GB2312" w:cs="Times New Roman"/>
          <w:color w:val="000000"/>
          <w:sz w:val="32"/>
          <w:szCs w:val="32"/>
          <w:highlight w:val="none"/>
        </w:rPr>
        <w:t>单元划分原则上以产品的技术原理、结构组成、性能指标和预期用途</w:t>
      </w:r>
      <w:r>
        <w:rPr>
          <w:rFonts w:hint="eastAsia" w:ascii="Times New Roman" w:hAnsi="Times New Roman" w:eastAsia="仿宋_GB2312" w:cs="Times New Roman"/>
          <w:color w:val="000000"/>
          <w:sz w:val="32"/>
          <w:szCs w:val="32"/>
          <w:highlight w:val="none"/>
          <w:lang w:eastAsia="zh-CN"/>
        </w:rPr>
        <w:t>作</w:t>
      </w:r>
      <w:r>
        <w:rPr>
          <w:rFonts w:ascii="Times New Roman" w:hAnsi="Times New Roman" w:eastAsia="仿宋_GB2312" w:cs="Times New Roman"/>
          <w:color w:val="000000"/>
          <w:sz w:val="32"/>
          <w:szCs w:val="32"/>
          <w:highlight w:val="none"/>
        </w:rPr>
        <w:t>为划分依据。</w:t>
      </w:r>
    </w:p>
    <w:p w14:paraId="20345BEC">
      <w:pPr>
        <w:spacing w:line="520" w:lineRule="exact"/>
        <w:ind w:right="-67" w:rightChars="-32"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000000"/>
          <w:sz w:val="32"/>
          <w:szCs w:val="32"/>
          <w:highlight w:val="none"/>
        </w:rPr>
        <w:t>如：</w:t>
      </w:r>
      <w:r>
        <w:rPr>
          <w:rFonts w:hint="eastAsia" w:ascii="Times New Roman" w:hAnsi="Times New Roman" w:eastAsia="仿宋_GB2312" w:cs="Times New Roman"/>
          <w:color w:val="auto"/>
          <w:sz w:val="32"/>
          <w:szCs w:val="32"/>
          <w:highlight w:val="none"/>
          <w:lang w:eastAsia="zh-CN"/>
        </w:rPr>
        <w:t>检测用光源不同（如红外光和激光）的幽门螺杆菌分析仪产品应划分为不同注册单元。</w:t>
      </w:r>
    </w:p>
    <w:p w14:paraId="65D4D5D6">
      <w:pPr>
        <w:spacing w:line="520" w:lineRule="exact"/>
        <w:ind w:right="-67" w:rightChars="-32" w:firstLine="640" w:firstLineChars="200"/>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检测通道数量不同的幽门螺杆菌分析仪产品可以划分为同一注册单元。</w:t>
      </w:r>
    </w:p>
    <w:p w14:paraId="2609AC59">
      <w:pPr>
        <w:spacing w:line="520" w:lineRule="exact"/>
        <w:ind w:right="-67" w:rightChars="-32" w:firstLine="640" w:firstLineChars="200"/>
        <w:rPr>
          <w:rFonts w:ascii="Times New Roman" w:hAnsi="Times New Roman" w:eastAsia="仿宋_GB2312" w:cs="Times New Roman"/>
          <w:color w:val="000000"/>
          <w:sz w:val="32"/>
          <w:szCs w:val="32"/>
          <w:highlight w:val="none"/>
        </w:rPr>
      </w:pPr>
      <w:r>
        <w:rPr>
          <w:rFonts w:ascii="Times New Roman" w:hAnsi="Times New Roman" w:eastAsia="楷体_GB2312" w:cs="Times New Roman"/>
          <w:color w:val="000000"/>
          <w:sz w:val="32"/>
          <w:szCs w:val="32"/>
          <w:highlight w:val="none"/>
        </w:rPr>
        <w:t>（二）综述资料</w:t>
      </w:r>
    </w:p>
    <w:p w14:paraId="02D57A20">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1.产品描述</w:t>
      </w:r>
    </w:p>
    <w:p w14:paraId="1EBF39F9">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1.1器械及操作原理描述</w:t>
      </w:r>
    </w:p>
    <w:p w14:paraId="3875FC3D">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应描述产品的工作原理、作用机理、使用方式和结构组成。</w:t>
      </w:r>
    </w:p>
    <w:p w14:paraId="7363AFE7">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1.1.1工作原理</w:t>
      </w:r>
    </w:p>
    <w:p w14:paraId="50C6F243">
      <w:pPr>
        <w:spacing w:line="520" w:lineRule="exact"/>
        <w:ind w:firstLine="636" w:firstLineChars="200"/>
        <w:rPr>
          <w:rFonts w:hint="eastAsia" w:ascii="Times New Roman" w:hAnsi="Times New Roman" w:eastAsia="仿宋_GB2312" w:cs="Times New Roman"/>
          <w:color w:val="000000"/>
          <w:spacing w:val="-1"/>
          <w:sz w:val="32"/>
          <w:szCs w:val="32"/>
          <w:highlight w:val="none"/>
          <w:lang w:eastAsia="zh-CN"/>
        </w:rPr>
      </w:pPr>
      <w:r>
        <w:rPr>
          <w:rFonts w:hint="eastAsia" w:ascii="Times New Roman" w:hAnsi="Times New Roman" w:eastAsia="仿宋_GB2312" w:cs="Times New Roman"/>
          <w:color w:val="000000"/>
          <w:spacing w:val="-1"/>
          <w:sz w:val="32"/>
          <w:szCs w:val="32"/>
          <w:highlight w:val="none"/>
        </w:rPr>
        <w:t>幽门螺杆菌分析仪</w:t>
      </w:r>
      <w:r>
        <w:rPr>
          <w:rFonts w:hint="eastAsia" w:ascii="Times New Roman" w:hAnsi="Times New Roman" w:eastAsia="仿宋_GB2312" w:cs="Times New Roman"/>
          <w:color w:val="000000"/>
          <w:spacing w:val="-1"/>
          <w:sz w:val="32"/>
          <w:szCs w:val="32"/>
          <w:highlight w:val="none"/>
          <w:lang w:eastAsia="zh-CN"/>
        </w:rPr>
        <w:t>产品</w:t>
      </w:r>
      <w:r>
        <w:rPr>
          <w:rFonts w:ascii="Times New Roman" w:hAnsi="Times New Roman" w:eastAsia="仿宋_GB2312" w:cs="Times New Roman"/>
          <w:color w:val="000000"/>
          <w:spacing w:val="-1"/>
          <w:sz w:val="32"/>
          <w:szCs w:val="32"/>
          <w:highlight w:val="none"/>
        </w:rPr>
        <w:t>的核心部件是</w:t>
      </w:r>
      <w:r>
        <w:rPr>
          <w:rFonts w:hint="eastAsia" w:ascii="Times New Roman" w:hAnsi="Times New Roman" w:eastAsia="仿宋_GB2312" w:cs="Times New Roman"/>
          <w:color w:val="000000"/>
          <w:spacing w:val="-1"/>
          <w:sz w:val="32"/>
          <w:szCs w:val="32"/>
          <w:highlight w:val="none"/>
          <w:lang w:eastAsia="zh-CN"/>
        </w:rPr>
        <w:t>光学</w:t>
      </w:r>
      <w:r>
        <w:rPr>
          <w:rFonts w:hint="eastAsia" w:ascii="Times New Roman" w:hAnsi="Times New Roman" w:eastAsia="仿宋_GB2312" w:cs="Times New Roman"/>
          <w:color w:val="000000"/>
          <w:spacing w:val="-1"/>
          <w:sz w:val="32"/>
          <w:szCs w:val="32"/>
          <w:highlight w:val="none"/>
          <w:lang w:val="en-US" w:eastAsia="zh-CN"/>
        </w:rPr>
        <w:t>检测装置，</w:t>
      </w:r>
      <w:r>
        <w:rPr>
          <w:rFonts w:hint="eastAsia" w:ascii="Times New Roman" w:hAnsi="Times New Roman" w:eastAsia="仿宋_GB2312" w:cs="Times New Roman"/>
          <w:color w:val="000000"/>
          <w:spacing w:val="-1"/>
          <w:sz w:val="32"/>
          <w:szCs w:val="32"/>
          <w:highlight w:val="none"/>
          <w:lang w:eastAsia="zh-CN"/>
        </w:rPr>
        <w:t>检测原理一般为红外光谱法。</w:t>
      </w:r>
    </w:p>
    <w:p w14:paraId="5A973449">
      <w:pPr>
        <w:spacing w:line="520" w:lineRule="exact"/>
        <w:ind w:firstLine="636" w:firstLineChars="200"/>
        <w:rPr>
          <w:rFonts w:hint="eastAsia" w:ascii="Times New Roman" w:hAnsi="Times New Roman" w:eastAsia="仿宋_GB2312" w:cs="Times New Roman"/>
          <w:color w:val="000000"/>
          <w:spacing w:val="-1"/>
          <w:sz w:val="32"/>
          <w:szCs w:val="32"/>
          <w:highlight w:val="none"/>
          <w:vertAlign w:val="baseline"/>
          <w:lang w:eastAsia="zh-CN"/>
        </w:rPr>
      </w:pPr>
      <w:r>
        <w:rPr>
          <w:rFonts w:hint="eastAsia" w:ascii="Times New Roman" w:hAnsi="Times New Roman" w:eastAsia="仿宋_GB2312" w:cs="Times New Roman"/>
          <w:color w:val="000000"/>
          <w:spacing w:val="-1"/>
          <w:sz w:val="32"/>
          <w:szCs w:val="32"/>
          <w:highlight w:val="none"/>
          <w:lang w:eastAsia="zh-CN"/>
        </w:rPr>
        <w:t>红外光谱法：CO</w:t>
      </w:r>
      <w:r>
        <w:rPr>
          <w:rFonts w:hint="eastAsia" w:ascii="Times New Roman" w:hAnsi="Times New Roman" w:eastAsia="仿宋_GB2312" w:cs="Times New Roman"/>
          <w:color w:val="000000"/>
          <w:spacing w:val="-1"/>
          <w:sz w:val="32"/>
          <w:szCs w:val="32"/>
          <w:highlight w:val="none"/>
          <w:vertAlign w:val="subscript"/>
          <w:lang w:eastAsia="zh-CN"/>
        </w:rPr>
        <w:t>2</w:t>
      </w:r>
      <w:r>
        <w:rPr>
          <w:rFonts w:hint="eastAsia" w:ascii="Times New Roman" w:hAnsi="Times New Roman" w:eastAsia="仿宋_GB2312" w:cs="Times New Roman"/>
          <w:color w:val="000000"/>
          <w:spacing w:val="-1"/>
          <w:sz w:val="32"/>
          <w:szCs w:val="32"/>
          <w:highlight w:val="none"/>
          <w:lang w:eastAsia="zh-CN"/>
        </w:rPr>
        <w:t>可以吸收特定波长的红外光，气体对红外光的吸收遵循朗伯-比尔定律。利用</w:t>
      </w:r>
      <w:r>
        <w:rPr>
          <w:rFonts w:hint="eastAsia" w:ascii="Times New Roman" w:hAnsi="Times New Roman" w:eastAsia="仿宋_GB2312" w:cs="Times New Roman"/>
          <w:color w:val="000000"/>
          <w:spacing w:val="-1"/>
          <w:sz w:val="32"/>
          <w:szCs w:val="32"/>
          <w:highlight w:val="none"/>
          <w:vertAlign w:val="superscript"/>
          <w:lang w:eastAsia="zh-CN"/>
        </w:rPr>
        <w:t>13</w:t>
      </w:r>
      <w:r>
        <w:rPr>
          <w:rFonts w:hint="eastAsia" w:ascii="Times New Roman" w:hAnsi="Times New Roman" w:eastAsia="仿宋_GB2312" w:cs="Times New Roman"/>
          <w:color w:val="000000"/>
          <w:spacing w:val="-1"/>
          <w:sz w:val="32"/>
          <w:szCs w:val="32"/>
          <w:highlight w:val="none"/>
          <w:lang w:eastAsia="zh-CN"/>
        </w:rPr>
        <w:t>CO</w:t>
      </w:r>
      <w:r>
        <w:rPr>
          <w:rFonts w:hint="eastAsia" w:ascii="Times New Roman" w:hAnsi="Times New Roman" w:eastAsia="仿宋_GB2312" w:cs="Times New Roman"/>
          <w:color w:val="000000"/>
          <w:spacing w:val="-1"/>
          <w:sz w:val="32"/>
          <w:szCs w:val="32"/>
          <w:highlight w:val="none"/>
          <w:vertAlign w:val="subscript"/>
          <w:lang w:eastAsia="zh-CN"/>
        </w:rPr>
        <w:t>2</w:t>
      </w:r>
      <w:r>
        <w:rPr>
          <w:rFonts w:hint="eastAsia" w:ascii="Times New Roman" w:hAnsi="Times New Roman" w:eastAsia="仿宋_GB2312" w:cs="Times New Roman"/>
          <w:color w:val="000000"/>
          <w:spacing w:val="-1"/>
          <w:sz w:val="32"/>
          <w:szCs w:val="32"/>
          <w:highlight w:val="none"/>
          <w:vertAlign w:val="baseline"/>
          <w:lang w:eastAsia="zh-CN"/>
        </w:rPr>
        <w:t>和</w:t>
      </w:r>
      <w:r>
        <w:rPr>
          <w:rFonts w:hint="eastAsia" w:ascii="Times New Roman" w:hAnsi="Times New Roman" w:eastAsia="仿宋_GB2312" w:cs="Times New Roman"/>
          <w:color w:val="000000"/>
          <w:spacing w:val="-1"/>
          <w:sz w:val="32"/>
          <w:szCs w:val="32"/>
          <w:highlight w:val="none"/>
          <w:vertAlign w:val="superscript"/>
          <w:lang w:val="en-US" w:eastAsia="zh-CN"/>
        </w:rPr>
        <w:t>12</w:t>
      </w:r>
      <w:r>
        <w:rPr>
          <w:rFonts w:hint="eastAsia" w:ascii="Times New Roman" w:hAnsi="Times New Roman" w:eastAsia="仿宋_GB2312" w:cs="Times New Roman"/>
          <w:color w:val="000000"/>
          <w:spacing w:val="-1"/>
          <w:sz w:val="32"/>
          <w:szCs w:val="32"/>
          <w:highlight w:val="none"/>
          <w:vertAlign w:val="baseline"/>
          <w:lang w:eastAsia="zh-CN"/>
        </w:rPr>
        <w:t>CO</w:t>
      </w:r>
      <w:r>
        <w:rPr>
          <w:rFonts w:hint="eastAsia" w:ascii="Times New Roman" w:hAnsi="Times New Roman" w:eastAsia="仿宋_GB2312" w:cs="Times New Roman"/>
          <w:color w:val="000000"/>
          <w:spacing w:val="-1"/>
          <w:sz w:val="32"/>
          <w:szCs w:val="32"/>
          <w:highlight w:val="none"/>
          <w:vertAlign w:val="subscript"/>
          <w:lang w:eastAsia="zh-CN"/>
        </w:rPr>
        <w:t>2</w:t>
      </w:r>
      <w:r>
        <w:rPr>
          <w:rFonts w:hint="eastAsia" w:ascii="Times New Roman" w:hAnsi="Times New Roman" w:eastAsia="仿宋_GB2312" w:cs="Times New Roman"/>
          <w:color w:val="000000"/>
          <w:spacing w:val="-1"/>
          <w:sz w:val="32"/>
          <w:szCs w:val="32"/>
          <w:highlight w:val="none"/>
          <w:vertAlign w:val="baseline"/>
          <w:lang w:eastAsia="zh-CN"/>
        </w:rPr>
        <w:t>对红外光的特征吸收峰的差异分别计算二者浓度，再通过比较口服尿素胶囊前后呼出气体的DOB值判断患者是否感染幽门螺杆菌。</w:t>
      </w:r>
    </w:p>
    <w:p w14:paraId="5FE2A389">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eastAsia="zh-CN"/>
        </w:rPr>
        <w:t>产品</w:t>
      </w:r>
      <w:r>
        <w:rPr>
          <w:rFonts w:ascii="Times New Roman" w:hAnsi="Times New Roman" w:eastAsia="仿宋_GB2312" w:cs="Times New Roman"/>
          <w:color w:val="000000"/>
          <w:spacing w:val="-1"/>
          <w:sz w:val="32"/>
          <w:szCs w:val="32"/>
          <w:highlight w:val="none"/>
        </w:rPr>
        <w:t>的综述资料中应说明产品核心部件</w:t>
      </w:r>
      <w:r>
        <w:rPr>
          <w:rFonts w:hint="eastAsia" w:ascii="Times New Roman" w:hAnsi="Times New Roman" w:eastAsia="仿宋_GB2312" w:cs="Times New Roman"/>
          <w:color w:val="000000"/>
          <w:spacing w:val="-1"/>
          <w:sz w:val="32"/>
          <w:szCs w:val="32"/>
          <w:highlight w:val="none"/>
        </w:rPr>
        <w:t>检测装置</w:t>
      </w:r>
      <w:r>
        <w:rPr>
          <w:rFonts w:ascii="Times New Roman" w:hAnsi="Times New Roman" w:eastAsia="仿宋_GB2312" w:cs="Times New Roman"/>
          <w:color w:val="000000"/>
          <w:spacing w:val="-1"/>
          <w:sz w:val="32"/>
          <w:szCs w:val="32"/>
          <w:highlight w:val="none"/>
        </w:rPr>
        <w:t>的类型和主要结构</w:t>
      </w:r>
      <w:r>
        <w:rPr>
          <w:rFonts w:hint="eastAsia" w:ascii="Times New Roman" w:hAnsi="Times New Roman" w:eastAsia="仿宋_GB2312" w:cs="Times New Roman"/>
          <w:color w:val="000000"/>
          <w:spacing w:val="-1"/>
          <w:sz w:val="32"/>
          <w:szCs w:val="32"/>
          <w:highlight w:val="none"/>
          <w:lang w:eastAsia="zh-CN"/>
        </w:rPr>
        <w:t>，</w:t>
      </w:r>
      <w:r>
        <w:rPr>
          <w:rFonts w:ascii="Times New Roman" w:hAnsi="Times New Roman" w:eastAsia="仿宋_GB2312" w:cs="Times New Roman"/>
          <w:color w:val="000000"/>
          <w:spacing w:val="-1"/>
          <w:sz w:val="32"/>
          <w:szCs w:val="32"/>
          <w:highlight w:val="none"/>
        </w:rPr>
        <w:t>建议给出示意图。</w:t>
      </w:r>
      <w:r>
        <w:rPr>
          <w:rFonts w:hint="eastAsia" w:ascii="Times New Roman" w:hAnsi="Times New Roman" w:eastAsia="仿宋_GB2312" w:cs="Times New Roman"/>
          <w:color w:val="000000"/>
          <w:spacing w:val="-1"/>
          <w:sz w:val="32"/>
          <w:szCs w:val="32"/>
          <w:highlight w:val="none"/>
          <w:lang w:eastAsia="zh-CN"/>
        </w:rPr>
        <w:t>申请人应</w:t>
      </w:r>
      <w:r>
        <w:rPr>
          <w:rFonts w:ascii="Times New Roman" w:hAnsi="Times New Roman" w:eastAsia="仿宋_GB2312" w:cs="Times New Roman"/>
          <w:color w:val="000000"/>
          <w:spacing w:val="-1"/>
          <w:sz w:val="32"/>
          <w:szCs w:val="32"/>
          <w:highlight w:val="none"/>
        </w:rPr>
        <w:t>结合产品的</w:t>
      </w:r>
      <w:r>
        <w:rPr>
          <w:rFonts w:hint="eastAsia" w:ascii="Times New Roman" w:hAnsi="Times New Roman" w:eastAsia="仿宋_GB2312" w:cs="Times New Roman"/>
          <w:color w:val="000000"/>
          <w:spacing w:val="-1"/>
          <w:sz w:val="32"/>
          <w:szCs w:val="32"/>
          <w:highlight w:val="none"/>
          <w:lang w:eastAsia="zh-CN"/>
        </w:rPr>
        <w:t>工作原理</w:t>
      </w:r>
      <w:r>
        <w:rPr>
          <w:rFonts w:ascii="Times New Roman" w:hAnsi="Times New Roman" w:eastAsia="仿宋_GB2312" w:cs="Times New Roman"/>
          <w:color w:val="000000"/>
          <w:spacing w:val="-1"/>
          <w:sz w:val="32"/>
          <w:szCs w:val="32"/>
          <w:highlight w:val="none"/>
        </w:rPr>
        <w:t>，说明采用该</w:t>
      </w:r>
      <w:r>
        <w:rPr>
          <w:rFonts w:hint="eastAsia" w:ascii="Times New Roman" w:hAnsi="Times New Roman" w:eastAsia="仿宋_GB2312" w:cs="Times New Roman"/>
          <w:color w:val="000000"/>
          <w:spacing w:val="-1"/>
          <w:sz w:val="32"/>
          <w:szCs w:val="32"/>
          <w:highlight w:val="none"/>
          <w:lang w:eastAsia="zh-CN"/>
        </w:rPr>
        <w:t>装置</w:t>
      </w:r>
      <w:r>
        <w:rPr>
          <w:rFonts w:ascii="Times New Roman" w:hAnsi="Times New Roman" w:eastAsia="仿宋_GB2312" w:cs="Times New Roman"/>
          <w:color w:val="000000"/>
          <w:spacing w:val="-1"/>
          <w:sz w:val="32"/>
          <w:szCs w:val="32"/>
          <w:highlight w:val="none"/>
        </w:rPr>
        <w:t>的设计依据。</w:t>
      </w:r>
    </w:p>
    <w:p w14:paraId="70B27682">
      <w:pPr>
        <w:spacing w:line="520" w:lineRule="exact"/>
        <w:ind w:firstLine="636" w:firstLineChars="200"/>
        <w:rPr>
          <w:rFonts w:hint="eastAsia" w:ascii="Times New Roman" w:hAnsi="Times New Roman" w:eastAsia="仿宋_GB2312" w:cs="Times New Roman"/>
          <w:color w:val="000000"/>
          <w:spacing w:val="-1"/>
          <w:sz w:val="32"/>
          <w:szCs w:val="32"/>
          <w:highlight w:val="none"/>
          <w:lang w:eastAsia="zh-CN"/>
        </w:rPr>
      </w:pPr>
      <w:r>
        <w:rPr>
          <w:rFonts w:ascii="Times New Roman" w:hAnsi="Times New Roman" w:eastAsia="仿宋_GB2312" w:cs="Times New Roman"/>
          <w:color w:val="000000"/>
          <w:spacing w:val="-1"/>
          <w:sz w:val="32"/>
          <w:szCs w:val="32"/>
          <w:highlight w:val="none"/>
        </w:rPr>
        <w:t>1.1.2作用</w:t>
      </w:r>
      <w:r>
        <w:rPr>
          <w:rFonts w:hint="eastAsia" w:ascii="Times New Roman" w:hAnsi="Times New Roman" w:eastAsia="仿宋_GB2312" w:cs="Times New Roman"/>
          <w:color w:val="000000"/>
          <w:spacing w:val="-1"/>
          <w:sz w:val="32"/>
          <w:szCs w:val="32"/>
          <w:highlight w:val="none"/>
          <w:lang w:eastAsia="zh-CN"/>
        </w:rPr>
        <w:t>机理</w:t>
      </w:r>
    </w:p>
    <w:p w14:paraId="3E8F2622">
      <w:pPr>
        <w:spacing w:line="520" w:lineRule="exact"/>
        <w:ind w:firstLine="636" w:firstLineChars="200"/>
        <w:rPr>
          <w:rFonts w:hint="eastAsia" w:ascii="Times New Roman" w:hAnsi="Times New Roman" w:eastAsia="仿宋_GB2312" w:cs="Times New Roman"/>
          <w:color w:val="000000"/>
          <w:spacing w:val="-1"/>
          <w:sz w:val="32"/>
          <w:szCs w:val="32"/>
          <w:highlight w:val="none"/>
          <w:lang w:eastAsia="zh-CN"/>
        </w:rPr>
      </w:pPr>
      <w:r>
        <w:rPr>
          <w:rFonts w:hint="eastAsia" w:ascii="Times New Roman" w:hAnsi="Times New Roman" w:eastAsia="仿宋_GB2312" w:cs="Times New Roman"/>
          <w:color w:val="000000"/>
          <w:spacing w:val="-1"/>
          <w:sz w:val="32"/>
          <w:szCs w:val="32"/>
          <w:highlight w:val="none"/>
          <w:lang w:eastAsia="zh-CN"/>
        </w:rPr>
        <w:t>幽门螺杆菌（以下简称“H</w:t>
      </w:r>
      <w:r>
        <w:rPr>
          <w:rFonts w:hint="eastAsia" w:ascii="Times New Roman" w:hAnsi="Times New Roman" w:eastAsia="仿宋_GB2312" w:cs="Times New Roman"/>
          <w:color w:val="000000"/>
          <w:spacing w:val="-1"/>
          <w:sz w:val="32"/>
          <w:szCs w:val="32"/>
          <w:highlight w:val="none"/>
          <w:lang w:val="en-US" w:eastAsia="zh-CN"/>
        </w:rPr>
        <w:t>p</w:t>
      </w:r>
      <w:r>
        <w:rPr>
          <w:rFonts w:hint="eastAsia" w:ascii="Times New Roman" w:hAnsi="Times New Roman" w:eastAsia="仿宋_GB2312" w:cs="Times New Roman"/>
          <w:color w:val="000000"/>
          <w:spacing w:val="-1"/>
          <w:sz w:val="32"/>
          <w:szCs w:val="32"/>
          <w:highlight w:val="none"/>
          <w:lang w:eastAsia="zh-CN"/>
        </w:rPr>
        <w:t>”）在人体内可以产生大量的尿素酶，将尿素分解为NH</w:t>
      </w:r>
      <w:r>
        <w:rPr>
          <w:rFonts w:hint="eastAsia" w:ascii="Times New Roman" w:hAnsi="Times New Roman" w:eastAsia="仿宋_GB2312" w:cs="Times New Roman"/>
          <w:color w:val="000000"/>
          <w:spacing w:val="-1"/>
          <w:sz w:val="32"/>
          <w:szCs w:val="32"/>
          <w:highlight w:val="none"/>
          <w:vertAlign w:val="subscript"/>
          <w:lang w:eastAsia="zh-CN"/>
        </w:rPr>
        <w:t>3</w:t>
      </w:r>
      <w:r>
        <w:rPr>
          <w:rFonts w:hint="eastAsia" w:ascii="Times New Roman" w:hAnsi="Times New Roman" w:eastAsia="仿宋_GB2312" w:cs="Times New Roman"/>
          <w:color w:val="000000"/>
          <w:spacing w:val="-1"/>
          <w:sz w:val="32"/>
          <w:szCs w:val="32"/>
          <w:highlight w:val="none"/>
          <w:lang w:eastAsia="zh-CN"/>
        </w:rPr>
        <w:t>和CO</w:t>
      </w:r>
      <w:r>
        <w:rPr>
          <w:rFonts w:hint="eastAsia" w:ascii="Times New Roman" w:hAnsi="Times New Roman" w:eastAsia="仿宋_GB2312" w:cs="Times New Roman"/>
          <w:color w:val="000000"/>
          <w:spacing w:val="-1"/>
          <w:sz w:val="32"/>
          <w:szCs w:val="32"/>
          <w:highlight w:val="none"/>
          <w:vertAlign w:val="subscript"/>
          <w:lang w:eastAsia="zh-CN"/>
        </w:rPr>
        <w:t>2</w:t>
      </w:r>
      <w:r>
        <w:rPr>
          <w:rFonts w:hint="eastAsia" w:ascii="Times New Roman" w:hAnsi="Times New Roman" w:eastAsia="仿宋_GB2312" w:cs="Times New Roman"/>
          <w:color w:val="000000"/>
          <w:spacing w:val="-1"/>
          <w:sz w:val="32"/>
          <w:szCs w:val="32"/>
          <w:highlight w:val="none"/>
          <w:lang w:eastAsia="zh-CN"/>
        </w:rPr>
        <w:t>，CO</w:t>
      </w:r>
      <w:r>
        <w:rPr>
          <w:rFonts w:hint="eastAsia" w:ascii="Times New Roman" w:hAnsi="Times New Roman" w:eastAsia="仿宋_GB2312" w:cs="Times New Roman"/>
          <w:color w:val="000000"/>
          <w:spacing w:val="-1"/>
          <w:sz w:val="32"/>
          <w:szCs w:val="32"/>
          <w:highlight w:val="none"/>
          <w:vertAlign w:val="subscript"/>
          <w:lang w:eastAsia="zh-CN"/>
        </w:rPr>
        <w:t>2</w:t>
      </w:r>
      <w:r>
        <w:rPr>
          <w:rFonts w:hint="eastAsia" w:ascii="Times New Roman" w:hAnsi="Times New Roman" w:eastAsia="仿宋_GB2312" w:cs="Times New Roman"/>
          <w:color w:val="000000"/>
          <w:spacing w:val="-1"/>
          <w:sz w:val="32"/>
          <w:szCs w:val="32"/>
          <w:highlight w:val="none"/>
          <w:lang w:eastAsia="zh-CN"/>
        </w:rPr>
        <w:t>在胃肠道被吸收后进入血液循环，最后随呼气排出。若患者已感染Hp，口服</w:t>
      </w:r>
      <w:r>
        <w:rPr>
          <w:rFonts w:hint="eastAsia" w:ascii="Times New Roman" w:hAnsi="Times New Roman" w:eastAsia="仿宋_GB2312" w:cs="Times New Roman"/>
          <w:color w:val="000000"/>
          <w:spacing w:val="-1"/>
          <w:sz w:val="32"/>
          <w:szCs w:val="32"/>
          <w:highlight w:val="none"/>
          <w:vertAlign w:val="superscript"/>
          <w:lang w:eastAsia="zh-CN"/>
        </w:rPr>
        <w:t>13</w:t>
      </w:r>
      <w:r>
        <w:rPr>
          <w:rFonts w:hint="eastAsia" w:ascii="Times New Roman" w:hAnsi="Times New Roman" w:eastAsia="仿宋_GB2312" w:cs="Times New Roman"/>
          <w:color w:val="000000"/>
          <w:spacing w:val="-1"/>
          <w:sz w:val="32"/>
          <w:szCs w:val="32"/>
          <w:highlight w:val="none"/>
          <w:lang w:eastAsia="zh-CN"/>
        </w:rPr>
        <w:t>C标记的</w:t>
      </w:r>
      <w:r>
        <w:rPr>
          <w:rFonts w:hint="eastAsia" w:ascii="Times New Roman" w:hAnsi="Times New Roman" w:eastAsia="仿宋_GB2312" w:cs="Times New Roman"/>
          <w:color w:val="auto"/>
          <w:spacing w:val="-1"/>
          <w:sz w:val="32"/>
          <w:szCs w:val="32"/>
          <w:highlight w:val="none"/>
          <w:lang w:eastAsia="zh-CN"/>
        </w:rPr>
        <w:t>尿素药物</w:t>
      </w:r>
      <w:r>
        <w:rPr>
          <w:rFonts w:hint="eastAsia" w:ascii="Times New Roman" w:hAnsi="Times New Roman" w:eastAsia="仿宋_GB2312" w:cs="Times New Roman"/>
          <w:color w:val="000000"/>
          <w:spacing w:val="-1"/>
          <w:sz w:val="32"/>
          <w:szCs w:val="32"/>
          <w:highlight w:val="none"/>
          <w:lang w:eastAsia="zh-CN"/>
        </w:rPr>
        <w:t>后Hp会将尿素分解为</w:t>
      </w:r>
      <w:r>
        <w:rPr>
          <w:rFonts w:hint="eastAsia" w:ascii="Times New Roman" w:hAnsi="Times New Roman" w:eastAsia="仿宋_GB2312" w:cs="Times New Roman"/>
          <w:color w:val="000000"/>
          <w:spacing w:val="-1"/>
          <w:sz w:val="32"/>
          <w:szCs w:val="32"/>
          <w:highlight w:val="none"/>
          <w:vertAlign w:val="superscript"/>
          <w:lang w:eastAsia="zh-CN"/>
        </w:rPr>
        <w:t>13</w:t>
      </w:r>
      <w:r>
        <w:rPr>
          <w:rFonts w:hint="eastAsia" w:ascii="Times New Roman" w:hAnsi="Times New Roman" w:eastAsia="仿宋_GB2312" w:cs="Times New Roman"/>
          <w:color w:val="000000"/>
          <w:spacing w:val="-1"/>
          <w:sz w:val="32"/>
          <w:szCs w:val="32"/>
          <w:highlight w:val="none"/>
          <w:lang w:eastAsia="zh-CN"/>
        </w:rPr>
        <w:t>CO</w:t>
      </w:r>
      <w:r>
        <w:rPr>
          <w:rFonts w:hint="eastAsia" w:ascii="Times New Roman" w:hAnsi="Times New Roman" w:eastAsia="仿宋_GB2312" w:cs="Times New Roman"/>
          <w:color w:val="000000"/>
          <w:spacing w:val="-1"/>
          <w:sz w:val="32"/>
          <w:szCs w:val="32"/>
          <w:highlight w:val="none"/>
          <w:vertAlign w:val="subscript"/>
          <w:lang w:eastAsia="zh-CN"/>
        </w:rPr>
        <w:t>2</w:t>
      </w:r>
      <w:r>
        <w:rPr>
          <w:rFonts w:hint="eastAsia" w:ascii="Times New Roman" w:hAnsi="Times New Roman" w:eastAsia="仿宋_GB2312" w:cs="Times New Roman"/>
          <w:color w:val="000000"/>
          <w:spacing w:val="-1"/>
          <w:sz w:val="32"/>
          <w:szCs w:val="32"/>
          <w:highlight w:val="none"/>
          <w:lang w:eastAsia="zh-CN"/>
        </w:rPr>
        <w:t>，通过收集第30分钟与第0分钟时患者的呼出气体并检测</w:t>
      </w:r>
      <w:r>
        <w:rPr>
          <w:rFonts w:hint="eastAsia" w:ascii="Times New Roman" w:hAnsi="Times New Roman" w:eastAsia="仿宋_GB2312" w:cs="Times New Roman"/>
          <w:color w:val="000000"/>
          <w:spacing w:val="-1"/>
          <w:sz w:val="32"/>
          <w:szCs w:val="32"/>
          <w:highlight w:val="none"/>
          <w:vertAlign w:val="superscript"/>
          <w:lang w:eastAsia="zh-CN"/>
        </w:rPr>
        <w:t>13</w:t>
      </w:r>
      <w:r>
        <w:rPr>
          <w:rFonts w:hint="eastAsia" w:ascii="Times New Roman" w:hAnsi="Times New Roman" w:eastAsia="仿宋_GB2312" w:cs="Times New Roman"/>
          <w:color w:val="000000"/>
          <w:spacing w:val="-1"/>
          <w:sz w:val="32"/>
          <w:szCs w:val="32"/>
          <w:highlight w:val="none"/>
          <w:lang w:eastAsia="zh-CN"/>
        </w:rPr>
        <w:t>CO</w:t>
      </w:r>
      <w:r>
        <w:rPr>
          <w:rFonts w:hint="eastAsia" w:ascii="Times New Roman" w:hAnsi="Times New Roman" w:eastAsia="仿宋_GB2312" w:cs="Times New Roman"/>
          <w:color w:val="000000"/>
          <w:spacing w:val="-1"/>
          <w:sz w:val="32"/>
          <w:szCs w:val="32"/>
          <w:highlight w:val="none"/>
          <w:vertAlign w:val="subscript"/>
          <w:lang w:eastAsia="zh-CN"/>
        </w:rPr>
        <w:t>2</w:t>
      </w:r>
      <w:r>
        <w:rPr>
          <w:rFonts w:hint="eastAsia" w:ascii="Times New Roman" w:hAnsi="Times New Roman" w:eastAsia="仿宋_GB2312" w:cs="Times New Roman"/>
          <w:color w:val="000000"/>
          <w:spacing w:val="-1"/>
          <w:sz w:val="32"/>
          <w:szCs w:val="32"/>
          <w:highlight w:val="none"/>
          <w:lang w:eastAsia="zh-CN"/>
        </w:rPr>
        <w:t>变化量，即可诊断患者Hp的感染状态。</w:t>
      </w:r>
    </w:p>
    <w:p w14:paraId="2860748F">
      <w:pPr>
        <w:spacing w:line="520" w:lineRule="exact"/>
        <w:ind w:firstLine="636" w:firstLineChars="200"/>
        <w:rPr>
          <w:rFonts w:hint="default" w:ascii="Times New Roman" w:hAnsi="Times New Roman" w:eastAsia="仿宋_GB2312" w:cs="Times New Roman"/>
          <w:color w:val="000000"/>
          <w:spacing w:val="-1"/>
          <w:sz w:val="32"/>
          <w:szCs w:val="32"/>
          <w:highlight w:val="none"/>
          <w:vertAlign w:val="baseline"/>
          <w:lang w:val="en-US" w:eastAsia="zh-CN"/>
        </w:rPr>
      </w:pPr>
      <w:r>
        <w:rPr>
          <w:rFonts w:hint="eastAsia" w:ascii="Times New Roman" w:hAnsi="Times New Roman" w:eastAsia="仿宋_GB2312" w:cs="Times New Roman"/>
          <w:color w:val="000000"/>
          <w:spacing w:val="-1"/>
          <w:sz w:val="32"/>
          <w:szCs w:val="32"/>
          <w:highlight w:val="none"/>
          <w:lang w:eastAsia="zh-CN"/>
        </w:rPr>
        <w:t>幽门螺杆菌分析仪通过收集患者口服尿素胶囊前后的呼气样本，检测</w:t>
      </w:r>
      <w:r>
        <w:rPr>
          <w:rFonts w:hint="eastAsia" w:ascii="Times New Roman" w:hAnsi="Times New Roman" w:eastAsia="仿宋_GB2312" w:cs="Times New Roman"/>
          <w:color w:val="000000"/>
          <w:spacing w:val="-1"/>
          <w:sz w:val="32"/>
          <w:szCs w:val="32"/>
          <w:highlight w:val="none"/>
          <w:lang w:val="en-US" w:eastAsia="zh-CN"/>
        </w:rPr>
        <w:t>DOB（‰）值判断患者是否感染幽门螺杆菌。其中，DOB为口服尿素胶囊前、后呼气样本中</w:t>
      </w:r>
      <w:r>
        <w:rPr>
          <w:rFonts w:hint="eastAsia" w:ascii="Times New Roman" w:hAnsi="Times New Roman" w:eastAsia="仿宋_GB2312" w:cs="Times New Roman"/>
          <w:color w:val="000000"/>
          <w:spacing w:val="-1"/>
          <w:sz w:val="32"/>
          <w:szCs w:val="32"/>
          <w:highlight w:val="none"/>
          <w:vertAlign w:val="superscript"/>
          <w:lang w:eastAsia="zh-CN"/>
        </w:rPr>
        <w:t>13</w:t>
      </w:r>
      <w:r>
        <w:rPr>
          <w:rFonts w:hint="eastAsia" w:ascii="Times New Roman" w:hAnsi="Times New Roman" w:eastAsia="仿宋_GB2312" w:cs="Times New Roman"/>
          <w:color w:val="000000"/>
          <w:spacing w:val="-1"/>
          <w:sz w:val="32"/>
          <w:szCs w:val="32"/>
          <w:highlight w:val="none"/>
          <w:lang w:eastAsia="zh-CN"/>
        </w:rPr>
        <w:t>CO</w:t>
      </w:r>
      <w:r>
        <w:rPr>
          <w:rFonts w:hint="eastAsia" w:ascii="Times New Roman" w:hAnsi="Times New Roman" w:eastAsia="仿宋_GB2312" w:cs="Times New Roman"/>
          <w:color w:val="000000"/>
          <w:spacing w:val="-1"/>
          <w:sz w:val="32"/>
          <w:szCs w:val="32"/>
          <w:highlight w:val="none"/>
          <w:vertAlign w:val="subscript"/>
          <w:lang w:eastAsia="zh-CN"/>
        </w:rPr>
        <w:t>2</w:t>
      </w:r>
      <w:r>
        <w:rPr>
          <w:rFonts w:hint="eastAsia" w:ascii="Times New Roman" w:hAnsi="Times New Roman" w:eastAsia="仿宋_GB2312" w:cs="Times New Roman"/>
          <w:color w:val="000000"/>
          <w:spacing w:val="-1"/>
          <w:sz w:val="32"/>
          <w:szCs w:val="32"/>
          <w:highlight w:val="none"/>
          <w:lang w:val="en-US" w:eastAsia="zh-CN"/>
        </w:rPr>
        <w:t>/</w:t>
      </w:r>
      <w:r>
        <w:rPr>
          <w:rFonts w:hint="eastAsia" w:ascii="Times New Roman" w:hAnsi="Times New Roman" w:eastAsia="仿宋_GB2312" w:cs="Times New Roman"/>
          <w:color w:val="000000"/>
          <w:spacing w:val="-1"/>
          <w:sz w:val="32"/>
          <w:szCs w:val="32"/>
          <w:highlight w:val="none"/>
          <w:vertAlign w:val="superscript"/>
          <w:lang w:val="en-US" w:eastAsia="zh-CN"/>
        </w:rPr>
        <w:t>12</w:t>
      </w:r>
      <w:r>
        <w:rPr>
          <w:rFonts w:hint="eastAsia" w:ascii="Times New Roman" w:hAnsi="Times New Roman" w:eastAsia="仿宋_GB2312" w:cs="Times New Roman"/>
          <w:color w:val="000000"/>
          <w:spacing w:val="-1"/>
          <w:sz w:val="32"/>
          <w:szCs w:val="32"/>
          <w:highlight w:val="none"/>
          <w:lang w:eastAsia="zh-CN"/>
        </w:rPr>
        <w:t>CO</w:t>
      </w:r>
      <w:r>
        <w:rPr>
          <w:rFonts w:hint="eastAsia" w:ascii="Times New Roman" w:hAnsi="Times New Roman" w:eastAsia="仿宋_GB2312" w:cs="Times New Roman"/>
          <w:color w:val="000000"/>
          <w:spacing w:val="-1"/>
          <w:sz w:val="32"/>
          <w:szCs w:val="32"/>
          <w:highlight w:val="none"/>
          <w:vertAlign w:val="subscript"/>
          <w:lang w:eastAsia="zh-CN"/>
        </w:rPr>
        <w:t>2</w:t>
      </w:r>
      <w:r>
        <w:rPr>
          <w:rFonts w:hint="eastAsia" w:ascii="Times New Roman" w:hAnsi="Times New Roman" w:eastAsia="仿宋_GB2312" w:cs="Times New Roman"/>
          <w:color w:val="000000"/>
          <w:spacing w:val="-1"/>
          <w:sz w:val="32"/>
          <w:szCs w:val="32"/>
          <w:highlight w:val="none"/>
          <w:vertAlign w:val="baseline"/>
          <w:lang w:eastAsia="zh-CN"/>
        </w:rPr>
        <w:t>浓度比值的变化量。</w:t>
      </w:r>
    </w:p>
    <w:p w14:paraId="406176D6">
      <w:pPr>
        <w:spacing w:line="50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产品</w:t>
      </w:r>
      <w:r>
        <w:rPr>
          <w:rFonts w:ascii="Times New Roman" w:hAnsi="Times New Roman" w:eastAsia="仿宋_GB2312" w:cs="Times New Roman"/>
          <w:color w:val="000000"/>
          <w:spacing w:val="-1"/>
          <w:sz w:val="32"/>
          <w:szCs w:val="32"/>
          <w:highlight w:val="none"/>
        </w:rPr>
        <w:t>综述资料中应结合申报产品的</w:t>
      </w:r>
      <w:r>
        <w:rPr>
          <w:rFonts w:hint="eastAsia" w:ascii="Times New Roman" w:hAnsi="Times New Roman" w:eastAsia="仿宋_GB2312" w:cs="Times New Roman"/>
          <w:color w:val="000000"/>
          <w:spacing w:val="-1"/>
          <w:sz w:val="32"/>
          <w:szCs w:val="32"/>
          <w:highlight w:val="none"/>
          <w:lang w:eastAsia="zh-CN"/>
        </w:rPr>
        <w:t>工作原理</w:t>
      </w:r>
      <w:r>
        <w:rPr>
          <w:rFonts w:ascii="Times New Roman" w:hAnsi="Times New Roman" w:eastAsia="仿宋_GB2312" w:cs="Times New Roman"/>
          <w:color w:val="000000"/>
          <w:spacing w:val="-1"/>
          <w:sz w:val="32"/>
          <w:szCs w:val="32"/>
          <w:highlight w:val="none"/>
        </w:rPr>
        <w:t>，说明具体作用机理</w:t>
      </w:r>
      <w:r>
        <w:rPr>
          <w:rFonts w:hint="eastAsia" w:ascii="Times New Roman" w:hAnsi="Times New Roman" w:eastAsia="仿宋_GB2312" w:cs="Times New Roman"/>
          <w:color w:val="000000"/>
          <w:spacing w:val="-1"/>
          <w:sz w:val="32"/>
          <w:szCs w:val="32"/>
          <w:highlight w:val="none"/>
          <w:lang w:eastAsia="zh-CN"/>
        </w:rPr>
        <w:t>及分析功能</w:t>
      </w:r>
      <w:r>
        <w:rPr>
          <w:rFonts w:hint="eastAsia" w:ascii="Times New Roman" w:hAnsi="Times New Roman" w:eastAsia="仿宋_GB2312" w:cs="Times New Roman"/>
          <w:color w:val="000000"/>
          <w:spacing w:val="-1"/>
          <w:sz w:val="32"/>
          <w:szCs w:val="32"/>
          <w:highlight w:val="none"/>
        </w:rPr>
        <w:t>，明确产品的操作流程。</w:t>
      </w:r>
    </w:p>
    <w:p w14:paraId="63118C78">
      <w:pPr>
        <w:spacing w:line="50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1.1.3结构组成</w:t>
      </w:r>
    </w:p>
    <w:p w14:paraId="629D7D91">
      <w:pPr>
        <w:spacing w:line="500" w:lineRule="exact"/>
        <w:ind w:firstLine="636" w:firstLineChars="200"/>
        <w:rPr>
          <w:rFonts w:hint="default"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pPr>
      <w:r>
        <w:rPr>
          <w:rFonts w:hint="eastAsia" w:ascii="Times New Roman" w:hAnsi="Times New Roman" w:eastAsia="仿宋_GB2312" w:cs="Times New Roman"/>
          <w:color w:val="000000"/>
          <w:spacing w:val="-1"/>
          <w:sz w:val="32"/>
          <w:szCs w:val="32"/>
          <w:highlight w:val="none"/>
        </w:rPr>
        <w:t>幽门螺杆菌分析仪通常由</w:t>
      </w:r>
      <w:r>
        <w:rPr>
          <w:rFonts w:hint="eastAsia" w:ascii="Times New Roman" w:hAnsi="Times New Roman" w:eastAsia="仿宋_GB2312" w:cs="Times New Roman"/>
          <w:color w:val="000000"/>
          <w:spacing w:val="-1"/>
          <w:sz w:val="32"/>
          <w:szCs w:val="32"/>
          <w:highlight w:val="none"/>
          <w:lang w:eastAsia="zh-CN"/>
        </w:rPr>
        <w:t>空气净化干燥模块、气体控制模块、光学检测模块、电路控制模块、电源模块、显示模块（若适用）、上样装置（若适用）和附件（如打印机、扫码枪）等组成。因所采用的光源类型不同，以上模块的组成存在较大差异，</w:t>
      </w:r>
      <w:r>
        <w:rPr>
          <w:rFonts w:hint="default" w:ascii="Times New Roman" w:hAnsi="Times New Roman" w:eastAsia="仿宋_GB2312" w:cs="Times New Roman"/>
          <w:b w:val="0"/>
          <w:bCs w:val="0"/>
          <w:i w:val="0"/>
          <w:iCs w:val="0"/>
          <w:color w:val="000000"/>
          <w:spacing w:val="-1"/>
          <w:kern w:val="2"/>
          <w:sz w:val="32"/>
          <w:szCs w:val="32"/>
          <w:highlight w:val="none"/>
          <w:vertAlign w:val="baseline"/>
          <w:lang w:val="en-US" w:eastAsia="zh-CN" w:bidi="ar-SA"/>
        </w:rPr>
        <w:t>申请人</w:t>
      </w:r>
      <w:r>
        <w:rPr>
          <w:rFonts w:hint="eastAsia" w:ascii="Times New Roman" w:hAnsi="Times New Roman" w:eastAsia="仿宋_GB2312" w:cs="Times New Roman"/>
          <w:b w:val="0"/>
          <w:bCs w:val="0"/>
          <w:i w:val="0"/>
          <w:iCs w:val="0"/>
          <w:color w:val="000000"/>
          <w:spacing w:val="-1"/>
          <w:kern w:val="2"/>
          <w:sz w:val="32"/>
          <w:szCs w:val="32"/>
          <w:highlight w:val="none"/>
          <w:vertAlign w:val="baseline"/>
          <w:lang w:val="en-US" w:eastAsia="zh-CN" w:bidi="ar-SA"/>
        </w:rPr>
        <w:t>需</w:t>
      </w:r>
      <w:r>
        <w:rPr>
          <w:rFonts w:hint="default" w:ascii="Times New Roman" w:hAnsi="Times New Roman" w:eastAsia="仿宋_GB2312" w:cs="Times New Roman"/>
          <w:b w:val="0"/>
          <w:bCs w:val="0"/>
          <w:i w:val="0"/>
          <w:iCs w:val="0"/>
          <w:color w:val="000000"/>
          <w:spacing w:val="-1"/>
          <w:kern w:val="2"/>
          <w:sz w:val="32"/>
          <w:szCs w:val="32"/>
          <w:highlight w:val="none"/>
          <w:vertAlign w:val="baseline"/>
          <w:lang w:val="en-US" w:eastAsia="zh-CN" w:bidi="ar-SA"/>
        </w:rPr>
        <w:t>根据申报产品实际</w:t>
      </w:r>
      <w:r>
        <w:rPr>
          <w:rFonts w:hint="eastAsia" w:ascii="Times New Roman" w:hAnsi="Times New Roman" w:eastAsia="仿宋_GB2312" w:cs="Times New Roman"/>
          <w:b w:val="0"/>
          <w:bCs w:val="0"/>
          <w:i w:val="0"/>
          <w:iCs w:val="0"/>
          <w:color w:val="000000"/>
          <w:spacing w:val="-1"/>
          <w:kern w:val="2"/>
          <w:sz w:val="32"/>
          <w:szCs w:val="32"/>
          <w:highlight w:val="none"/>
          <w:vertAlign w:val="baseline"/>
          <w:lang w:val="en-US" w:eastAsia="zh-CN" w:bidi="ar-SA"/>
        </w:rPr>
        <w:t>进一步描述以上各模块的结构组成</w:t>
      </w:r>
      <w:r>
        <w:rPr>
          <w:rFonts w:hint="default"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w:t>
      </w:r>
    </w:p>
    <w:p w14:paraId="3DE1CB03">
      <w:pPr>
        <w:spacing w:line="500" w:lineRule="exact"/>
        <w:ind w:firstLine="636" w:firstLineChars="200"/>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pPr>
      <w:r>
        <w:rPr>
          <w:rFonts w:hint="default"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空气净化干燥模块</w:t>
      </w:r>
      <w:r>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的主要功能是除去空气中的</w:t>
      </w:r>
      <w:r>
        <w:rPr>
          <w:rFonts w:hint="default"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CO</w:t>
      </w:r>
      <w:r>
        <w:rPr>
          <w:rFonts w:hint="default" w:ascii="Times New Roman" w:hAnsi="Times New Roman" w:eastAsia="仿宋_GB2312" w:cs="Times New Roman"/>
          <w:b w:val="0"/>
          <w:bCs w:val="0"/>
          <w:i w:val="0"/>
          <w:iCs w:val="0"/>
          <w:color w:val="auto"/>
          <w:spacing w:val="-1"/>
          <w:kern w:val="2"/>
          <w:sz w:val="32"/>
          <w:szCs w:val="32"/>
          <w:highlight w:val="none"/>
          <w:vertAlign w:val="subscript"/>
          <w:lang w:val="en-US" w:eastAsia="zh-CN" w:bidi="ar-SA"/>
        </w:rPr>
        <w:t>2</w:t>
      </w:r>
      <w:r>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、水分及粉尘等干扰检测的物质，净化后的空气可以用来排净气路中的残留样气，防止检验样气的交叉污染。该模块的组成一般包括进气口、</w:t>
      </w:r>
      <w:r>
        <w:rPr>
          <w:rFonts w:hint="default"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管路</w:t>
      </w:r>
      <w:r>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和吸附材料等。申请人需明确吸附材料的主要组成成分及作用。</w:t>
      </w:r>
    </w:p>
    <w:p w14:paraId="15968680">
      <w:pPr>
        <w:spacing w:line="500" w:lineRule="exact"/>
        <w:ind w:firstLine="636" w:firstLineChars="200"/>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pPr>
      <w:r>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气体控制模块一般通过电机或气泵控制进气，该模块还包括流量监测装置、压力监测装置、流量控制装置及管路等。</w:t>
      </w:r>
    </w:p>
    <w:p w14:paraId="4A660D08">
      <w:pPr>
        <w:spacing w:line="500" w:lineRule="exact"/>
        <w:ind w:firstLine="636" w:firstLineChars="200"/>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pPr>
      <w:r>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光学检测模块一般包括光源部分、光路系统、光电转换器等。根据发光原理的不同，光源通常有红外光源和激光光源，前者通常需要配合使用滤光片得到特定波长的光，后者一般为单波长光。</w:t>
      </w:r>
    </w:p>
    <w:p w14:paraId="7AF7C6D5">
      <w:pPr>
        <w:spacing w:line="500" w:lineRule="exact"/>
        <w:ind w:firstLine="636" w:firstLineChars="200"/>
        <w:rPr>
          <w:rFonts w:hint="eastAsia" w:ascii="Times New Roman" w:hAnsi="Times New Roman" w:eastAsia="仿宋_GB2312" w:cs="Times New Roman"/>
          <w:color w:val="auto"/>
          <w:spacing w:val="-1"/>
          <w:sz w:val="32"/>
          <w:szCs w:val="32"/>
          <w:highlight w:val="none"/>
          <w:lang w:eastAsia="zh-CN"/>
        </w:rPr>
      </w:pPr>
      <w:r>
        <w:rPr>
          <w:rFonts w:hint="eastAsia" w:ascii="Times New Roman" w:hAnsi="Times New Roman" w:eastAsia="仿宋_GB2312" w:cs="Times New Roman"/>
          <w:color w:val="auto"/>
          <w:spacing w:val="-1"/>
          <w:sz w:val="32"/>
          <w:szCs w:val="32"/>
          <w:highlight w:val="none"/>
          <w:lang w:eastAsia="zh-CN"/>
        </w:rPr>
        <w:t>上样</w:t>
      </w:r>
      <w:r>
        <w:rPr>
          <w:rFonts w:hint="eastAsia" w:ascii="Times New Roman" w:hAnsi="Times New Roman" w:eastAsia="仿宋_GB2312" w:cs="Times New Roman"/>
          <w:color w:val="auto"/>
          <w:spacing w:val="-1"/>
          <w:sz w:val="32"/>
          <w:szCs w:val="32"/>
          <w:highlight w:val="none"/>
          <w:lang w:val="en-US" w:eastAsia="zh-CN"/>
        </w:rPr>
        <w:t>装置</w:t>
      </w:r>
      <w:r>
        <w:rPr>
          <w:rFonts w:hint="eastAsia" w:ascii="Times New Roman" w:hAnsi="Times New Roman" w:eastAsia="仿宋_GB2312" w:cs="Times New Roman"/>
          <w:color w:val="auto"/>
          <w:spacing w:val="-1"/>
          <w:sz w:val="32"/>
          <w:szCs w:val="32"/>
          <w:highlight w:val="none"/>
          <w:lang w:eastAsia="zh-CN"/>
        </w:rPr>
        <w:t>可分为</w:t>
      </w:r>
      <w:r>
        <w:rPr>
          <w:rFonts w:hint="default"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自动</w:t>
      </w:r>
      <w:r>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上</w:t>
      </w:r>
      <w:r>
        <w:rPr>
          <w:rFonts w:hint="default"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样装置和手动</w:t>
      </w:r>
      <w:r>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上</w:t>
      </w:r>
      <w:r>
        <w:rPr>
          <w:rFonts w:hint="default"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样装置</w:t>
      </w:r>
      <w:r>
        <w:rPr>
          <w:rFonts w:hint="eastAsia" w:ascii="Times New Roman" w:hAnsi="Times New Roman" w:eastAsia="仿宋_GB2312" w:cs="Times New Roman"/>
          <w:b w:val="0"/>
          <w:bCs w:val="0"/>
          <w:i w:val="0"/>
          <w:iCs w:val="0"/>
          <w:color w:val="auto"/>
          <w:spacing w:val="-1"/>
          <w:kern w:val="2"/>
          <w:sz w:val="32"/>
          <w:szCs w:val="32"/>
          <w:highlight w:val="none"/>
          <w:vertAlign w:val="baseline"/>
          <w:lang w:val="en-US" w:eastAsia="zh-CN" w:bidi="ar-SA"/>
        </w:rPr>
        <w:t>，申请人需明确上样装置的工作原理和结构组成，说明可支持的最大装载量。若适用，应明确配合使用的样气收集容器。</w:t>
      </w:r>
    </w:p>
    <w:p w14:paraId="20ECA12A">
      <w:pPr>
        <w:spacing w:line="500" w:lineRule="exact"/>
        <w:ind w:firstLine="636" w:firstLineChars="200"/>
        <w:rPr>
          <w:rFonts w:hint="eastAsia" w:ascii="Times New Roman" w:hAnsi="Times New Roman" w:eastAsia="仿宋_GB2312" w:cs="Times New Roman"/>
          <w:color w:val="000000"/>
          <w:spacing w:val="-1"/>
          <w:sz w:val="32"/>
          <w:szCs w:val="32"/>
          <w:highlight w:val="none"/>
          <w:lang w:val="en-US" w:eastAsia="zh-CN"/>
        </w:rPr>
      </w:pPr>
      <w:r>
        <w:rPr>
          <w:rFonts w:hint="eastAsia" w:ascii="Times New Roman" w:hAnsi="Times New Roman" w:eastAsia="仿宋_GB2312" w:cs="Times New Roman"/>
          <w:color w:val="000000"/>
          <w:spacing w:val="-1"/>
          <w:sz w:val="32"/>
          <w:szCs w:val="32"/>
          <w:highlight w:val="none"/>
          <w:lang w:val="en-US" w:eastAsia="zh-CN"/>
        </w:rPr>
        <w:t>申请人应描述产品的主要功能及其组成部件的功能，包括软件功能。产品图示建议提供产品示意图或者实物照片，应包含核心部件（光源部分、检测装置）、各组成模块、主要标识、接口（包括气路接口和数据接口）、操控面板等关键细节。应提供产品内部结构图和电路图，应体现各组成部件之间电路和气路连接关系。此外，应明确光源的类型和波长范围。</w:t>
      </w:r>
    </w:p>
    <w:p w14:paraId="10A82256">
      <w:pPr>
        <w:spacing w:line="500" w:lineRule="exact"/>
        <w:ind w:firstLine="636" w:firstLineChars="200"/>
        <w:rPr>
          <w:rFonts w:hint="eastAsia" w:ascii="Times New Roman" w:hAnsi="Times New Roman" w:eastAsia="仿宋_GB2312" w:cs="Times New Roman"/>
          <w:color w:val="000000"/>
          <w:spacing w:val="-1"/>
          <w:sz w:val="32"/>
          <w:szCs w:val="32"/>
          <w:highlight w:val="none"/>
          <w:lang w:val="en-US" w:eastAsia="zh-CN"/>
        </w:rPr>
      </w:pPr>
    </w:p>
    <w:p w14:paraId="2F554644">
      <w:pPr>
        <w:spacing w:line="500" w:lineRule="exact"/>
        <w:ind w:firstLine="636" w:firstLineChars="200"/>
        <w:rPr>
          <w:rFonts w:hint="eastAsia" w:ascii="Times New Roman" w:hAnsi="Times New Roman" w:eastAsia="仿宋_GB2312" w:cs="Times New Roman"/>
          <w:color w:val="000000"/>
          <w:spacing w:val="-1"/>
          <w:sz w:val="32"/>
          <w:szCs w:val="32"/>
          <w:highlight w:val="none"/>
          <w:lang w:val="en-US" w:eastAsia="zh-CN"/>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01B87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946" w:type="dxa"/>
            <w:vAlign w:val="center"/>
          </w:tcPr>
          <w:p w14:paraId="746E042C">
            <w:pPr>
              <w:spacing w:line="240" w:lineRule="auto"/>
              <w:jc w:val="center"/>
              <w:rPr>
                <w:rFonts w:hint="eastAsia" w:ascii="Times New Roman" w:hAnsi="Times New Roman" w:eastAsia="仿宋_GB2312" w:cs="Times New Roman"/>
                <w:color w:val="000000"/>
                <w:spacing w:val="-1"/>
                <w:sz w:val="32"/>
                <w:szCs w:val="32"/>
                <w:highlight w:val="none"/>
                <w:vertAlign w:val="baseline"/>
                <w:lang w:val="en-US" w:eastAsia="zh-CN"/>
              </w:rPr>
            </w:pPr>
            <w:r>
              <w:rPr>
                <w:rFonts w:hint="eastAsia" w:ascii="Times New Roman" w:hAnsi="Times New Roman" w:eastAsia="仿宋_GB2312" w:cs="Times New Roman"/>
                <w:color w:val="000000"/>
                <w:spacing w:val="-1"/>
                <w:sz w:val="32"/>
                <w:szCs w:val="32"/>
                <w:highlight w:val="none"/>
                <w:vertAlign w:val="baseline"/>
                <w:lang w:val="en-US" w:eastAsia="zh-CN"/>
              </w:rPr>
              <w:drawing>
                <wp:inline distT="0" distB="0" distL="114300" distR="114300">
                  <wp:extent cx="3477895" cy="1900555"/>
                  <wp:effectExtent l="0" t="0" r="8255" b="4445"/>
                  <wp:docPr id="1" name="图片 1" descr="结构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结构示意图"/>
                          <pic:cNvPicPr>
                            <a:picLocks noChangeAspect="1"/>
                          </pic:cNvPicPr>
                        </pic:nvPicPr>
                        <pic:blipFill>
                          <a:blip r:embed="rId6"/>
                          <a:stretch>
                            <a:fillRect/>
                          </a:stretch>
                        </pic:blipFill>
                        <pic:spPr>
                          <a:xfrm>
                            <a:off x="0" y="0"/>
                            <a:ext cx="3477895" cy="1900555"/>
                          </a:xfrm>
                          <a:prstGeom prst="rect">
                            <a:avLst/>
                          </a:prstGeom>
                        </pic:spPr>
                      </pic:pic>
                    </a:graphicData>
                  </a:graphic>
                </wp:inline>
              </w:drawing>
            </w:r>
          </w:p>
        </w:tc>
      </w:tr>
      <w:tr w14:paraId="15B1C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vAlign w:val="center"/>
          </w:tcPr>
          <w:p w14:paraId="1745B764">
            <w:pPr>
              <w:spacing w:line="240" w:lineRule="auto"/>
              <w:jc w:val="center"/>
              <w:rPr>
                <w:rFonts w:hint="eastAsia" w:ascii="Times New Roman" w:hAnsi="Times New Roman" w:eastAsia="仿宋_GB2312" w:cs="Times New Roman"/>
                <w:color w:val="000000"/>
                <w:spacing w:val="-1"/>
                <w:sz w:val="32"/>
                <w:szCs w:val="32"/>
                <w:highlight w:val="none"/>
                <w:vertAlign w:val="baseline"/>
                <w:lang w:val="en-US" w:eastAsia="zh-CN"/>
              </w:rPr>
            </w:pPr>
            <w:r>
              <w:rPr>
                <w:rFonts w:hint="eastAsia" w:ascii="Times New Roman" w:hAnsi="Times New Roman" w:eastAsia="仿宋_GB2312" w:cs="Times New Roman"/>
                <w:color w:val="000000"/>
                <w:spacing w:val="-1"/>
                <w:sz w:val="28"/>
                <w:szCs w:val="28"/>
                <w:highlight w:val="none"/>
                <w:vertAlign w:val="baseline"/>
                <w:lang w:val="en-US" w:eastAsia="zh-CN"/>
              </w:rPr>
              <w:t>图一 幽门螺杆菌分析仪结构示意图</w:t>
            </w:r>
          </w:p>
        </w:tc>
      </w:tr>
    </w:tbl>
    <w:p w14:paraId="3E797991">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1.2型号规格</w:t>
      </w:r>
    </w:p>
    <w:p w14:paraId="7164E8FF">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申请人需明确申报产品的型号规格及划分规则、软件版本及命名规则。如一个注册单元包含多个型号规格，需进一步明确各型号规格之间的区别。可采用对比表及说明性文字的形式描述在结构组成、性能指标</w:t>
      </w:r>
      <w:r>
        <w:rPr>
          <w:rFonts w:hint="eastAsia" w:ascii="Times New Roman" w:hAnsi="Times New Roman" w:eastAsia="仿宋_GB2312" w:cs="Times New Roman"/>
          <w:color w:val="000000"/>
          <w:spacing w:val="-1"/>
          <w:sz w:val="32"/>
          <w:szCs w:val="32"/>
          <w:highlight w:val="none"/>
          <w:lang w:eastAsia="zh-CN"/>
        </w:rPr>
        <w:t>、软件功能</w:t>
      </w:r>
      <w:r>
        <w:rPr>
          <w:rFonts w:ascii="Times New Roman" w:hAnsi="Times New Roman" w:eastAsia="仿宋_GB2312" w:cs="Times New Roman"/>
          <w:color w:val="000000"/>
          <w:spacing w:val="-1"/>
          <w:sz w:val="32"/>
          <w:szCs w:val="32"/>
          <w:highlight w:val="none"/>
        </w:rPr>
        <w:t>等方面的详细差异。</w:t>
      </w:r>
      <w:r>
        <w:rPr>
          <w:rFonts w:hint="eastAsia" w:ascii="Times New Roman" w:hAnsi="Times New Roman" w:eastAsia="仿宋_GB2312" w:cs="Times New Roman"/>
          <w:color w:val="000000"/>
          <w:spacing w:val="-1"/>
          <w:sz w:val="32"/>
          <w:szCs w:val="32"/>
          <w:highlight w:val="none"/>
          <w:lang w:eastAsia="zh-CN"/>
        </w:rPr>
        <w:t>如检测通道数量差异、进样方式差异、软件功能差异等</w:t>
      </w:r>
      <w:r>
        <w:rPr>
          <w:rFonts w:ascii="Times New Roman" w:hAnsi="Times New Roman" w:eastAsia="仿宋_GB2312" w:cs="Times New Roman"/>
          <w:color w:val="000000"/>
          <w:spacing w:val="-1"/>
          <w:sz w:val="32"/>
          <w:szCs w:val="32"/>
          <w:highlight w:val="none"/>
        </w:rPr>
        <w:t>。</w:t>
      </w:r>
    </w:p>
    <w:p w14:paraId="144C64B0">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2.适用范围</w:t>
      </w:r>
    </w:p>
    <w:p w14:paraId="76BC66CF">
      <w:pPr>
        <w:spacing w:line="520" w:lineRule="exact"/>
        <w:ind w:firstLine="636" w:firstLineChars="200"/>
        <w:rPr>
          <w:rFonts w:hint="default" w:ascii="Times New Roman" w:hAnsi="Times New Roman" w:eastAsia="仿宋_GB2312" w:cs="Times New Roman"/>
          <w:color w:val="000000"/>
          <w:spacing w:val="-1"/>
          <w:sz w:val="32"/>
          <w:szCs w:val="32"/>
          <w:highlight w:val="none"/>
          <w:lang w:val="en-US" w:eastAsia="zh-CN"/>
        </w:rPr>
      </w:pPr>
      <w:r>
        <w:rPr>
          <w:rFonts w:ascii="Times New Roman" w:hAnsi="Times New Roman" w:eastAsia="仿宋_GB2312" w:cs="Times New Roman"/>
          <w:color w:val="000000"/>
          <w:spacing w:val="-1"/>
          <w:sz w:val="32"/>
          <w:szCs w:val="32"/>
          <w:highlight w:val="none"/>
        </w:rPr>
        <w:t>适用范围的表述应</w:t>
      </w:r>
      <w:r>
        <w:rPr>
          <w:rFonts w:hint="eastAsia" w:ascii="Times New Roman" w:hAnsi="Times New Roman" w:eastAsia="仿宋_GB2312" w:cs="Times New Roman"/>
          <w:color w:val="000000"/>
          <w:spacing w:val="-1"/>
          <w:sz w:val="32"/>
          <w:szCs w:val="32"/>
          <w:highlight w:val="none"/>
          <w:lang w:eastAsia="zh-CN"/>
        </w:rPr>
        <w:t>明确检测方法及配合使用的幽门螺杆菌检测药盒</w:t>
      </w:r>
      <w:r>
        <w:rPr>
          <w:rFonts w:hint="eastAsia" w:ascii="Times New Roman" w:hAnsi="Times New Roman" w:eastAsia="仿宋_GB2312" w:cs="Times New Roman"/>
          <w:color w:val="000000"/>
          <w:spacing w:val="-1"/>
          <w:sz w:val="32"/>
          <w:szCs w:val="32"/>
          <w:highlight w:val="none"/>
          <w:lang w:val="en-US" w:eastAsia="zh-CN"/>
        </w:rPr>
        <w:t>。</w:t>
      </w:r>
    </w:p>
    <w:p w14:paraId="7035BA3D">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建议表述为：</w:t>
      </w:r>
      <w:r>
        <w:rPr>
          <w:rFonts w:hint="eastAsia" w:ascii="Times New Roman" w:hAnsi="Times New Roman" w:eastAsia="仿宋_GB2312" w:cs="Times New Roman"/>
          <w:color w:val="000000"/>
          <w:spacing w:val="-1"/>
          <w:sz w:val="32"/>
          <w:szCs w:val="32"/>
          <w:highlight w:val="none"/>
        </w:rPr>
        <w:t>与幽门螺杆菌检测药盒配合使用</w:t>
      </w:r>
      <w:r>
        <w:rPr>
          <w:rFonts w:hint="eastAsia" w:ascii="Times New Roman" w:hAnsi="Times New Roman" w:eastAsia="仿宋_GB2312" w:cs="Times New Roman"/>
          <w:color w:val="000000"/>
          <w:spacing w:val="-1"/>
          <w:sz w:val="32"/>
          <w:szCs w:val="32"/>
          <w:highlight w:val="none"/>
          <w:lang w:eastAsia="zh-CN"/>
        </w:rPr>
        <w:t>，</w:t>
      </w:r>
      <w:r>
        <w:rPr>
          <w:rFonts w:hint="eastAsia" w:ascii="Times New Roman" w:hAnsi="Times New Roman" w:eastAsia="仿宋_GB2312" w:cs="Times New Roman"/>
          <w:color w:val="000000"/>
          <w:spacing w:val="-1"/>
          <w:sz w:val="32"/>
          <w:szCs w:val="32"/>
          <w:highlight w:val="none"/>
        </w:rPr>
        <w:t>适用于</w:t>
      </w:r>
      <w:r>
        <w:rPr>
          <w:rFonts w:hint="eastAsia" w:ascii="Times New Roman" w:hAnsi="Times New Roman" w:eastAsia="仿宋_GB2312" w:cs="Times New Roman"/>
          <w:color w:val="000000"/>
          <w:spacing w:val="-1"/>
          <w:sz w:val="32"/>
          <w:szCs w:val="32"/>
          <w:highlight w:val="none"/>
          <w:vertAlign w:val="superscript"/>
          <w:lang w:val="en-US" w:eastAsia="zh-CN"/>
        </w:rPr>
        <w:t>13</w:t>
      </w:r>
      <w:r>
        <w:rPr>
          <w:rFonts w:hint="eastAsia" w:ascii="Times New Roman" w:hAnsi="Times New Roman" w:eastAsia="仿宋_GB2312" w:cs="Times New Roman"/>
          <w:color w:val="000000"/>
          <w:spacing w:val="-1"/>
          <w:sz w:val="32"/>
          <w:szCs w:val="32"/>
          <w:highlight w:val="none"/>
          <w:lang w:val="en-US" w:eastAsia="zh-CN"/>
        </w:rPr>
        <w:t>C</w:t>
      </w:r>
      <w:r>
        <w:rPr>
          <w:rFonts w:hint="eastAsia" w:ascii="Times New Roman" w:hAnsi="Times New Roman" w:eastAsia="仿宋_GB2312" w:cs="Times New Roman"/>
          <w:color w:val="000000"/>
          <w:spacing w:val="-1"/>
          <w:sz w:val="32"/>
          <w:szCs w:val="32"/>
          <w:highlight w:val="none"/>
        </w:rPr>
        <w:t>呼气试验</w:t>
      </w:r>
      <w:r>
        <w:rPr>
          <w:rFonts w:ascii="Times New Roman" w:hAnsi="Times New Roman" w:eastAsia="仿宋_GB2312" w:cs="Times New Roman"/>
          <w:color w:val="000000"/>
          <w:spacing w:val="-1"/>
          <w:sz w:val="32"/>
          <w:szCs w:val="32"/>
          <w:highlight w:val="none"/>
        </w:rPr>
        <w:t>，</w:t>
      </w:r>
      <w:r>
        <w:rPr>
          <w:rFonts w:hint="eastAsia" w:ascii="Times New Roman" w:hAnsi="Times New Roman" w:eastAsia="仿宋_GB2312" w:cs="Times New Roman"/>
          <w:color w:val="000000"/>
          <w:spacing w:val="-1"/>
          <w:sz w:val="32"/>
          <w:szCs w:val="32"/>
          <w:highlight w:val="none"/>
        </w:rPr>
        <w:t>用于临床诊断由幽门螺杆菌感染引起的疾病</w:t>
      </w:r>
      <w:r>
        <w:rPr>
          <w:rFonts w:ascii="Times New Roman" w:hAnsi="Times New Roman" w:eastAsia="仿宋_GB2312" w:cs="Times New Roman"/>
          <w:color w:val="000000"/>
          <w:spacing w:val="-1"/>
          <w:sz w:val="32"/>
          <w:szCs w:val="32"/>
          <w:highlight w:val="none"/>
        </w:rPr>
        <w:t>。</w:t>
      </w:r>
    </w:p>
    <w:p w14:paraId="7EF21B4B">
      <w:pPr>
        <w:spacing w:line="520" w:lineRule="exact"/>
        <w:ind w:firstLine="636" w:firstLineChars="200"/>
        <w:rPr>
          <w:rFonts w:ascii="Times New Roman" w:hAnsi="Times New Roman" w:eastAsia="仿宋_GB2312" w:cs="Times New Roman"/>
          <w:color w:val="auto"/>
          <w:spacing w:val="-1"/>
          <w:sz w:val="32"/>
          <w:szCs w:val="32"/>
          <w:highlight w:val="none"/>
        </w:rPr>
      </w:pPr>
      <w:r>
        <w:rPr>
          <w:rFonts w:ascii="Times New Roman" w:hAnsi="Times New Roman" w:eastAsia="仿宋_GB2312" w:cs="Times New Roman"/>
          <w:color w:val="auto"/>
          <w:spacing w:val="-1"/>
          <w:sz w:val="32"/>
          <w:szCs w:val="32"/>
          <w:highlight w:val="none"/>
        </w:rPr>
        <w:t>产品</w:t>
      </w:r>
      <w:r>
        <w:rPr>
          <w:rFonts w:hint="eastAsia" w:ascii="Times New Roman" w:hAnsi="Times New Roman" w:eastAsia="仿宋_GB2312" w:cs="Times New Roman"/>
          <w:color w:val="auto"/>
          <w:spacing w:val="-1"/>
          <w:sz w:val="32"/>
          <w:szCs w:val="32"/>
          <w:highlight w:val="none"/>
          <w:lang w:eastAsia="zh-CN"/>
        </w:rPr>
        <w:t>的</w:t>
      </w:r>
      <w:r>
        <w:rPr>
          <w:rFonts w:ascii="Times New Roman" w:hAnsi="Times New Roman" w:eastAsia="仿宋_GB2312" w:cs="Times New Roman"/>
          <w:color w:val="auto"/>
          <w:spacing w:val="-1"/>
          <w:sz w:val="32"/>
          <w:szCs w:val="32"/>
          <w:highlight w:val="none"/>
        </w:rPr>
        <w:t>适用范围应与临床评价及说明书中相关信息一致。如产品</w:t>
      </w:r>
      <w:r>
        <w:rPr>
          <w:rFonts w:hint="eastAsia" w:ascii="Times New Roman" w:hAnsi="Times New Roman" w:eastAsia="仿宋_GB2312" w:cs="Times New Roman"/>
          <w:color w:val="auto"/>
          <w:spacing w:val="-1"/>
          <w:sz w:val="32"/>
          <w:szCs w:val="32"/>
          <w:highlight w:val="none"/>
          <w:lang w:eastAsia="zh-CN"/>
        </w:rPr>
        <w:t>用于诊断由幽门螺杆菌感染引起的特定疾病，则适用范围应明确具体的疾病或适应症</w:t>
      </w:r>
      <w:r>
        <w:rPr>
          <w:rFonts w:ascii="Times New Roman" w:hAnsi="Times New Roman" w:eastAsia="仿宋_GB2312" w:cs="Times New Roman"/>
          <w:color w:val="auto"/>
          <w:spacing w:val="-1"/>
          <w:sz w:val="32"/>
          <w:szCs w:val="32"/>
          <w:highlight w:val="none"/>
        </w:rPr>
        <w:t>。</w:t>
      </w:r>
    </w:p>
    <w:p w14:paraId="2E7CC67F">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3.与其他同类产品的对比</w:t>
      </w:r>
    </w:p>
    <w:p w14:paraId="350DF897">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应提供前代/同类产品的信息，说明申报产品在研发方面与前代/同类产品的差异点以及将前代/同类产品作为参照的理由。应采用列表形式描述两者在结构组成、工作原理、适用范围、性能指标、使用方式等方面的异同，对于存在差异的部分应说明设计考量。</w:t>
      </w:r>
    </w:p>
    <w:p w14:paraId="2D80CBBF">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此部分应重点关注性能参数的对比，应</w:t>
      </w:r>
      <w:r>
        <w:rPr>
          <w:rFonts w:ascii="Times New Roman" w:hAnsi="Times New Roman" w:eastAsia="仿宋_GB2312" w:cs="Times New Roman"/>
          <w:color w:val="auto"/>
          <w:spacing w:val="-1"/>
          <w:sz w:val="32"/>
          <w:szCs w:val="32"/>
          <w:highlight w:val="none"/>
        </w:rPr>
        <w:t>至少</w:t>
      </w:r>
      <w:r>
        <w:rPr>
          <w:rFonts w:hint="eastAsia" w:ascii="Times New Roman" w:hAnsi="Times New Roman" w:eastAsia="仿宋_GB2312" w:cs="Times New Roman"/>
          <w:color w:val="auto"/>
          <w:spacing w:val="-1"/>
          <w:sz w:val="32"/>
          <w:szCs w:val="32"/>
          <w:highlight w:val="none"/>
          <w:lang w:eastAsia="zh-CN"/>
        </w:rPr>
        <w:t>包含</w:t>
      </w:r>
      <w:r>
        <w:rPr>
          <w:rFonts w:hint="eastAsia" w:ascii="Times New Roman" w:hAnsi="Times New Roman" w:eastAsia="仿宋_GB2312" w:cs="Times New Roman"/>
          <w:color w:val="auto"/>
          <w:spacing w:val="-1"/>
          <w:sz w:val="32"/>
          <w:szCs w:val="32"/>
          <w:highlight w:val="none"/>
        </w:rPr>
        <w:t>CO</w:t>
      </w:r>
      <w:r>
        <w:rPr>
          <w:rFonts w:hint="eastAsia" w:ascii="Times New Roman" w:hAnsi="Times New Roman" w:eastAsia="仿宋_GB2312" w:cs="Times New Roman"/>
          <w:color w:val="auto"/>
          <w:spacing w:val="-1"/>
          <w:sz w:val="32"/>
          <w:szCs w:val="32"/>
          <w:highlight w:val="none"/>
          <w:vertAlign w:val="subscript"/>
        </w:rPr>
        <w:t>2</w:t>
      </w:r>
      <w:r>
        <w:rPr>
          <w:rFonts w:hint="eastAsia" w:ascii="Times New Roman" w:hAnsi="Times New Roman" w:eastAsia="仿宋_GB2312" w:cs="Times New Roman"/>
          <w:color w:val="auto"/>
          <w:spacing w:val="-1"/>
          <w:sz w:val="32"/>
          <w:szCs w:val="32"/>
          <w:highlight w:val="none"/>
        </w:rPr>
        <w:t>线性范围、测量准确性、测量稳定性、测量重复性</w:t>
      </w:r>
      <w:r>
        <w:rPr>
          <w:rFonts w:hint="eastAsia" w:ascii="Times New Roman" w:hAnsi="Times New Roman" w:eastAsia="仿宋_GB2312" w:cs="Times New Roman"/>
          <w:color w:val="auto"/>
          <w:spacing w:val="-1"/>
          <w:sz w:val="32"/>
          <w:szCs w:val="32"/>
          <w:highlight w:val="none"/>
          <w:lang w:eastAsia="zh-CN"/>
        </w:rPr>
        <w:t>等</w:t>
      </w:r>
      <w:r>
        <w:rPr>
          <w:rFonts w:ascii="Times New Roman" w:hAnsi="Times New Roman" w:eastAsia="仿宋_GB2312" w:cs="Times New Roman"/>
          <w:color w:val="auto"/>
          <w:spacing w:val="-1"/>
          <w:sz w:val="32"/>
          <w:szCs w:val="32"/>
          <w:highlight w:val="none"/>
        </w:rPr>
        <w:t>。</w:t>
      </w:r>
    </w:p>
    <w:p w14:paraId="7FB536EF">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4.预期使用环境</w:t>
      </w:r>
    </w:p>
    <w:p w14:paraId="046A9B00">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幽门螺杆菌分析仪</w:t>
      </w:r>
      <w:r>
        <w:rPr>
          <w:rFonts w:ascii="Times New Roman" w:hAnsi="Times New Roman" w:eastAsia="仿宋_GB2312" w:cs="Times New Roman"/>
          <w:color w:val="000000"/>
          <w:spacing w:val="-1"/>
          <w:sz w:val="32"/>
          <w:szCs w:val="32"/>
          <w:highlight w:val="none"/>
        </w:rPr>
        <w:t>应在医疗机构中使用。需明确</w:t>
      </w:r>
      <w:r>
        <w:rPr>
          <w:rFonts w:hint="eastAsia" w:ascii="Times New Roman" w:hAnsi="Times New Roman" w:eastAsia="仿宋_GB2312" w:cs="Times New Roman"/>
          <w:color w:val="000000"/>
          <w:spacing w:val="-1"/>
          <w:sz w:val="32"/>
          <w:szCs w:val="32"/>
          <w:highlight w:val="none"/>
          <w:lang w:eastAsia="zh-CN"/>
        </w:rPr>
        <w:t>产品</w:t>
      </w:r>
      <w:r>
        <w:rPr>
          <w:rFonts w:ascii="Times New Roman" w:hAnsi="Times New Roman" w:eastAsia="仿宋_GB2312" w:cs="Times New Roman"/>
          <w:color w:val="000000"/>
          <w:spacing w:val="-1"/>
          <w:sz w:val="32"/>
          <w:szCs w:val="32"/>
          <w:highlight w:val="none"/>
        </w:rPr>
        <w:t>的使用场所和使用环境要求。</w:t>
      </w:r>
    </w:p>
    <w:p w14:paraId="022E1907">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使用环境要求应包括：温度、湿度、</w:t>
      </w:r>
      <w:r>
        <w:rPr>
          <w:rFonts w:hint="eastAsia" w:ascii="Times New Roman" w:hAnsi="Times New Roman" w:eastAsia="仿宋_GB2312" w:cs="Times New Roman"/>
          <w:color w:val="000000"/>
          <w:spacing w:val="-1"/>
          <w:sz w:val="32"/>
          <w:szCs w:val="32"/>
          <w:highlight w:val="none"/>
          <w:lang w:eastAsia="zh-CN"/>
        </w:rPr>
        <w:t>移动、振动、海拔、</w:t>
      </w:r>
      <w:r>
        <w:rPr>
          <w:rFonts w:ascii="Times New Roman" w:hAnsi="Times New Roman" w:eastAsia="仿宋_GB2312" w:cs="Times New Roman"/>
          <w:color w:val="000000"/>
          <w:spacing w:val="-1"/>
          <w:sz w:val="32"/>
          <w:szCs w:val="32"/>
          <w:highlight w:val="none"/>
        </w:rPr>
        <w:t>大气压、电源条件等。</w:t>
      </w:r>
    </w:p>
    <w:p w14:paraId="51E82288">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5.包装和联合使用</w:t>
      </w:r>
    </w:p>
    <w:p w14:paraId="49F97F59">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申请人应说明整机的外包装及内部各组件的包装情况。</w:t>
      </w:r>
    </w:p>
    <w:p w14:paraId="36A57371">
      <w:pPr>
        <w:spacing w:line="520" w:lineRule="exact"/>
        <w:ind w:firstLine="636" w:firstLineChars="200"/>
        <w:rPr>
          <w:rFonts w:hint="eastAsia" w:ascii="Times New Roman" w:hAnsi="Times New Roman" w:eastAsia="仿宋_GB2312" w:cs="Times New Roman"/>
          <w:color w:val="auto"/>
          <w:spacing w:val="-1"/>
          <w:sz w:val="32"/>
          <w:szCs w:val="32"/>
          <w:highlight w:val="none"/>
          <w:lang w:eastAsia="zh-CN"/>
        </w:rPr>
      </w:pPr>
      <w:r>
        <w:rPr>
          <w:rFonts w:hint="eastAsia" w:ascii="Times New Roman" w:hAnsi="Times New Roman" w:eastAsia="仿宋_GB2312" w:cs="Times New Roman"/>
          <w:color w:val="000000"/>
          <w:spacing w:val="-1"/>
          <w:sz w:val="32"/>
          <w:szCs w:val="32"/>
          <w:highlight w:val="none"/>
          <w:lang w:eastAsia="zh-CN"/>
        </w:rPr>
        <w:t>若适用，申请人应</w:t>
      </w:r>
      <w:r>
        <w:rPr>
          <w:rFonts w:hint="eastAsia" w:ascii="Times New Roman" w:hAnsi="Times New Roman" w:eastAsia="仿宋_GB2312" w:cs="Times New Roman"/>
          <w:color w:val="000000"/>
          <w:spacing w:val="-1"/>
          <w:sz w:val="32"/>
          <w:szCs w:val="32"/>
          <w:highlight w:val="none"/>
        </w:rPr>
        <w:t>明确与申报产品联合使用实现预期用途的其他产品的详细信息。</w:t>
      </w:r>
      <w:r>
        <w:rPr>
          <w:rFonts w:hint="eastAsia" w:ascii="Times New Roman" w:hAnsi="Times New Roman" w:eastAsia="仿宋_GB2312" w:cs="Times New Roman"/>
          <w:color w:val="000000"/>
          <w:spacing w:val="-1"/>
          <w:sz w:val="32"/>
          <w:szCs w:val="32"/>
          <w:highlight w:val="none"/>
          <w:lang w:eastAsia="zh-CN"/>
        </w:rPr>
        <w:t>若产品需配合采样容器使用，应明确相</w:t>
      </w:r>
      <w:r>
        <w:rPr>
          <w:rFonts w:hint="eastAsia" w:ascii="Times New Roman" w:hAnsi="Times New Roman" w:eastAsia="仿宋_GB2312" w:cs="Times New Roman"/>
          <w:color w:val="auto"/>
          <w:spacing w:val="-1"/>
          <w:sz w:val="32"/>
          <w:szCs w:val="32"/>
          <w:highlight w:val="none"/>
          <w:lang w:eastAsia="zh-CN"/>
        </w:rPr>
        <w:t>关信息，如接口类型及尺寸等。</w:t>
      </w:r>
    </w:p>
    <w:p w14:paraId="11384522">
      <w:pPr>
        <w:spacing w:line="520" w:lineRule="exact"/>
        <w:ind w:firstLine="636" w:firstLineChars="200"/>
        <w:rPr>
          <w:rFonts w:hint="eastAsia" w:ascii="Times New Roman" w:hAnsi="Times New Roman" w:eastAsia="仿宋_GB2312" w:cs="Times New Roman"/>
          <w:color w:val="auto"/>
          <w:spacing w:val="-1"/>
          <w:sz w:val="32"/>
          <w:szCs w:val="32"/>
          <w:highlight w:val="none"/>
          <w:lang w:eastAsia="zh-CN"/>
        </w:rPr>
      </w:pPr>
      <w:r>
        <w:rPr>
          <w:rFonts w:hint="eastAsia" w:ascii="Times New Roman" w:hAnsi="Times New Roman" w:eastAsia="仿宋_GB2312" w:cs="Times New Roman"/>
          <w:color w:val="auto"/>
          <w:spacing w:val="-1"/>
          <w:sz w:val="32"/>
          <w:szCs w:val="32"/>
          <w:highlight w:val="none"/>
          <w:lang w:eastAsia="zh-CN"/>
        </w:rPr>
        <w:t>幽门螺杆菌分析仪一般需联合药品使用，应提供可配套使用药品的注册信息，提供药品说明书。</w:t>
      </w:r>
    </w:p>
    <w:p w14:paraId="70FABACC">
      <w:pPr>
        <w:spacing w:line="520" w:lineRule="exact"/>
        <w:ind w:firstLine="636" w:firstLineChars="200"/>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auto"/>
          <w:spacing w:val="-1"/>
          <w:sz w:val="32"/>
          <w:szCs w:val="32"/>
          <w:highlight w:val="none"/>
        </w:rPr>
        <w:t>对于已获得批准的部件或配合使用的附件，应当提</w:t>
      </w:r>
      <w:r>
        <w:rPr>
          <w:rFonts w:hint="eastAsia" w:ascii="Times New Roman" w:hAnsi="Times New Roman" w:eastAsia="仿宋_GB2312" w:cs="Times New Roman"/>
          <w:color w:val="000000"/>
          <w:spacing w:val="-1"/>
          <w:sz w:val="32"/>
          <w:szCs w:val="32"/>
          <w:highlight w:val="none"/>
        </w:rPr>
        <w:t>供注册证编号和国家药监局官方网站公布的注册证信息。</w:t>
      </w:r>
    </w:p>
    <w:p w14:paraId="016DABC8">
      <w:pPr>
        <w:spacing w:line="520" w:lineRule="exact"/>
        <w:ind w:right="-67" w:rightChars="-32" w:firstLine="640" w:firstLineChars="200"/>
        <w:rPr>
          <w:rFonts w:ascii="Times New Roman" w:hAnsi="Times New Roman" w:eastAsia="楷体_GB2312" w:cs="Times New Roman"/>
          <w:color w:val="000000"/>
          <w:sz w:val="32"/>
          <w:szCs w:val="32"/>
          <w:highlight w:val="none"/>
        </w:rPr>
      </w:pPr>
      <w:r>
        <w:rPr>
          <w:rFonts w:ascii="Times New Roman" w:hAnsi="Times New Roman" w:eastAsia="楷体_GB2312" w:cs="Times New Roman"/>
          <w:color w:val="000000"/>
          <w:sz w:val="32"/>
          <w:szCs w:val="32"/>
          <w:highlight w:val="none"/>
        </w:rPr>
        <w:t>（三）非临床资料</w:t>
      </w:r>
    </w:p>
    <w:p w14:paraId="3230E9BE">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1.产品风险管理资料和安全有效性清单</w:t>
      </w:r>
    </w:p>
    <w:p w14:paraId="49FB5CB3">
      <w:pPr>
        <w:overflowPunct w:val="0"/>
        <w:autoSpaceDE w:val="0"/>
        <w:autoSpaceDN w:val="0"/>
        <w:adjustRightInd w:val="0"/>
        <w:spacing w:line="520" w:lineRule="exact"/>
        <w:ind w:firstLine="640" w:firstLineChars="200"/>
        <w:rPr>
          <w:rFonts w:ascii="Times New Roman" w:hAnsi="Times New Roman" w:eastAsia="仿宋_GB2312" w:cs="Times New Roman"/>
          <w:snapToGrid w:val="0"/>
          <w:color w:val="000000"/>
          <w:kern w:val="0"/>
          <w:sz w:val="32"/>
          <w:szCs w:val="32"/>
          <w:highlight w:val="none"/>
          <w:lang w:val="zh-CN"/>
        </w:rPr>
      </w:pPr>
      <w:r>
        <w:rPr>
          <w:rFonts w:ascii="Times New Roman" w:hAnsi="Times New Roman" w:eastAsia="仿宋_GB2312" w:cs="Times New Roman"/>
          <w:snapToGrid w:val="0"/>
          <w:color w:val="000000"/>
          <w:kern w:val="0"/>
          <w:sz w:val="32"/>
          <w:szCs w:val="32"/>
          <w:highlight w:val="none"/>
        </w:rPr>
        <w:t>申请人应依据GB/T 42062《医疗器械风险管理对医疗器械的应用》</w:t>
      </w:r>
      <w:r>
        <w:rPr>
          <w:rFonts w:ascii="Times New Roman" w:hAnsi="Times New Roman" w:eastAsia="仿宋_GB2312" w:cs="Times New Roman"/>
          <w:snapToGrid w:val="0"/>
          <w:color w:val="000000"/>
          <w:kern w:val="0"/>
          <w:sz w:val="32"/>
          <w:szCs w:val="32"/>
          <w:highlight w:val="none"/>
          <w:lang w:val="zh-CN"/>
        </w:rPr>
        <w:t>提供产品风险管理报告，应包含对每种可能涉及的危害的识别评估，为降低风险所执行的风险控制措施，剩余风险的可接受性评定，产品的受益和风险综合评价等。</w:t>
      </w:r>
    </w:p>
    <w:p w14:paraId="582BA663">
      <w:pPr>
        <w:overflowPunct w:val="0"/>
        <w:autoSpaceDE w:val="0"/>
        <w:autoSpaceDN w:val="0"/>
        <w:adjustRightInd w:val="0"/>
        <w:spacing w:line="520" w:lineRule="exact"/>
        <w:ind w:firstLine="640" w:firstLineChars="200"/>
        <w:rPr>
          <w:rFonts w:ascii="Times New Roman" w:hAnsi="Times New Roman" w:eastAsia="仿宋_GB2312" w:cs="Times New Roman"/>
          <w:snapToGrid w:val="0"/>
          <w:color w:val="000000"/>
          <w:kern w:val="0"/>
          <w:sz w:val="32"/>
          <w:szCs w:val="32"/>
          <w:highlight w:val="none"/>
          <w:lang w:val="zh-CN"/>
        </w:rPr>
      </w:pPr>
      <w:r>
        <w:rPr>
          <w:rFonts w:hint="eastAsia" w:ascii="Times New Roman" w:hAnsi="Times New Roman" w:eastAsia="仿宋_GB2312" w:cs="Times New Roman"/>
          <w:snapToGrid w:val="0"/>
          <w:color w:val="000000"/>
          <w:kern w:val="0"/>
          <w:sz w:val="32"/>
          <w:szCs w:val="32"/>
          <w:highlight w:val="none"/>
          <w:lang w:val="zh-CN"/>
        </w:rPr>
        <w:t>幽门螺杆菌分析仪</w:t>
      </w:r>
      <w:r>
        <w:rPr>
          <w:rFonts w:ascii="Times New Roman" w:hAnsi="Times New Roman" w:eastAsia="仿宋_GB2312" w:cs="Times New Roman"/>
          <w:snapToGrid w:val="0"/>
          <w:color w:val="000000"/>
          <w:kern w:val="0"/>
          <w:sz w:val="32"/>
          <w:szCs w:val="32"/>
          <w:highlight w:val="none"/>
          <w:lang w:val="zh-CN"/>
        </w:rPr>
        <w:t>应至少考虑下述风险因素：电气安全防护失效、电磁兼容防护失效、</w:t>
      </w:r>
      <w:r>
        <w:rPr>
          <w:rFonts w:hint="eastAsia" w:ascii="Times New Roman" w:hAnsi="Times New Roman" w:eastAsia="仿宋_GB2312" w:cs="Times New Roman"/>
          <w:snapToGrid w:val="0"/>
          <w:color w:val="000000"/>
          <w:kern w:val="0"/>
          <w:sz w:val="32"/>
          <w:szCs w:val="32"/>
          <w:highlight w:val="none"/>
          <w:lang w:val="zh-CN"/>
        </w:rPr>
        <w:t>材料生物学风险、光学测量室污染</w:t>
      </w:r>
      <w:r>
        <w:rPr>
          <w:rFonts w:ascii="Times New Roman" w:hAnsi="Times New Roman" w:eastAsia="仿宋_GB2312" w:cs="Times New Roman"/>
          <w:snapToGrid w:val="0"/>
          <w:color w:val="000000"/>
          <w:kern w:val="0"/>
          <w:sz w:val="32"/>
          <w:szCs w:val="32"/>
          <w:highlight w:val="none"/>
          <w:lang w:val="zh-CN"/>
        </w:rPr>
        <w:t>、功能失效及老化、</w:t>
      </w:r>
      <w:r>
        <w:rPr>
          <w:rFonts w:hint="eastAsia" w:ascii="Times New Roman" w:hAnsi="Times New Roman" w:eastAsia="仿宋_GB2312" w:cs="Times New Roman"/>
          <w:snapToGrid w:val="0"/>
          <w:color w:val="000000"/>
          <w:kern w:val="0"/>
          <w:sz w:val="32"/>
          <w:szCs w:val="32"/>
          <w:highlight w:val="none"/>
          <w:lang w:val="zh-CN"/>
        </w:rPr>
        <w:t>使用错误</w:t>
      </w:r>
      <w:r>
        <w:rPr>
          <w:rFonts w:ascii="Times New Roman" w:hAnsi="Times New Roman" w:eastAsia="仿宋_GB2312" w:cs="Times New Roman"/>
          <w:snapToGrid w:val="0"/>
          <w:color w:val="000000"/>
          <w:kern w:val="0"/>
          <w:sz w:val="32"/>
          <w:szCs w:val="32"/>
          <w:highlight w:val="none"/>
          <w:lang w:val="zh-CN"/>
        </w:rPr>
        <w:t>、软件故障、说明书内容/标识不</w:t>
      </w:r>
      <w:r>
        <w:rPr>
          <w:rFonts w:ascii="Times New Roman" w:hAnsi="Times New Roman" w:eastAsia="仿宋_GB2312" w:cs="Times New Roman"/>
          <w:snapToGrid w:val="0"/>
          <w:color w:val="000000"/>
          <w:kern w:val="0"/>
          <w:sz w:val="32"/>
          <w:szCs w:val="32"/>
          <w:highlight w:val="none"/>
        </w:rPr>
        <w:t>充分等</w:t>
      </w:r>
      <w:r>
        <w:rPr>
          <w:rFonts w:ascii="Times New Roman" w:hAnsi="Times New Roman" w:eastAsia="仿宋_GB2312" w:cs="Times New Roman"/>
          <w:snapToGrid w:val="0"/>
          <w:color w:val="000000"/>
          <w:kern w:val="0"/>
          <w:sz w:val="32"/>
          <w:szCs w:val="32"/>
          <w:highlight w:val="none"/>
          <w:lang w:val="zh-CN"/>
        </w:rPr>
        <w:t>。</w:t>
      </w:r>
      <w:r>
        <w:rPr>
          <w:rFonts w:hint="eastAsia" w:ascii="Times New Roman" w:hAnsi="Times New Roman" w:eastAsia="仿宋_GB2312" w:cs="Times New Roman"/>
          <w:snapToGrid w:val="0"/>
          <w:color w:val="000000"/>
          <w:kern w:val="0"/>
          <w:sz w:val="32"/>
          <w:szCs w:val="32"/>
          <w:highlight w:val="none"/>
          <w:lang w:val="zh-CN"/>
        </w:rPr>
        <w:t>幽门螺杆菌分析仪</w:t>
      </w:r>
      <w:r>
        <w:rPr>
          <w:rFonts w:ascii="Times New Roman" w:hAnsi="Times New Roman" w:eastAsia="仿宋_GB2312" w:cs="Times New Roman"/>
          <w:snapToGrid w:val="0"/>
          <w:color w:val="000000"/>
          <w:kern w:val="0"/>
          <w:sz w:val="32"/>
          <w:szCs w:val="32"/>
          <w:highlight w:val="none"/>
          <w:lang w:val="zh-CN"/>
        </w:rPr>
        <w:t>设备常见的风险示例详见附件表1。</w:t>
      </w:r>
    </w:p>
    <w:p w14:paraId="502B5D47">
      <w:pPr>
        <w:spacing w:line="520" w:lineRule="exact"/>
        <w:ind w:firstLine="640" w:firstLineChars="200"/>
        <w:rPr>
          <w:rFonts w:ascii="Times New Roman" w:hAnsi="Times New Roman" w:eastAsia="仿宋_GB2312" w:cs="Times New Roman"/>
          <w:snapToGrid w:val="0"/>
          <w:color w:val="000000"/>
          <w:kern w:val="0"/>
          <w:sz w:val="32"/>
          <w:szCs w:val="32"/>
          <w:highlight w:val="none"/>
          <w:lang w:val="zh-CN"/>
        </w:rPr>
      </w:pPr>
      <w:r>
        <w:rPr>
          <w:rFonts w:ascii="Times New Roman" w:hAnsi="Times New Roman" w:eastAsia="仿宋_GB2312" w:cs="Times New Roman"/>
          <w:snapToGrid w:val="0"/>
          <w:color w:val="000000"/>
          <w:kern w:val="0"/>
          <w:sz w:val="32"/>
          <w:szCs w:val="32"/>
          <w:highlight w:val="none"/>
          <w:lang w:val="zh-CN"/>
        </w:rPr>
        <w:t>参考《医疗器械安全和性能基本原则符合技术指南》的要求，根据《医疗器械安全和性能基本原则清单》中的各项要求明确适用性。</w:t>
      </w:r>
    </w:p>
    <w:p w14:paraId="1B3ED742">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2.产品技术要求</w:t>
      </w:r>
    </w:p>
    <w:p w14:paraId="02593E5B">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申请人应按照《医疗器械产品技术要求编写指导原则》编写产品技术要求。</w:t>
      </w:r>
    </w:p>
    <w:p w14:paraId="16719A3C">
      <w:pPr>
        <w:spacing w:line="520" w:lineRule="exact"/>
        <w:ind w:firstLine="636" w:firstLineChars="200"/>
        <w:rPr>
          <w:rFonts w:hint="eastAsia" w:ascii="Times New Roman" w:hAnsi="Times New Roman" w:eastAsia="仿宋_GB2312" w:cs="Times New Roman"/>
          <w:color w:val="000000"/>
          <w:spacing w:val="-1"/>
          <w:sz w:val="32"/>
          <w:szCs w:val="32"/>
          <w:highlight w:val="none"/>
          <w:lang w:val="en-US" w:eastAsia="zh-CN"/>
        </w:rPr>
      </w:pPr>
      <w:r>
        <w:rPr>
          <w:rFonts w:hint="eastAsia" w:ascii="Times New Roman" w:hAnsi="Times New Roman" w:eastAsia="仿宋_GB2312" w:cs="Times New Roman"/>
          <w:color w:val="000000"/>
          <w:spacing w:val="-1"/>
          <w:sz w:val="32"/>
          <w:szCs w:val="32"/>
          <w:highlight w:val="none"/>
          <w:lang w:val="en-US" w:eastAsia="zh-CN"/>
        </w:rPr>
        <w:t>2.1产品型号/规格及其划分说明</w:t>
      </w:r>
    </w:p>
    <w:p w14:paraId="1A2992C8">
      <w:pPr>
        <w:spacing w:line="520" w:lineRule="exact"/>
        <w:ind w:firstLine="636" w:firstLineChars="200"/>
        <w:rPr>
          <w:rFonts w:hint="eastAsia"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产品技术要求应明确产品型号规格及划分说明，</w:t>
      </w:r>
      <w:r>
        <w:rPr>
          <w:rFonts w:hint="eastAsia" w:ascii="Times New Roman" w:hAnsi="Times New Roman" w:eastAsia="仿宋_GB2312" w:cs="Times New Roman"/>
          <w:color w:val="000000"/>
          <w:spacing w:val="-1"/>
          <w:sz w:val="32"/>
          <w:szCs w:val="32"/>
          <w:highlight w:val="none"/>
        </w:rPr>
        <w:t>对同一注册单元中存在多种型号、规格的产品，应明确不同型号、规格的划分说明。</w:t>
      </w:r>
    </w:p>
    <w:p w14:paraId="7A2B1D96">
      <w:pPr>
        <w:spacing w:line="520" w:lineRule="exact"/>
        <w:ind w:firstLine="636" w:firstLineChars="200"/>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eastAsia="zh-CN"/>
        </w:rPr>
        <w:t>应</w:t>
      </w:r>
      <w:r>
        <w:rPr>
          <w:rFonts w:hint="eastAsia" w:ascii="Times New Roman" w:hAnsi="Times New Roman" w:eastAsia="仿宋_GB2312" w:cs="Times New Roman"/>
          <w:color w:val="000000"/>
          <w:spacing w:val="-1"/>
          <w:sz w:val="32"/>
          <w:szCs w:val="32"/>
          <w:highlight w:val="none"/>
        </w:rPr>
        <w:t>明确软件名称、发布版本和软件完整版本命名规则，含有多个软件组成模块的，各模块若有单独的软件版本、版本命名规则均需说明。</w:t>
      </w:r>
    </w:p>
    <w:p w14:paraId="6F24C2C3">
      <w:pPr>
        <w:spacing w:line="520" w:lineRule="exact"/>
        <w:ind w:firstLine="636" w:firstLineChars="200"/>
        <w:rPr>
          <w:rFonts w:hint="eastAsia" w:ascii="Times New Roman" w:hAnsi="Times New Roman" w:eastAsia="仿宋_GB2312" w:cs="Times New Roman"/>
          <w:color w:val="000000"/>
          <w:spacing w:val="-1"/>
          <w:sz w:val="32"/>
          <w:szCs w:val="32"/>
          <w:highlight w:val="none"/>
          <w:lang w:val="en-US" w:eastAsia="zh-CN"/>
        </w:rPr>
      </w:pPr>
      <w:r>
        <w:rPr>
          <w:rFonts w:hint="eastAsia" w:ascii="Times New Roman" w:hAnsi="Times New Roman" w:eastAsia="仿宋_GB2312" w:cs="Times New Roman"/>
          <w:color w:val="000000"/>
          <w:spacing w:val="-1"/>
          <w:sz w:val="32"/>
          <w:szCs w:val="32"/>
          <w:highlight w:val="none"/>
          <w:lang w:val="en-US" w:eastAsia="zh-CN"/>
        </w:rPr>
        <w:t>2.2性能指标</w:t>
      </w:r>
    </w:p>
    <w:p w14:paraId="29C30D42">
      <w:pPr>
        <w:spacing w:line="520" w:lineRule="exact"/>
        <w:ind w:firstLine="636" w:firstLineChars="200"/>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性能指标是指可进行客观判定的成品的功能性、安全性指标。应明确产品技术要求中各指标的确定依据、采用的标准或检验方法、采用的原因及理论基础。性能指标的制定应参考相关国家标准/行业标准并结合具体产品的设计特性、预期用途和质量控制水平且不应低于产品适用的强制性国家标准/行业标准要求。</w:t>
      </w:r>
    </w:p>
    <w:p w14:paraId="395DA798">
      <w:pPr>
        <w:spacing w:line="520" w:lineRule="exact"/>
        <w:ind w:firstLine="636" w:firstLineChars="200"/>
        <w:rPr>
          <w:rFonts w:hint="eastAsia" w:ascii="Times New Roman" w:hAnsi="Times New Roman" w:eastAsia="仿宋_GB2312" w:cs="Times New Roman"/>
          <w:color w:val="000000"/>
          <w:spacing w:val="-1"/>
          <w:sz w:val="32"/>
          <w:szCs w:val="32"/>
          <w:highlight w:val="none"/>
          <w:lang w:eastAsia="zh-CN"/>
        </w:rPr>
      </w:pPr>
      <w:r>
        <w:rPr>
          <w:rFonts w:hint="eastAsia" w:ascii="Times New Roman" w:hAnsi="Times New Roman" w:eastAsia="仿宋_GB2312" w:cs="Times New Roman"/>
          <w:color w:val="000000"/>
          <w:spacing w:val="-1"/>
          <w:sz w:val="32"/>
          <w:szCs w:val="32"/>
          <w:highlight w:val="none"/>
        </w:rPr>
        <w:t>幽门螺杆菌分析仪产品</w:t>
      </w:r>
      <w:r>
        <w:rPr>
          <w:rFonts w:hint="eastAsia" w:ascii="Times New Roman" w:hAnsi="Times New Roman" w:eastAsia="仿宋_GB2312" w:cs="Times New Roman"/>
          <w:color w:val="000000"/>
          <w:spacing w:val="-1"/>
          <w:sz w:val="32"/>
          <w:szCs w:val="32"/>
          <w:highlight w:val="none"/>
          <w:lang w:eastAsia="zh-CN"/>
        </w:rPr>
        <w:t>的性能指标至少应包括</w:t>
      </w:r>
      <w:r>
        <w:rPr>
          <w:rFonts w:hint="eastAsia" w:ascii="Times New Roman" w:hAnsi="Times New Roman" w:eastAsia="仿宋_GB2312" w:cs="Times New Roman"/>
          <w:color w:val="000000"/>
          <w:spacing w:val="-1"/>
          <w:sz w:val="32"/>
          <w:szCs w:val="32"/>
          <w:highlight w:val="none"/>
          <w:lang w:val="en-US" w:eastAsia="zh-CN"/>
        </w:rPr>
        <w:t>CO</w:t>
      </w:r>
      <w:r>
        <w:rPr>
          <w:rFonts w:hint="eastAsia" w:ascii="Times New Roman" w:hAnsi="Times New Roman" w:eastAsia="仿宋_GB2312" w:cs="Times New Roman"/>
          <w:color w:val="000000"/>
          <w:spacing w:val="-1"/>
          <w:sz w:val="32"/>
          <w:szCs w:val="32"/>
          <w:highlight w:val="none"/>
          <w:vertAlign w:val="subscript"/>
          <w:lang w:val="en-US" w:eastAsia="zh-CN"/>
        </w:rPr>
        <w:t>2</w:t>
      </w:r>
      <w:r>
        <w:rPr>
          <w:rFonts w:hint="eastAsia" w:ascii="Times New Roman" w:hAnsi="Times New Roman" w:eastAsia="仿宋_GB2312" w:cs="Times New Roman"/>
          <w:color w:val="000000"/>
          <w:spacing w:val="-1"/>
          <w:sz w:val="32"/>
          <w:szCs w:val="32"/>
          <w:highlight w:val="none"/>
          <w:lang w:eastAsia="zh-CN"/>
        </w:rPr>
        <w:t>线性范围、测量准确性、测量稳定性、测量重复性、分析速度、通道间差异（如适用）、携带污染率（如适用）等。</w:t>
      </w:r>
    </w:p>
    <w:p w14:paraId="16DEA17D">
      <w:pPr>
        <w:spacing w:line="520" w:lineRule="exact"/>
        <w:ind w:firstLine="636" w:firstLineChars="200"/>
        <w:rPr>
          <w:rFonts w:hint="eastAsia" w:ascii="Times New Roman" w:hAnsi="Times New Roman" w:eastAsia="仿宋_GB2312" w:cs="Times New Roman"/>
          <w:color w:val="000000"/>
          <w:spacing w:val="-1"/>
          <w:sz w:val="32"/>
          <w:szCs w:val="32"/>
          <w:highlight w:val="none"/>
          <w:lang w:eastAsia="zh-CN"/>
        </w:rPr>
      </w:pPr>
      <w:r>
        <w:rPr>
          <w:rFonts w:hint="eastAsia" w:ascii="Times New Roman" w:hAnsi="Times New Roman" w:eastAsia="仿宋_GB2312" w:cs="Times New Roman"/>
          <w:color w:val="000000"/>
          <w:spacing w:val="-1"/>
          <w:sz w:val="32"/>
          <w:szCs w:val="32"/>
          <w:highlight w:val="none"/>
          <w:lang w:eastAsia="zh-CN"/>
        </w:rPr>
        <w:t>软件功能：应符合《医疗器械软件注册审查指导原则（2022修订版）》的要求，明确软件的功能（核心功能（含安全功能）纲要）、使用限制、接口（如适用）、访问控制（如适用）、运行环境（如适用）、性能效率（如适用）。</w:t>
      </w:r>
    </w:p>
    <w:p w14:paraId="7C24722F">
      <w:pPr>
        <w:spacing w:line="520" w:lineRule="exact"/>
        <w:ind w:firstLine="636" w:firstLineChars="200"/>
        <w:jc w:val="both"/>
        <w:rPr>
          <w:rFonts w:hint="default" w:ascii="Times New Roman" w:hAnsi="Times New Roman" w:eastAsia="仿宋_GB2312" w:cs="Times New Roman"/>
          <w:color w:val="000000"/>
          <w:spacing w:val="-1"/>
          <w:sz w:val="32"/>
          <w:szCs w:val="32"/>
          <w:highlight w:val="none"/>
          <w:lang w:val="en-US" w:eastAsia="zh-CN"/>
        </w:rPr>
      </w:pPr>
      <w:r>
        <w:rPr>
          <w:rFonts w:hint="eastAsia" w:ascii="Times New Roman" w:hAnsi="Times New Roman" w:eastAsia="仿宋_GB2312" w:cs="Times New Roman"/>
          <w:color w:val="000000"/>
          <w:spacing w:val="-1"/>
          <w:sz w:val="32"/>
          <w:szCs w:val="32"/>
          <w:highlight w:val="none"/>
          <w:lang w:eastAsia="zh-CN"/>
        </w:rPr>
        <w:t>安全要求：应符合</w:t>
      </w:r>
      <w:r>
        <w:rPr>
          <w:rFonts w:hint="eastAsia" w:ascii="Times New Roman" w:hAnsi="Times New Roman" w:eastAsia="仿宋_GB2312" w:cs="Times New Roman"/>
          <w:color w:val="000000"/>
          <w:spacing w:val="-1"/>
          <w:sz w:val="32"/>
          <w:szCs w:val="32"/>
          <w:highlight w:val="none"/>
          <w:lang w:val="en-US" w:eastAsia="zh-CN"/>
        </w:rPr>
        <w:t>GB 4793、GB/T 42125.1</w:t>
      </w:r>
      <w:r>
        <w:rPr>
          <w:rFonts w:hint="eastAsia" w:ascii="Times New Roman" w:hAnsi="Times New Roman" w:eastAsia="仿宋_GB2312" w:cs="Times New Roman"/>
          <w:color w:val="auto"/>
          <w:spacing w:val="-1"/>
          <w:sz w:val="32"/>
          <w:szCs w:val="32"/>
          <w:highlight w:val="none"/>
          <w:lang w:val="en-US" w:eastAsia="zh-CN"/>
        </w:rPr>
        <w:t>、GB/T 42125.2（如适用）</w:t>
      </w:r>
      <w:r>
        <w:rPr>
          <w:rFonts w:hint="eastAsia" w:ascii="Times New Roman" w:hAnsi="Times New Roman" w:eastAsia="仿宋_GB2312" w:cs="Times New Roman"/>
          <w:color w:val="000000"/>
          <w:spacing w:val="-1"/>
          <w:sz w:val="32"/>
          <w:szCs w:val="32"/>
          <w:highlight w:val="none"/>
          <w:lang w:val="en-US" w:eastAsia="zh-CN"/>
        </w:rPr>
        <w:t>、YY/T 0648、GB/T 7247.1（如适用）的要求。</w:t>
      </w:r>
    </w:p>
    <w:p w14:paraId="38F88E59">
      <w:pPr>
        <w:spacing w:line="520" w:lineRule="exact"/>
        <w:ind w:firstLine="636" w:firstLineChars="200"/>
        <w:rPr>
          <w:rFonts w:hint="default" w:ascii="Times New Roman" w:hAnsi="Times New Roman" w:eastAsia="仿宋_GB2312" w:cs="Times New Roman"/>
          <w:color w:val="000000"/>
          <w:spacing w:val="-1"/>
          <w:sz w:val="32"/>
          <w:szCs w:val="32"/>
          <w:highlight w:val="none"/>
          <w:lang w:val="en-US" w:eastAsia="zh-CN"/>
        </w:rPr>
      </w:pPr>
      <w:r>
        <w:rPr>
          <w:rFonts w:hint="eastAsia" w:ascii="Times New Roman" w:hAnsi="Times New Roman" w:eastAsia="仿宋_GB2312" w:cs="Times New Roman"/>
          <w:color w:val="000000"/>
          <w:spacing w:val="-1"/>
          <w:sz w:val="32"/>
          <w:szCs w:val="32"/>
          <w:highlight w:val="none"/>
          <w:lang w:val="en-US" w:eastAsia="zh-CN"/>
        </w:rPr>
        <w:t>电磁兼容：应符合GB/T 18268.1、GB/T 18268.26的要求。</w:t>
      </w:r>
    </w:p>
    <w:p w14:paraId="5B60C328">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3.检验报告</w:t>
      </w:r>
    </w:p>
    <w:p w14:paraId="184F7A23">
      <w:pPr>
        <w:spacing w:line="520" w:lineRule="exact"/>
        <w:ind w:firstLine="636" w:firstLineChars="200"/>
        <w:rPr>
          <w:rFonts w:ascii="Times New Roman" w:hAnsi="Times New Roman" w:eastAsia="仿宋_GB2312" w:cs="Times New Roman"/>
          <w:color w:val="000000"/>
          <w:spacing w:val="-1"/>
          <w:sz w:val="30"/>
          <w:szCs w:val="30"/>
          <w:highlight w:val="none"/>
        </w:rPr>
      </w:pPr>
      <w:r>
        <w:rPr>
          <w:rFonts w:hint="eastAsia" w:ascii="Times New Roman" w:hAnsi="Times New Roman" w:eastAsia="仿宋_GB2312" w:cs="Times New Roman"/>
          <w:color w:val="000000"/>
          <w:spacing w:val="-1"/>
          <w:sz w:val="32"/>
          <w:szCs w:val="32"/>
          <w:highlight w:val="none"/>
        </w:rPr>
        <w:t>申请人应提供产品检验报告，可以是申请人出具的自检报告，也可以是委托有资质的医疗器械检验机构出具的检验报告</w:t>
      </w:r>
      <w:r>
        <w:rPr>
          <w:rFonts w:ascii="Times New Roman" w:hAnsi="Times New Roman" w:eastAsia="仿宋_GB2312" w:cs="Times New Roman"/>
          <w:color w:val="000000"/>
          <w:spacing w:val="-1"/>
          <w:sz w:val="32"/>
          <w:szCs w:val="32"/>
          <w:highlight w:val="none"/>
        </w:rPr>
        <w:t>。</w:t>
      </w:r>
    </w:p>
    <w:p w14:paraId="036603C7">
      <w:pPr>
        <w:spacing w:line="520" w:lineRule="exact"/>
        <w:ind w:firstLine="59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0"/>
          <w:szCs w:val="30"/>
          <w:highlight w:val="none"/>
        </w:rPr>
        <w:t>检验报告应提供</w:t>
      </w:r>
      <w:r>
        <w:rPr>
          <w:rFonts w:hint="eastAsia" w:ascii="Times New Roman" w:hAnsi="Times New Roman" w:eastAsia="仿宋_GB2312" w:cs="Times New Roman"/>
          <w:color w:val="000000"/>
          <w:spacing w:val="-1"/>
          <w:sz w:val="32"/>
          <w:szCs w:val="32"/>
          <w:highlight w:val="none"/>
        </w:rPr>
        <w:t>包含软件版本信息的软件用户界面图片，包括软件发布版本及软件完整版本。如无用户界面需列明软件完整版本。</w:t>
      </w:r>
    </w:p>
    <w:p w14:paraId="14A193A2">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同一注册单元内所检验的产品应当能够代表本注册单元内其他产品的安全性和有效性的典型产品。应考虑产品适用范围、性能指标、安全指标、结构组成等，选择功能最全、结构最复杂、风险最高的产品。若一个型号规格不能覆盖其他型号规格的全部性能指标，可以选择多个典型型号规格</w:t>
      </w:r>
      <w:r>
        <w:rPr>
          <w:rFonts w:hint="eastAsia" w:ascii="Times New Roman" w:hAnsi="Times New Roman" w:eastAsia="仿宋_GB2312" w:cs="Times New Roman"/>
          <w:color w:val="000000"/>
          <w:spacing w:val="-1"/>
          <w:sz w:val="32"/>
          <w:szCs w:val="32"/>
          <w:highlight w:val="none"/>
          <w:lang w:eastAsia="zh-CN"/>
        </w:rPr>
        <w:t>。</w:t>
      </w:r>
    </w:p>
    <w:p w14:paraId="2FF46C72">
      <w:pPr>
        <w:numPr>
          <w:ilvl w:val="0"/>
          <w:numId w:val="1"/>
        </w:num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研究资料</w:t>
      </w:r>
    </w:p>
    <w:p w14:paraId="60E37BDB">
      <w:pPr>
        <w:numPr>
          <w:ilvl w:val="0"/>
          <w:numId w:val="0"/>
        </w:num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根据申报产品适用范围和技术特征，提供非临床研究综述，逐项描述所开展的研究，概述研究方法和研究结论。</w:t>
      </w:r>
    </w:p>
    <w:p w14:paraId="5F756595">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val="en-US" w:eastAsia="zh-CN"/>
        </w:rPr>
        <w:t>4</w:t>
      </w:r>
      <w:r>
        <w:rPr>
          <w:rFonts w:ascii="Times New Roman" w:hAnsi="Times New Roman" w:eastAsia="仿宋_GB2312" w:cs="Times New Roman"/>
          <w:color w:val="000000"/>
          <w:spacing w:val="-1"/>
          <w:sz w:val="32"/>
          <w:szCs w:val="32"/>
          <w:highlight w:val="none"/>
        </w:rPr>
        <w:t>.1性能研究</w:t>
      </w:r>
    </w:p>
    <w:p w14:paraId="468447C8">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应当提供产品物理和/或机械性能指标的确定依据、设计输入来源以及临床意义，所采用的标准或方法、采用的原因及理论基础。对于适用的国家标准、行业标准中不适用的条款，说明不适用的理由</w:t>
      </w:r>
      <w:r>
        <w:rPr>
          <w:rFonts w:ascii="Times New Roman" w:hAnsi="Times New Roman" w:eastAsia="仿宋_GB2312" w:cs="Times New Roman"/>
          <w:color w:val="000000"/>
          <w:spacing w:val="-1"/>
          <w:sz w:val="32"/>
          <w:szCs w:val="32"/>
          <w:highlight w:val="none"/>
        </w:rPr>
        <w:t>。</w:t>
      </w:r>
    </w:p>
    <w:p w14:paraId="2FA04BDF">
      <w:pPr>
        <w:spacing w:line="520" w:lineRule="exact"/>
        <w:ind w:firstLine="636" w:firstLineChars="200"/>
        <w:rPr>
          <w:rFonts w:hint="default" w:ascii="Times New Roman" w:hAnsi="Times New Roman" w:eastAsia="仿宋_GB2312" w:cs="Times New Roman"/>
          <w:color w:val="000000"/>
          <w:spacing w:val="-1"/>
          <w:sz w:val="32"/>
          <w:szCs w:val="32"/>
          <w:highlight w:val="none"/>
          <w:lang w:val="en-US" w:eastAsia="zh-CN"/>
        </w:rPr>
      </w:pPr>
      <w:r>
        <w:rPr>
          <w:rFonts w:hint="default" w:ascii="Times New Roman" w:hAnsi="Times New Roman" w:eastAsia="仿宋_GB2312" w:cs="Times New Roman"/>
          <w:color w:val="000000"/>
          <w:spacing w:val="-1"/>
          <w:sz w:val="32"/>
          <w:szCs w:val="32"/>
          <w:highlight w:val="none"/>
          <w:lang w:val="en-US" w:eastAsia="zh-CN"/>
        </w:rPr>
        <w:t>应根据综述资料中有关申报产品结构组成和各主要组成装置的情况，提供申请人设计开发过程中对各模块/部件设计输入输出的详细的研究资料，明确产品功能性指标的评价方式。</w:t>
      </w:r>
    </w:p>
    <w:p w14:paraId="49FB50EB">
      <w:pPr>
        <w:spacing w:line="520" w:lineRule="exact"/>
        <w:ind w:firstLine="636" w:firstLineChars="200"/>
        <w:rPr>
          <w:rFonts w:hint="eastAsia" w:ascii="Times New Roman" w:hAnsi="Times New Roman" w:eastAsia="仿宋_GB2312" w:cs="Times New Roman"/>
          <w:color w:val="auto"/>
          <w:spacing w:val="-1"/>
          <w:sz w:val="32"/>
          <w:szCs w:val="32"/>
          <w:highlight w:val="none"/>
          <w:lang w:eastAsia="zh-CN"/>
        </w:rPr>
      </w:pPr>
      <w:r>
        <w:rPr>
          <w:rFonts w:hint="eastAsia" w:ascii="Times New Roman" w:hAnsi="Times New Roman" w:eastAsia="仿宋_GB2312" w:cs="Times New Roman"/>
          <w:color w:val="auto"/>
          <w:spacing w:val="-1"/>
          <w:sz w:val="32"/>
          <w:szCs w:val="32"/>
          <w:highlight w:val="none"/>
          <w:lang w:eastAsia="zh-CN"/>
        </w:rPr>
        <w:t>应提供空气净化干燥研究资料，说明净化干燥过程和吸附材料的特性，明确空气净化和干燥的要求，应对过滤效果和持续时间进行验证。</w:t>
      </w:r>
    </w:p>
    <w:p w14:paraId="382731A1">
      <w:pPr>
        <w:spacing w:line="520" w:lineRule="exact"/>
        <w:ind w:firstLine="636" w:firstLineChars="200"/>
        <w:rPr>
          <w:rFonts w:hint="default" w:ascii="Times New Roman" w:hAnsi="Times New Roman" w:eastAsia="仿宋_GB2312" w:cs="Times New Roman"/>
          <w:color w:val="auto"/>
          <w:spacing w:val="-1"/>
          <w:sz w:val="32"/>
          <w:szCs w:val="32"/>
          <w:highlight w:val="none"/>
          <w:lang w:eastAsia="zh-CN"/>
        </w:rPr>
      </w:pPr>
      <w:r>
        <w:rPr>
          <w:rFonts w:hint="eastAsia" w:ascii="Times New Roman" w:hAnsi="Times New Roman" w:eastAsia="仿宋_GB2312" w:cs="Times New Roman"/>
          <w:color w:val="auto"/>
          <w:spacing w:val="-1"/>
          <w:sz w:val="32"/>
          <w:szCs w:val="32"/>
          <w:highlight w:val="none"/>
          <w:lang w:eastAsia="zh-CN"/>
        </w:rPr>
        <w:t>应结合光学检测模块的结构设计说明检测原理，提供光源的选择要求，明确光源发出的红外光的波段范围及强度要求，对光源的稳定性进行验证。若结构中包含滤光片，应提供滤光片的选择及其过滤波长范围的要求；若光学模块有温度控制功能，应说明温度控制范围并进行验证。</w:t>
      </w:r>
    </w:p>
    <w:p w14:paraId="6757209C">
      <w:pPr>
        <w:spacing w:line="520" w:lineRule="exact"/>
        <w:ind w:firstLine="636" w:firstLineChars="200"/>
        <w:rPr>
          <w:rFonts w:hint="eastAsia" w:ascii="Times New Roman" w:hAnsi="Times New Roman" w:eastAsia="仿宋_GB2312" w:cs="Times New Roman"/>
          <w:color w:val="auto"/>
          <w:spacing w:val="-1"/>
          <w:sz w:val="32"/>
          <w:szCs w:val="32"/>
          <w:highlight w:val="none"/>
          <w:lang w:eastAsia="zh-CN"/>
        </w:rPr>
      </w:pPr>
      <w:r>
        <w:rPr>
          <w:rFonts w:hint="eastAsia" w:ascii="Times New Roman" w:hAnsi="Times New Roman" w:eastAsia="仿宋_GB2312" w:cs="Times New Roman"/>
          <w:color w:val="auto"/>
          <w:spacing w:val="-1"/>
          <w:sz w:val="32"/>
          <w:szCs w:val="32"/>
          <w:highlight w:val="none"/>
          <w:lang w:eastAsia="zh-CN"/>
        </w:rPr>
        <w:t>应开展</w:t>
      </w:r>
      <w:r>
        <w:rPr>
          <w:rFonts w:hint="eastAsia" w:ascii="Times New Roman" w:hAnsi="Times New Roman" w:eastAsia="仿宋_GB2312" w:cs="Times New Roman"/>
          <w:color w:val="auto"/>
          <w:spacing w:val="-1"/>
          <w:sz w:val="32"/>
          <w:szCs w:val="32"/>
          <w:highlight w:val="none"/>
          <w:lang w:val="en-US" w:eastAsia="zh-CN"/>
        </w:rPr>
        <w:t>检测时间对分析性能影响的研究，确定最佳检测时间，</w:t>
      </w:r>
      <w:r>
        <w:rPr>
          <w:rFonts w:hint="eastAsia" w:ascii="Times New Roman" w:hAnsi="Times New Roman" w:eastAsia="仿宋_GB2312" w:cs="Times New Roman"/>
          <w:color w:val="auto"/>
          <w:spacing w:val="-1"/>
          <w:sz w:val="32"/>
          <w:szCs w:val="32"/>
          <w:highlight w:val="none"/>
          <w:lang w:eastAsia="zh-CN"/>
        </w:rPr>
        <w:t>确保在达到高效检验的同时产品的各项性能指标能满足预期设计</w:t>
      </w:r>
      <w:r>
        <w:rPr>
          <w:rFonts w:hint="eastAsia" w:ascii="Times New Roman" w:hAnsi="Times New Roman" w:eastAsia="仿宋_GB2312" w:cs="Times New Roman"/>
          <w:color w:val="auto"/>
          <w:spacing w:val="-1"/>
          <w:sz w:val="32"/>
          <w:szCs w:val="32"/>
          <w:highlight w:val="none"/>
          <w:lang w:val="en-US" w:eastAsia="zh-CN"/>
        </w:rPr>
        <w:t>要求</w:t>
      </w:r>
      <w:r>
        <w:rPr>
          <w:rFonts w:hint="eastAsia" w:ascii="Times New Roman" w:hAnsi="Times New Roman" w:eastAsia="仿宋_GB2312" w:cs="Times New Roman"/>
          <w:color w:val="auto"/>
          <w:spacing w:val="-1"/>
          <w:sz w:val="32"/>
          <w:szCs w:val="32"/>
          <w:highlight w:val="none"/>
          <w:lang w:eastAsia="zh-CN"/>
        </w:rPr>
        <w:t>。</w:t>
      </w:r>
    </w:p>
    <w:p w14:paraId="5660FAE3">
      <w:pPr>
        <w:spacing w:line="520" w:lineRule="exact"/>
        <w:ind w:firstLine="636" w:firstLineChars="200"/>
        <w:rPr>
          <w:rFonts w:hint="eastAsia" w:ascii="Times New Roman" w:hAnsi="Times New Roman" w:eastAsia="仿宋_GB2312" w:cs="Times New Roman"/>
          <w:color w:val="auto"/>
          <w:spacing w:val="-1"/>
          <w:sz w:val="32"/>
          <w:szCs w:val="32"/>
          <w:highlight w:val="none"/>
          <w:lang w:eastAsia="zh-CN"/>
        </w:rPr>
      </w:pPr>
      <w:r>
        <w:rPr>
          <w:rFonts w:hint="eastAsia" w:ascii="Times New Roman" w:hAnsi="Times New Roman" w:eastAsia="仿宋_GB2312" w:cs="Times New Roman"/>
          <w:color w:val="auto"/>
          <w:spacing w:val="-1"/>
          <w:sz w:val="32"/>
          <w:szCs w:val="32"/>
          <w:highlight w:val="none"/>
          <w:lang w:eastAsia="zh-CN"/>
        </w:rPr>
        <w:t>若产品包含自动上样装置，应提供自动上样性能研究，如上样效率、上样准确性和上样稳定性等。</w:t>
      </w:r>
    </w:p>
    <w:p w14:paraId="18107DD1">
      <w:pPr>
        <w:spacing w:line="520" w:lineRule="exact"/>
        <w:ind w:firstLine="636" w:firstLineChars="200"/>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4.</w:t>
      </w:r>
      <w:r>
        <w:rPr>
          <w:rFonts w:hint="eastAsia" w:ascii="Times New Roman" w:hAnsi="Times New Roman" w:eastAsia="仿宋_GB2312" w:cs="Times New Roman"/>
          <w:color w:val="000000"/>
          <w:spacing w:val="-1"/>
          <w:sz w:val="32"/>
          <w:szCs w:val="32"/>
          <w:highlight w:val="none"/>
          <w:lang w:val="en-US" w:eastAsia="zh-CN"/>
        </w:rPr>
        <w:t>2</w:t>
      </w:r>
      <w:r>
        <w:rPr>
          <w:rFonts w:hint="eastAsia" w:ascii="Times New Roman" w:hAnsi="Times New Roman" w:eastAsia="仿宋_GB2312" w:cs="Times New Roman"/>
          <w:color w:val="000000"/>
          <w:spacing w:val="-1"/>
          <w:sz w:val="32"/>
          <w:szCs w:val="32"/>
          <w:highlight w:val="none"/>
        </w:rPr>
        <w:t>电气系统安全性研究</w:t>
      </w:r>
    </w:p>
    <w:p w14:paraId="625B987D">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应当提供电气安全、机械和环境保护以及电磁兼容性的研究资料，说明适用的标准以及开展的研究。</w:t>
      </w:r>
    </w:p>
    <w:p w14:paraId="7163C432">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val="en-US" w:eastAsia="zh-CN"/>
        </w:rPr>
        <w:t>4</w:t>
      </w:r>
      <w:r>
        <w:rPr>
          <w:rFonts w:ascii="Times New Roman" w:hAnsi="Times New Roman" w:eastAsia="仿宋_GB2312" w:cs="Times New Roman"/>
          <w:color w:val="000000"/>
          <w:spacing w:val="-1"/>
          <w:sz w:val="32"/>
          <w:szCs w:val="32"/>
          <w:highlight w:val="none"/>
        </w:rPr>
        <w:t>.</w:t>
      </w:r>
      <w:r>
        <w:rPr>
          <w:rFonts w:hint="eastAsia" w:ascii="Times New Roman" w:hAnsi="Times New Roman" w:eastAsia="仿宋_GB2312" w:cs="Times New Roman"/>
          <w:color w:val="000000"/>
          <w:spacing w:val="-1"/>
          <w:sz w:val="32"/>
          <w:szCs w:val="32"/>
          <w:highlight w:val="none"/>
          <w:lang w:val="en-US" w:eastAsia="zh-CN"/>
        </w:rPr>
        <w:t>3</w:t>
      </w:r>
      <w:r>
        <w:rPr>
          <w:rFonts w:ascii="Times New Roman" w:hAnsi="Times New Roman" w:eastAsia="仿宋_GB2312" w:cs="Times New Roman"/>
          <w:color w:val="000000"/>
          <w:spacing w:val="-1"/>
          <w:sz w:val="32"/>
          <w:szCs w:val="32"/>
          <w:highlight w:val="none"/>
        </w:rPr>
        <w:t>软件及网络安全研究</w:t>
      </w:r>
    </w:p>
    <w:p w14:paraId="0282285A">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产品结构组成中若包含作为医疗器械组成部分的软件，应参照《医疗器械软件注册审查指导原则（2022年修订版）》的要求提交自研软件研究报告，根据软件的安全性级别（轻微、中等、严重）提交相应软件文档。应给出软件安全性级别及判定理由。</w:t>
      </w:r>
      <w:r>
        <w:rPr>
          <w:rFonts w:hint="eastAsia" w:ascii="Times New Roman" w:hAnsi="Times New Roman" w:eastAsia="仿宋_GB2312" w:cs="Times New Roman"/>
          <w:color w:val="000000"/>
          <w:spacing w:val="-1"/>
          <w:sz w:val="32"/>
          <w:szCs w:val="32"/>
          <w:highlight w:val="none"/>
        </w:rPr>
        <w:t>幽门螺杆菌分析仪</w:t>
      </w:r>
      <w:r>
        <w:rPr>
          <w:rFonts w:ascii="Times New Roman" w:hAnsi="Times New Roman" w:eastAsia="仿宋_GB2312" w:cs="Times New Roman"/>
          <w:color w:val="000000"/>
          <w:spacing w:val="-1"/>
          <w:sz w:val="32"/>
          <w:szCs w:val="32"/>
          <w:highlight w:val="none"/>
        </w:rPr>
        <w:t>软件失效可能会</w:t>
      </w:r>
      <w:r>
        <w:rPr>
          <w:rFonts w:hint="eastAsia" w:ascii="Times New Roman" w:hAnsi="Times New Roman" w:eastAsia="仿宋_GB2312" w:cs="Times New Roman"/>
          <w:color w:val="000000"/>
          <w:spacing w:val="-1"/>
          <w:sz w:val="32"/>
          <w:szCs w:val="32"/>
          <w:highlight w:val="none"/>
          <w:lang w:eastAsia="zh-CN"/>
        </w:rPr>
        <w:t>延误患者诊疗，</w:t>
      </w:r>
      <w:r>
        <w:rPr>
          <w:rFonts w:ascii="Times New Roman" w:hAnsi="Times New Roman" w:eastAsia="仿宋_GB2312" w:cs="Times New Roman"/>
          <w:color w:val="000000"/>
          <w:spacing w:val="-1"/>
          <w:sz w:val="32"/>
          <w:szCs w:val="32"/>
          <w:highlight w:val="none"/>
        </w:rPr>
        <w:t>对患者产生一定的危害，其安全性等级通常不低于中等级别。软件验证和确认应与软件需求规范一致。产品技术要求中软件主要功能应与软件界面以及软件验证一致。</w:t>
      </w:r>
      <w:r>
        <w:rPr>
          <w:rFonts w:hint="eastAsia" w:ascii="Times New Roman" w:hAnsi="Times New Roman" w:eastAsia="仿宋_GB2312" w:cs="Times New Roman"/>
          <w:color w:val="000000"/>
          <w:spacing w:val="-1"/>
          <w:sz w:val="32"/>
          <w:szCs w:val="32"/>
          <w:highlight w:val="none"/>
          <w:lang w:eastAsia="zh-CN"/>
        </w:rPr>
        <w:t>同时</w:t>
      </w:r>
      <w:r>
        <w:rPr>
          <w:rFonts w:hint="eastAsia" w:ascii="Times New Roman" w:hAnsi="Times New Roman" w:eastAsia="仿宋_GB2312" w:cs="Times New Roman"/>
          <w:color w:val="000000"/>
          <w:spacing w:val="-1"/>
          <w:sz w:val="32"/>
          <w:szCs w:val="32"/>
          <w:highlight w:val="none"/>
        </w:rPr>
        <w:t>提交GB/T 25000.51自测报告，亦可提交自检报告或检验报告代替自测报告</w:t>
      </w:r>
    </w:p>
    <w:p w14:paraId="015F6CB8">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若申报产品具备电子数据交换、远程控制或用户访问功能，则应依据《医疗器械网络安全注册审查指导原则（2022年修订版）》提交网络安全研究资料，并按要求在产品技术要求中载明相关信息。</w:t>
      </w:r>
    </w:p>
    <w:p w14:paraId="1C3C0BAC">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val="en-US" w:eastAsia="zh-CN"/>
        </w:rPr>
        <w:t>4</w:t>
      </w:r>
      <w:r>
        <w:rPr>
          <w:rFonts w:ascii="Times New Roman" w:hAnsi="Times New Roman" w:eastAsia="仿宋_GB2312" w:cs="Times New Roman"/>
          <w:color w:val="000000"/>
          <w:spacing w:val="-1"/>
          <w:sz w:val="32"/>
          <w:szCs w:val="32"/>
          <w:highlight w:val="none"/>
        </w:rPr>
        <w:t>.4清洁、消毒、灭菌研究</w:t>
      </w:r>
    </w:p>
    <w:p w14:paraId="3D8126A7">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注册申请人应明确推荐的清洗、消毒、灭菌工艺（方法和参数）及确定依据，应在设计开发过程中对清洗、消毒、灭菌效果进行验证，在说明书中明确推荐的清洗、消毒、灭菌工艺和具体方法、参数。</w:t>
      </w:r>
    </w:p>
    <w:p w14:paraId="2744F019">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val="en-US" w:eastAsia="zh-CN"/>
        </w:rPr>
        <w:t>4</w:t>
      </w:r>
      <w:r>
        <w:rPr>
          <w:rFonts w:ascii="Times New Roman" w:hAnsi="Times New Roman" w:eastAsia="仿宋_GB2312" w:cs="Times New Roman"/>
          <w:color w:val="000000"/>
          <w:spacing w:val="-1"/>
          <w:sz w:val="32"/>
          <w:szCs w:val="32"/>
          <w:highlight w:val="none"/>
        </w:rPr>
        <w:t>.5稳定性研究</w:t>
      </w:r>
    </w:p>
    <w:p w14:paraId="6FDE0BF7">
      <w:pPr>
        <w:spacing w:line="520" w:lineRule="exact"/>
        <w:ind w:firstLine="636" w:firstLineChars="200"/>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val="en-US" w:eastAsia="zh-CN"/>
        </w:rPr>
        <w:t>4</w:t>
      </w:r>
      <w:r>
        <w:rPr>
          <w:rFonts w:hint="eastAsia" w:ascii="Times New Roman" w:hAnsi="Times New Roman" w:eastAsia="仿宋_GB2312" w:cs="Times New Roman"/>
          <w:color w:val="000000"/>
          <w:spacing w:val="-1"/>
          <w:sz w:val="32"/>
          <w:szCs w:val="32"/>
          <w:highlight w:val="none"/>
        </w:rPr>
        <w:t>.</w:t>
      </w:r>
      <w:r>
        <w:rPr>
          <w:rFonts w:hint="eastAsia" w:ascii="Times New Roman" w:hAnsi="Times New Roman" w:eastAsia="仿宋_GB2312" w:cs="Times New Roman"/>
          <w:color w:val="000000"/>
          <w:spacing w:val="-1"/>
          <w:sz w:val="32"/>
          <w:szCs w:val="32"/>
          <w:highlight w:val="none"/>
          <w:lang w:val="en-US" w:eastAsia="zh-CN"/>
        </w:rPr>
        <w:t>5</w:t>
      </w:r>
      <w:r>
        <w:rPr>
          <w:rFonts w:hint="eastAsia" w:ascii="Times New Roman" w:hAnsi="Times New Roman" w:eastAsia="仿宋_GB2312" w:cs="Times New Roman"/>
          <w:color w:val="000000"/>
          <w:spacing w:val="-1"/>
          <w:sz w:val="32"/>
          <w:szCs w:val="32"/>
          <w:highlight w:val="none"/>
        </w:rPr>
        <w:t>.1货架有效期</w:t>
      </w:r>
    </w:p>
    <w:p w14:paraId="6004D456">
      <w:pPr>
        <w:spacing w:line="520" w:lineRule="exact"/>
        <w:ind w:firstLine="636" w:firstLineChars="200"/>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若产品包含一次性使用附件，应当明确附件的货架有效期。应提供货架有效期和包装研究资料，证明在货架有效期内，在规定的运输贮存条件下，产品可保持性能功能满足使用要求。</w:t>
      </w:r>
    </w:p>
    <w:p w14:paraId="60E6D679">
      <w:pPr>
        <w:spacing w:line="520" w:lineRule="exact"/>
        <w:ind w:firstLine="636" w:firstLineChars="200"/>
        <w:rPr>
          <w:rFonts w:hint="eastAsia" w:ascii="Times New Roman" w:hAnsi="Times New Roman" w:eastAsia="仿宋_GB2312" w:cs="Times New Roman"/>
          <w:color w:val="000000"/>
          <w:spacing w:val="-1"/>
          <w:sz w:val="32"/>
          <w:szCs w:val="32"/>
          <w:highlight w:val="none"/>
          <w:lang w:val="en-US" w:eastAsia="zh-CN"/>
        </w:rPr>
      </w:pPr>
      <w:r>
        <w:rPr>
          <w:rFonts w:hint="eastAsia" w:ascii="Times New Roman" w:hAnsi="Times New Roman" w:eastAsia="仿宋_GB2312" w:cs="Times New Roman"/>
          <w:color w:val="000000"/>
          <w:spacing w:val="-1"/>
          <w:sz w:val="32"/>
          <w:szCs w:val="32"/>
          <w:highlight w:val="none"/>
          <w:lang w:val="en-US" w:eastAsia="zh-CN"/>
        </w:rPr>
        <w:t>4.5.2使用稳定性</w:t>
      </w:r>
    </w:p>
    <w:p w14:paraId="72EA9445">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幽门螺杆菌分析仪</w:t>
      </w:r>
      <w:r>
        <w:rPr>
          <w:rFonts w:ascii="Times New Roman" w:hAnsi="Times New Roman" w:eastAsia="仿宋_GB2312" w:cs="Times New Roman"/>
          <w:color w:val="000000"/>
          <w:spacing w:val="-1"/>
          <w:sz w:val="32"/>
          <w:szCs w:val="32"/>
          <w:highlight w:val="none"/>
        </w:rPr>
        <w:t>的</w:t>
      </w:r>
      <w:r>
        <w:rPr>
          <w:rFonts w:hint="eastAsia" w:ascii="Times New Roman" w:hAnsi="Times New Roman" w:eastAsia="仿宋_GB2312" w:cs="Times New Roman"/>
          <w:color w:val="000000"/>
          <w:spacing w:val="-1"/>
          <w:sz w:val="32"/>
          <w:szCs w:val="32"/>
          <w:highlight w:val="none"/>
        </w:rPr>
        <w:t>空气净化干燥模块、气体控制模块、光学检测模块、电路控制模块</w:t>
      </w:r>
      <w:r>
        <w:rPr>
          <w:rFonts w:ascii="Times New Roman" w:hAnsi="Times New Roman" w:eastAsia="仿宋_GB2312" w:cs="Times New Roman"/>
          <w:color w:val="000000"/>
          <w:spacing w:val="-1"/>
          <w:sz w:val="32"/>
          <w:szCs w:val="32"/>
          <w:highlight w:val="none"/>
        </w:rPr>
        <w:t>等</w:t>
      </w:r>
      <w:r>
        <w:rPr>
          <w:rFonts w:hint="eastAsia" w:ascii="Times New Roman" w:hAnsi="Times New Roman" w:eastAsia="仿宋_GB2312" w:cs="Times New Roman"/>
          <w:color w:val="000000"/>
          <w:spacing w:val="-1"/>
          <w:sz w:val="32"/>
          <w:szCs w:val="32"/>
          <w:highlight w:val="none"/>
          <w:lang w:eastAsia="zh-CN"/>
        </w:rPr>
        <w:t>部分的</w:t>
      </w:r>
      <w:r>
        <w:rPr>
          <w:rFonts w:ascii="Times New Roman" w:hAnsi="Times New Roman" w:eastAsia="仿宋_GB2312" w:cs="Times New Roman"/>
          <w:color w:val="000000"/>
          <w:spacing w:val="-1"/>
          <w:sz w:val="32"/>
          <w:szCs w:val="32"/>
          <w:highlight w:val="none"/>
        </w:rPr>
        <w:t>使用期限通常取决于使用过程中部件及元器件的损耗、老化等，应按照声称的使用期限进行老化/疲劳试验，包括影响设备使用期限的关键部件的试验。如果设备包含可更换部件，应在说明书中给出相关说明。使用期限研究可参考《</w:t>
      </w:r>
      <w:bookmarkStart w:id="0" w:name="_Hlk160893311"/>
      <w:r>
        <w:rPr>
          <w:rFonts w:ascii="Times New Roman" w:hAnsi="Times New Roman" w:eastAsia="仿宋_GB2312" w:cs="Times New Roman"/>
          <w:color w:val="000000"/>
          <w:spacing w:val="-1"/>
          <w:sz w:val="32"/>
          <w:szCs w:val="32"/>
          <w:highlight w:val="none"/>
        </w:rPr>
        <w:t>有源医疗器械使用期限技术审查指导原则</w:t>
      </w:r>
      <w:bookmarkEnd w:id="0"/>
      <w:r>
        <w:rPr>
          <w:rFonts w:ascii="Times New Roman" w:hAnsi="Times New Roman" w:eastAsia="仿宋_GB2312" w:cs="Times New Roman"/>
          <w:color w:val="000000"/>
          <w:spacing w:val="-1"/>
          <w:sz w:val="32"/>
          <w:szCs w:val="32"/>
          <w:highlight w:val="none"/>
        </w:rPr>
        <w:t>》的要求。</w:t>
      </w:r>
    </w:p>
    <w:p w14:paraId="687A5223">
      <w:pPr>
        <w:spacing w:line="520" w:lineRule="exact"/>
        <w:ind w:firstLine="636" w:firstLineChars="200"/>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val="en-US" w:eastAsia="zh-CN"/>
        </w:rPr>
        <w:t>4.5.3</w:t>
      </w:r>
      <w:r>
        <w:rPr>
          <w:rFonts w:hint="eastAsia" w:ascii="Times New Roman" w:hAnsi="Times New Roman" w:eastAsia="仿宋_GB2312" w:cs="Times New Roman"/>
          <w:color w:val="000000"/>
          <w:spacing w:val="-1"/>
          <w:sz w:val="32"/>
          <w:szCs w:val="32"/>
          <w:highlight w:val="none"/>
        </w:rPr>
        <w:t>运输稳定性</w:t>
      </w:r>
    </w:p>
    <w:p w14:paraId="61AAC118">
      <w:pPr>
        <w:spacing w:line="520" w:lineRule="exact"/>
        <w:ind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注册人应结合声称的正常工作条件、储运条件开展运输稳定性、包装研究和环境适应性研究，并论述研究方法设置的合理性。应验证在模拟贮存和运输过程中，遇到极端情况时，例如环境（温湿度、气压等）变化、跌落、振动、加速度等，产品不会发生性能、功能改变。经过模拟试验后，观察包装外观是否有不可接受的异常现象，对产品进行关键性能及电气安全性关键指标测试，证明运输和环境试验后，产品能够确保安全有效性。</w:t>
      </w:r>
    </w:p>
    <w:p w14:paraId="7A78C1BC">
      <w:pPr>
        <w:spacing w:line="520" w:lineRule="exact"/>
        <w:ind w:firstLine="636" w:firstLineChars="200"/>
        <w:rPr>
          <w:rFonts w:ascii="Times New Roman" w:hAnsi="Times New Roman" w:eastAsia="仿宋_GB2312" w:cs="Times New Roman"/>
          <w:iCs/>
          <w:color w:val="000000"/>
          <w:spacing w:val="-1"/>
          <w:sz w:val="32"/>
          <w:szCs w:val="32"/>
          <w:highlight w:val="none"/>
        </w:rPr>
      </w:pPr>
      <w:r>
        <w:rPr>
          <w:rFonts w:hint="eastAsia" w:ascii="Times New Roman" w:hAnsi="Times New Roman" w:eastAsia="仿宋_GB2312" w:cs="Times New Roman"/>
          <w:iCs/>
          <w:color w:val="000000"/>
          <w:spacing w:val="-1"/>
          <w:sz w:val="32"/>
          <w:szCs w:val="32"/>
          <w:highlight w:val="none"/>
          <w:lang w:val="en-US" w:eastAsia="zh-CN"/>
        </w:rPr>
        <w:t>4</w:t>
      </w:r>
      <w:r>
        <w:rPr>
          <w:rFonts w:ascii="Times New Roman" w:hAnsi="Times New Roman" w:eastAsia="仿宋_GB2312" w:cs="Times New Roman"/>
          <w:iCs/>
          <w:color w:val="000000"/>
          <w:spacing w:val="-1"/>
          <w:sz w:val="32"/>
          <w:szCs w:val="32"/>
          <w:highlight w:val="none"/>
        </w:rPr>
        <w:t>.</w:t>
      </w:r>
      <w:r>
        <w:rPr>
          <w:rFonts w:hint="eastAsia" w:ascii="Times New Roman" w:hAnsi="Times New Roman" w:eastAsia="仿宋_GB2312" w:cs="Times New Roman"/>
          <w:iCs/>
          <w:color w:val="000000"/>
          <w:spacing w:val="-1"/>
          <w:sz w:val="32"/>
          <w:szCs w:val="32"/>
          <w:highlight w:val="none"/>
          <w:lang w:val="en-US" w:eastAsia="zh-CN"/>
        </w:rPr>
        <w:t>5</w:t>
      </w:r>
      <w:r>
        <w:rPr>
          <w:rFonts w:ascii="Times New Roman" w:hAnsi="Times New Roman" w:eastAsia="仿宋_GB2312" w:cs="Times New Roman"/>
          <w:iCs/>
          <w:color w:val="000000"/>
          <w:spacing w:val="-1"/>
          <w:sz w:val="32"/>
          <w:szCs w:val="32"/>
          <w:highlight w:val="none"/>
        </w:rPr>
        <w:t>可用性研究</w:t>
      </w:r>
    </w:p>
    <w:p w14:paraId="5D01FEC6">
      <w:pPr>
        <w:overflowPunct w:val="0"/>
        <w:spacing w:line="520" w:lineRule="exact"/>
        <w:ind w:firstLine="636"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iCs/>
          <w:color w:val="000000"/>
          <w:spacing w:val="-1"/>
          <w:sz w:val="32"/>
          <w:szCs w:val="32"/>
          <w:highlight w:val="none"/>
        </w:rPr>
        <w:t>注册申请人应结合产品实际情况确定申报产品</w:t>
      </w:r>
      <w:r>
        <w:rPr>
          <w:rFonts w:ascii="Times New Roman" w:hAnsi="Times New Roman" w:eastAsia="仿宋_GB2312" w:cs="Times New Roman"/>
          <w:iCs/>
          <w:color w:val="000000"/>
          <w:sz w:val="32"/>
          <w:szCs w:val="32"/>
          <w:highlight w:val="none"/>
        </w:rPr>
        <w:t>使用风险级别并提交相应级别的可用性研究资料。</w:t>
      </w:r>
    </w:p>
    <w:p w14:paraId="54BEF395">
      <w:pPr>
        <w:spacing w:line="520" w:lineRule="exact"/>
        <w:ind w:firstLine="640" w:firstLineChars="200"/>
        <w:rPr>
          <w:rFonts w:ascii="Times New Roman" w:hAnsi="Times New Roman" w:eastAsia="仿宋_GB2312" w:cs="Times New Roman"/>
          <w:iCs/>
          <w:color w:val="000000"/>
          <w:sz w:val="32"/>
          <w:szCs w:val="32"/>
          <w:highlight w:val="none"/>
        </w:rPr>
      </w:pPr>
      <w:r>
        <w:rPr>
          <w:rFonts w:ascii="Times New Roman" w:hAnsi="Times New Roman" w:eastAsia="仿宋_GB2312" w:cs="Times New Roman"/>
          <w:iCs/>
          <w:color w:val="000000"/>
          <w:sz w:val="32"/>
          <w:szCs w:val="32"/>
          <w:highlight w:val="none"/>
        </w:rPr>
        <w:t>具体提交资料要求应参考《医疗器械可用性工程注册审查指导原则》。</w:t>
      </w:r>
    </w:p>
    <w:p w14:paraId="3DB95020">
      <w:pPr>
        <w:spacing w:line="520" w:lineRule="exact"/>
        <w:ind w:firstLine="640" w:firstLineChars="200"/>
        <w:rPr>
          <w:rFonts w:hint="eastAsia" w:ascii="Times New Roman" w:hAnsi="Times New Roman" w:eastAsia="仿宋_GB2312" w:cs="Times New Roman"/>
          <w:iCs/>
          <w:color w:val="000000"/>
          <w:sz w:val="32"/>
          <w:szCs w:val="32"/>
          <w:highlight w:val="none"/>
          <w:lang w:val="en-US" w:eastAsia="zh-CN"/>
        </w:rPr>
      </w:pPr>
      <w:r>
        <w:rPr>
          <w:rFonts w:hint="eastAsia" w:ascii="Times New Roman" w:hAnsi="Times New Roman" w:eastAsia="仿宋_GB2312" w:cs="Times New Roman"/>
          <w:iCs/>
          <w:color w:val="000000"/>
          <w:sz w:val="32"/>
          <w:szCs w:val="32"/>
          <w:highlight w:val="none"/>
          <w:lang w:val="en-US" w:eastAsia="zh-CN"/>
        </w:rPr>
        <w:t>4.6免于临床评价资料</w:t>
      </w:r>
    </w:p>
    <w:p w14:paraId="41B68D4B">
      <w:pPr>
        <w:spacing w:line="520" w:lineRule="exact"/>
        <w:ind w:firstLine="640" w:firstLineChars="200"/>
        <w:rPr>
          <w:rFonts w:hint="default" w:ascii="Times New Roman" w:hAnsi="Times New Roman" w:eastAsia="仿宋_GB2312" w:cs="Times New Roman"/>
          <w:iCs/>
          <w:color w:val="000000"/>
          <w:sz w:val="32"/>
          <w:szCs w:val="32"/>
          <w:highlight w:val="none"/>
          <w:lang w:val="en-US" w:eastAsia="zh-CN"/>
        </w:rPr>
      </w:pPr>
      <w:r>
        <w:rPr>
          <w:rFonts w:hint="default" w:ascii="Times New Roman" w:hAnsi="Times New Roman" w:eastAsia="仿宋_GB2312" w:cs="Times New Roman"/>
          <w:iCs/>
          <w:color w:val="000000"/>
          <w:sz w:val="32"/>
          <w:szCs w:val="32"/>
          <w:highlight w:val="none"/>
          <w:lang w:val="en-US" w:eastAsia="zh-CN"/>
        </w:rPr>
        <w:t>用于临床诊断由幽门螺杆菌感染引起的疾病的幽门螺杆菌分析仪产品列入《免于临床评价医疗器械目录》（以下简称《目录》）。应参照《列入免于临床评价医疗器械目录产品对比说明技术指导原则》提交申报产品与《目录》所述内容的对比资料及申报产品与《目录》中已获准境内注册医疗器械的对比说明。如经对比存在差异，应提交差异部分对安全有效性影响的分析研究资料。该资料应能证明申报产品与《目录》所述产品的基本等同性，若无法证明，应开展临床评价。</w:t>
      </w:r>
    </w:p>
    <w:p w14:paraId="549B0C98">
      <w:pPr>
        <w:numPr>
          <w:ilvl w:val="0"/>
          <w:numId w:val="2"/>
        </w:numPr>
        <w:spacing w:line="520" w:lineRule="exact"/>
        <w:ind w:right="-67" w:rightChars="-32" w:firstLine="640" w:firstLineChars="200"/>
        <w:rPr>
          <w:rFonts w:ascii="Times New Roman" w:hAnsi="Times New Roman" w:eastAsia="楷体_GB2312" w:cs="Times New Roman"/>
          <w:color w:val="000000"/>
          <w:sz w:val="32"/>
          <w:szCs w:val="32"/>
          <w:highlight w:val="none"/>
        </w:rPr>
      </w:pPr>
      <w:r>
        <w:rPr>
          <w:rFonts w:hint="eastAsia" w:ascii="Times New Roman" w:hAnsi="Times New Roman" w:eastAsia="楷体_GB2312" w:cs="Times New Roman"/>
          <w:color w:val="000000"/>
          <w:sz w:val="32"/>
          <w:szCs w:val="32"/>
          <w:highlight w:val="none"/>
          <w:lang w:eastAsia="zh-CN"/>
        </w:rPr>
        <w:t>临床评价资料</w:t>
      </w:r>
    </w:p>
    <w:p w14:paraId="21D0D57C">
      <w:pPr>
        <w:spacing w:line="520" w:lineRule="exact"/>
        <w:ind w:firstLine="640" w:firstLineChars="200"/>
        <w:rPr>
          <w:rFonts w:hint="default" w:ascii="Times New Roman" w:hAnsi="Times New Roman" w:eastAsia="仿宋_GB2312" w:cs="Times New Roman"/>
          <w:iCs/>
          <w:color w:val="000000"/>
          <w:sz w:val="32"/>
          <w:szCs w:val="32"/>
          <w:highlight w:val="none"/>
          <w:lang w:val="en-US" w:eastAsia="zh-CN"/>
        </w:rPr>
      </w:pPr>
      <w:r>
        <w:rPr>
          <w:rFonts w:hint="eastAsia" w:ascii="Times New Roman" w:hAnsi="Times New Roman" w:eastAsia="仿宋_GB2312" w:cs="Times New Roman"/>
          <w:iCs/>
          <w:color w:val="000000"/>
          <w:sz w:val="32"/>
          <w:szCs w:val="32"/>
          <w:highlight w:val="none"/>
          <w:lang w:val="en-US" w:eastAsia="zh-CN"/>
        </w:rPr>
        <w:t>对于不属于《目录》中的产品，应按照《医疗器械临床评价技术指导原则》提交临床评价资料。</w:t>
      </w:r>
    </w:p>
    <w:p w14:paraId="1EF1B3A5">
      <w:pPr>
        <w:numPr>
          <w:ilvl w:val="0"/>
          <w:numId w:val="2"/>
        </w:numPr>
        <w:spacing w:line="520" w:lineRule="exact"/>
        <w:ind w:right="-67" w:rightChars="-32" w:firstLine="640" w:firstLineChars="200"/>
        <w:rPr>
          <w:rFonts w:ascii="Times New Roman" w:hAnsi="Times New Roman" w:eastAsia="楷体_GB2312" w:cs="Times New Roman"/>
          <w:color w:val="000000"/>
          <w:sz w:val="32"/>
          <w:szCs w:val="32"/>
          <w:highlight w:val="none"/>
        </w:rPr>
      </w:pPr>
      <w:r>
        <w:rPr>
          <w:rFonts w:hint="eastAsia" w:ascii="Times New Roman" w:hAnsi="Times New Roman" w:eastAsia="楷体_GB2312" w:cs="Times New Roman"/>
          <w:color w:val="000000"/>
          <w:sz w:val="32"/>
          <w:szCs w:val="32"/>
          <w:highlight w:val="none"/>
        </w:rPr>
        <w:t>产品说明书和标签样稿</w:t>
      </w:r>
    </w:p>
    <w:p w14:paraId="0C261B5F">
      <w:pPr>
        <w:spacing w:line="520" w:lineRule="exact"/>
        <w:ind w:right="-67" w:rightChars="-32" w:firstLine="636" w:firstLineChars="200"/>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t>产品说明书和标签应符合《医疗器械说明书和标签管理规定》</w:t>
      </w:r>
      <w:r>
        <w:rPr>
          <w:rFonts w:hint="eastAsia" w:ascii="Times New Roman" w:hAnsi="Times New Roman" w:eastAsia="仿宋_GB2312" w:cs="Times New Roman"/>
          <w:color w:val="000000"/>
          <w:spacing w:val="-1"/>
          <w:sz w:val="32"/>
          <w:szCs w:val="32"/>
          <w:highlight w:val="none"/>
        </w:rPr>
        <w:t>》及其他适用规定的要求</w:t>
      </w:r>
      <w:r>
        <w:rPr>
          <w:rFonts w:ascii="Times New Roman" w:hAnsi="Times New Roman" w:eastAsia="仿宋_GB2312" w:cs="Times New Roman"/>
          <w:color w:val="000000"/>
          <w:spacing w:val="-1"/>
          <w:sz w:val="32"/>
          <w:szCs w:val="32"/>
          <w:highlight w:val="none"/>
        </w:rPr>
        <w:t>。</w:t>
      </w:r>
    </w:p>
    <w:p w14:paraId="713A515A">
      <w:pPr>
        <w:spacing w:line="520" w:lineRule="exact"/>
        <w:ind w:right="-67" w:rightChars="-32"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产品说明书的内容均应有明确的来源，与综述资料、研究资料等注册申报资料的内容保持一致。</w:t>
      </w:r>
      <w:r>
        <w:rPr>
          <w:rFonts w:ascii="Times New Roman" w:hAnsi="Times New Roman" w:eastAsia="仿宋_GB2312" w:cs="Times New Roman"/>
          <w:color w:val="000000"/>
          <w:spacing w:val="-1"/>
          <w:sz w:val="32"/>
          <w:szCs w:val="32"/>
          <w:highlight w:val="none"/>
        </w:rPr>
        <w:t>说明书应明确产品在医疗机构中使用。</w:t>
      </w:r>
    </w:p>
    <w:p w14:paraId="06DC7C4F">
      <w:pPr>
        <w:spacing w:line="520" w:lineRule="exact"/>
        <w:ind w:right="-67" w:rightChars="-32"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根据幽门螺杆菌分析仪产品的特征，还应关注如下内容：</w:t>
      </w:r>
    </w:p>
    <w:p w14:paraId="0E74F0EE">
      <w:pPr>
        <w:numPr>
          <w:ilvl w:val="0"/>
          <w:numId w:val="3"/>
        </w:numPr>
        <w:spacing w:line="520" w:lineRule="exact"/>
        <w:ind w:left="0" w:leftChars="0" w:right="-67" w:rightChars="-32" w:firstLine="636" w:firstLineChars="200"/>
        <w:rPr>
          <w:rFonts w:hint="eastAsia" w:ascii="Times New Roman" w:hAnsi="Times New Roman" w:eastAsia="仿宋_GB2312" w:cs="Times New Roman"/>
          <w:color w:val="000000"/>
          <w:spacing w:val="-1"/>
          <w:sz w:val="32"/>
          <w:szCs w:val="32"/>
          <w:highlight w:val="none"/>
          <w:lang w:eastAsia="zh-CN"/>
        </w:rPr>
      </w:pPr>
      <w:r>
        <w:rPr>
          <w:rFonts w:hint="eastAsia" w:ascii="Times New Roman" w:hAnsi="Times New Roman" w:eastAsia="仿宋_GB2312" w:cs="Times New Roman"/>
          <w:color w:val="000000"/>
          <w:spacing w:val="-1"/>
          <w:sz w:val="32"/>
          <w:szCs w:val="32"/>
          <w:highlight w:val="none"/>
          <w:lang w:eastAsia="zh-CN"/>
        </w:rPr>
        <w:t>应对产品整机及各主要模块分别进行具体描述，必要时可采用实物照片加示意图的形式，说明产品的具体操作方法，明确各接口、按键的功能。</w:t>
      </w:r>
    </w:p>
    <w:p w14:paraId="2AD3ECDD">
      <w:pPr>
        <w:numPr>
          <w:ilvl w:val="0"/>
          <w:numId w:val="3"/>
        </w:numPr>
        <w:spacing w:line="520" w:lineRule="exact"/>
        <w:ind w:left="0" w:leftChars="0" w:right="-67" w:rightChars="-32"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eastAsia="zh-CN"/>
        </w:rPr>
        <w:t>应对软件的全部功能进行描述，对用户界面、各功能窗口涉及的操作功能以软件界面图加文字进行介绍，明确软件的发布版本。</w:t>
      </w:r>
    </w:p>
    <w:p w14:paraId="11F6BDCD">
      <w:pPr>
        <w:numPr>
          <w:ilvl w:val="0"/>
          <w:numId w:val="3"/>
        </w:numPr>
        <w:spacing w:line="520" w:lineRule="exact"/>
        <w:ind w:left="0" w:leftChars="0" w:right="-67" w:rightChars="-32"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rPr>
        <w:t>应明确产品校准及质控的要求及具体操作方法</w:t>
      </w:r>
      <w:r>
        <w:rPr>
          <w:rFonts w:hint="eastAsia" w:ascii="Times New Roman" w:hAnsi="Times New Roman" w:eastAsia="仿宋_GB2312" w:cs="Times New Roman"/>
          <w:color w:val="000000"/>
          <w:spacing w:val="-1"/>
          <w:sz w:val="32"/>
          <w:szCs w:val="32"/>
          <w:highlight w:val="none"/>
          <w:lang w:eastAsia="zh-CN"/>
        </w:rPr>
        <w:t>。</w:t>
      </w:r>
    </w:p>
    <w:p w14:paraId="2A5DC183">
      <w:pPr>
        <w:numPr>
          <w:ilvl w:val="0"/>
          <w:numId w:val="3"/>
        </w:numPr>
        <w:spacing w:line="520" w:lineRule="exact"/>
        <w:ind w:left="0" w:leftChars="0" w:right="-67" w:rightChars="-32"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eastAsia="zh-CN"/>
        </w:rPr>
        <w:t>应说明产品使用的注意事项，如：</w:t>
      </w:r>
    </w:p>
    <w:p w14:paraId="0437A08C">
      <w:pPr>
        <w:numPr>
          <w:ilvl w:val="0"/>
          <w:numId w:val="0"/>
        </w:numPr>
        <w:spacing w:line="520" w:lineRule="exact"/>
        <w:ind w:right="-67" w:rightChars="-32" w:firstLine="636" w:firstLineChars="200"/>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eastAsia="zh-CN"/>
        </w:rPr>
        <w:t>（</w:t>
      </w:r>
      <w:r>
        <w:rPr>
          <w:rFonts w:hint="eastAsia" w:ascii="Times New Roman" w:hAnsi="Times New Roman" w:eastAsia="仿宋_GB2312" w:cs="Times New Roman"/>
          <w:color w:val="000000"/>
          <w:spacing w:val="-1"/>
          <w:sz w:val="32"/>
          <w:szCs w:val="32"/>
          <w:highlight w:val="none"/>
          <w:lang w:val="en-US" w:eastAsia="zh-CN"/>
        </w:rPr>
        <w:t>1</w:t>
      </w:r>
      <w:r>
        <w:rPr>
          <w:rFonts w:hint="eastAsia" w:ascii="Times New Roman" w:hAnsi="Times New Roman" w:eastAsia="仿宋_GB2312" w:cs="Times New Roman"/>
          <w:color w:val="000000"/>
          <w:spacing w:val="-1"/>
          <w:sz w:val="32"/>
          <w:szCs w:val="32"/>
          <w:highlight w:val="none"/>
          <w:lang w:eastAsia="zh-CN"/>
        </w:rPr>
        <w:t>）</w:t>
      </w:r>
      <w:r>
        <w:rPr>
          <w:rFonts w:hint="eastAsia" w:ascii="Times New Roman" w:hAnsi="Times New Roman" w:eastAsia="仿宋_GB2312" w:cs="Times New Roman"/>
          <w:color w:val="000000"/>
          <w:spacing w:val="-1"/>
          <w:sz w:val="32"/>
          <w:szCs w:val="32"/>
          <w:highlight w:val="none"/>
        </w:rPr>
        <w:t>检测前应空腹或至少禁食2 h以上。</w:t>
      </w:r>
    </w:p>
    <w:p w14:paraId="261B1915">
      <w:pPr>
        <w:numPr>
          <w:ilvl w:val="0"/>
          <w:numId w:val="0"/>
        </w:numPr>
        <w:spacing w:line="520" w:lineRule="exact"/>
        <w:ind w:right="-67" w:rightChars="-32" w:firstLine="636" w:firstLineChars="200"/>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eastAsia="zh-CN"/>
        </w:rPr>
        <w:t>（</w:t>
      </w:r>
      <w:r>
        <w:rPr>
          <w:rFonts w:hint="eastAsia" w:ascii="Times New Roman" w:hAnsi="Times New Roman" w:eastAsia="仿宋_GB2312" w:cs="Times New Roman"/>
          <w:color w:val="000000"/>
          <w:spacing w:val="-1"/>
          <w:sz w:val="32"/>
          <w:szCs w:val="32"/>
          <w:highlight w:val="none"/>
        </w:rPr>
        <w:t>2</w:t>
      </w:r>
      <w:r>
        <w:rPr>
          <w:rFonts w:hint="eastAsia" w:ascii="Times New Roman" w:hAnsi="Times New Roman" w:eastAsia="仿宋_GB2312" w:cs="Times New Roman"/>
          <w:color w:val="000000"/>
          <w:spacing w:val="-1"/>
          <w:sz w:val="32"/>
          <w:szCs w:val="32"/>
          <w:highlight w:val="none"/>
          <w:lang w:eastAsia="zh-CN"/>
        </w:rPr>
        <w:t>）</w:t>
      </w:r>
      <w:r>
        <w:rPr>
          <w:rFonts w:hint="eastAsia" w:ascii="Times New Roman" w:hAnsi="Times New Roman" w:eastAsia="仿宋_GB2312" w:cs="Times New Roman"/>
          <w:color w:val="000000"/>
          <w:spacing w:val="-1"/>
          <w:sz w:val="32"/>
          <w:szCs w:val="32"/>
          <w:highlight w:val="none"/>
        </w:rPr>
        <w:t>近期使用过质子泵抑制剂、钾离子竞争性酸阻滞剂、铋剂、抗菌等药物，可能会导致检测结果假阴性。</w:t>
      </w:r>
    </w:p>
    <w:p w14:paraId="4E16A449">
      <w:pPr>
        <w:numPr>
          <w:ilvl w:val="0"/>
          <w:numId w:val="0"/>
        </w:numPr>
        <w:spacing w:line="520" w:lineRule="exact"/>
        <w:ind w:right="-67" w:rightChars="-32" w:firstLine="636" w:firstLineChars="200"/>
        <w:rPr>
          <w:rFonts w:hint="eastAsia"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eastAsia="zh-CN"/>
        </w:rPr>
        <w:t>（</w:t>
      </w:r>
      <w:r>
        <w:rPr>
          <w:rFonts w:hint="eastAsia" w:ascii="Times New Roman" w:hAnsi="Times New Roman" w:eastAsia="仿宋_GB2312" w:cs="Times New Roman"/>
          <w:color w:val="000000"/>
          <w:spacing w:val="-1"/>
          <w:sz w:val="32"/>
          <w:szCs w:val="32"/>
          <w:highlight w:val="none"/>
        </w:rPr>
        <w:t>3</w:t>
      </w:r>
      <w:r>
        <w:rPr>
          <w:rFonts w:hint="eastAsia" w:ascii="Times New Roman" w:hAnsi="Times New Roman" w:eastAsia="仿宋_GB2312" w:cs="Times New Roman"/>
          <w:color w:val="000000"/>
          <w:spacing w:val="-1"/>
          <w:sz w:val="32"/>
          <w:szCs w:val="32"/>
          <w:highlight w:val="none"/>
          <w:lang w:eastAsia="zh-CN"/>
        </w:rPr>
        <w:t>）</w:t>
      </w:r>
      <w:r>
        <w:rPr>
          <w:rFonts w:hint="eastAsia" w:ascii="Times New Roman" w:hAnsi="Times New Roman" w:eastAsia="仿宋_GB2312" w:cs="Times New Roman"/>
          <w:color w:val="000000"/>
          <w:spacing w:val="-1"/>
          <w:sz w:val="32"/>
          <w:szCs w:val="32"/>
          <w:highlight w:val="none"/>
        </w:rPr>
        <w:t>上消化道急性出血和胃大部切除手术史可能导致结果假阴性。</w:t>
      </w:r>
    </w:p>
    <w:p w14:paraId="23825A6D">
      <w:pPr>
        <w:numPr>
          <w:ilvl w:val="0"/>
          <w:numId w:val="0"/>
        </w:numPr>
        <w:spacing w:line="520" w:lineRule="exact"/>
        <w:ind w:right="-67" w:rightChars="-32"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eastAsia="zh-CN"/>
        </w:rPr>
        <w:t>（</w:t>
      </w:r>
      <w:r>
        <w:rPr>
          <w:rFonts w:hint="eastAsia" w:ascii="Times New Roman" w:hAnsi="Times New Roman" w:eastAsia="仿宋_GB2312" w:cs="Times New Roman"/>
          <w:color w:val="000000"/>
          <w:spacing w:val="-1"/>
          <w:sz w:val="32"/>
          <w:szCs w:val="32"/>
          <w:highlight w:val="none"/>
        </w:rPr>
        <w:t>4</w:t>
      </w:r>
      <w:r>
        <w:rPr>
          <w:rFonts w:hint="eastAsia" w:ascii="Times New Roman" w:hAnsi="Times New Roman" w:eastAsia="仿宋_GB2312" w:cs="Times New Roman"/>
          <w:color w:val="000000"/>
          <w:spacing w:val="-1"/>
          <w:sz w:val="32"/>
          <w:szCs w:val="32"/>
          <w:highlight w:val="none"/>
          <w:lang w:eastAsia="zh-CN"/>
        </w:rPr>
        <w:t>）</w:t>
      </w:r>
      <w:r>
        <w:rPr>
          <w:rFonts w:hint="eastAsia" w:ascii="Times New Roman" w:hAnsi="Times New Roman" w:eastAsia="仿宋_GB2312" w:cs="Times New Roman"/>
          <w:color w:val="000000"/>
          <w:spacing w:val="-1"/>
          <w:sz w:val="32"/>
          <w:szCs w:val="32"/>
          <w:highlight w:val="none"/>
        </w:rPr>
        <w:t>服药后等候期间应保持平静状态，禁止进食、进水、吸烟和剧烈运动。</w:t>
      </w:r>
    </w:p>
    <w:p w14:paraId="1A6B6276">
      <w:pPr>
        <w:numPr>
          <w:ilvl w:val="0"/>
          <w:numId w:val="3"/>
        </w:numPr>
        <w:spacing w:line="520" w:lineRule="exact"/>
        <w:ind w:left="0" w:leftChars="0" w:right="-67" w:rightChars="-32" w:firstLine="636" w:firstLineChars="200"/>
        <w:rPr>
          <w:rFonts w:ascii="Times New Roman" w:hAnsi="Times New Roman" w:eastAsia="仿宋_GB2312" w:cs="Times New Roman"/>
          <w:color w:val="000000"/>
          <w:spacing w:val="-1"/>
          <w:sz w:val="32"/>
          <w:szCs w:val="32"/>
          <w:highlight w:val="none"/>
        </w:rPr>
      </w:pPr>
      <w:r>
        <w:rPr>
          <w:rFonts w:hint="eastAsia" w:ascii="Times New Roman" w:hAnsi="Times New Roman" w:eastAsia="仿宋_GB2312" w:cs="Times New Roman"/>
          <w:color w:val="000000"/>
          <w:spacing w:val="-1"/>
          <w:sz w:val="32"/>
          <w:szCs w:val="32"/>
          <w:highlight w:val="none"/>
          <w:lang w:eastAsia="zh-CN"/>
        </w:rPr>
        <w:t>应</w:t>
      </w:r>
      <w:r>
        <w:rPr>
          <w:rFonts w:hint="eastAsia" w:ascii="Times New Roman" w:hAnsi="Times New Roman" w:eastAsia="仿宋_GB2312" w:cs="Times New Roman"/>
          <w:color w:val="000000"/>
          <w:spacing w:val="-1"/>
          <w:sz w:val="32"/>
          <w:szCs w:val="32"/>
          <w:highlight w:val="none"/>
        </w:rPr>
        <w:t>明确产品的使用期限和维护校准的周期，其中可更换部件和/或配件应明确更换周期以及具体的更换方法</w:t>
      </w:r>
      <w:r>
        <w:rPr>
          <w:rFonts w:ascii="Times New Roman" w:hAnsi="Times New Roman" w:eastAsia="仿宋_GB2312" w:cs="Times New Roman"/>
          <w:color w:val="000000"/>
          <w:spacing w:val="-1"/>
          <w:sz w:val="32"/>
          <w:szCs w:val="32"/>
          <w:highlight w:val="none"/>
        </w:rPr>
        <w:t>。</w:t>
      </w:r>
    </w:p>
    <w:p w14:paraId="067D1294">
      <w:pPr>
        <w:numPr>
          <w:ilvl w:val="0"/>
          <w:numId w:val="4"/>
        </w:numPr>
        <w:spacing w:line="520" w:lineRule="exact"/>
        <w:ind w:right="-67" w:rightChars="-32" w:firstLine="640" w:firstLineChars="200"/>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参考文献</w:t>
      </w:r>
    </w:p>
    <w:p w14:paraId="5E1A73BF">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[1]中华人民共和国国务院.医疗器械监督管理条例:国务院令第739号[Z].</w:t>
      </w:r>
    </w:p>
    <w:p w14:paraId="568FA7EA">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[2]国家市场监督管理总局.医疗器械注册与备案管理办法:国家市场监督管理总局令第47号[Z].</w:t>
      </w:r>
    </w:p>
    <w:p w14:paraId="642A5E97">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[3]国家食品药品监督管理总局.医疗器械说明书和标签管理规定:国家食品药品监督管理总局令第6号[Z].</w:t>
      </w:r>
    </w:p>
    <w:p w14:paraId="71026AC8">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[4]国家药品监督管理局.关于公布医疗器械注册申报资料要求和批准证明文件格式的公告:国家药品监督管理局公告2021年第121号[Z].</w:t>
      </w:r>
    </w:p>
    <w:p w14:paraId="3D46C98F">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[5]国家食品药品监督管理总局.医疗器械注册单元划分指导原则:</w:t>
      </w:r>
      <w:r>
        <w:rPr>
          <w:rFonts w:ascii="Times New Roman" w:hAnsi="Times New Roman" w:eastAsia="仿宋_GB2312" w:cs="Times New Roman"/>
          <w:color w:val="000000"/>
          <w:highlight w:val="none"/>
        </w:rPr>
        <w:t xml:space="preserve"> </w:t>
      </w:r>
      <w:r>
        <w:rPr>
          <w:rFonts w:ascii="Times New Roman" w:hAnsi="Times New Roman" w:eastAsia="仿宋_GB2312" w:cs="Times New Roman"/>
          <w:color w:val="000000"/>
          <w:sz w:val="32"/>
          <w:szCs w:val="32"/>
          <w:highlight w:val="none"/>
        </w:rPr>
        <w:t>国家食品药品监督管理总局通告2017年第187号[Z].</w:t>
      </w:r>
    </w:p>
    <w:p w14:paraId="58EAFD12">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[6]国家药品监督管理局医疗器械技术审评中心.医疗器械软件注册审查指导原则（2022年修订版）: 国家药品监督管理局医疗器械技术审评中心公告2022年第9号[Z].</w:t>
      </w:r>
    </w:p>
    <w:p w14:paraId="4CBE70EE">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[7]国家药品监督管理局医疗器械技术审评中心.医疗器械网络安全注册审查指导原则（2022年修订版）: 国家药品监督管理局医疗器械技术审评中心公告2022年第7号[Z].</w:t>
      </w:r>
    </w:p>
    <w:p w14:paraId="77156C8E">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[8]国家药品监督管理局.医疗器械产品技术要求编写指导原则：</w:t>
      </w:r>
      <w:bookmarkStart w:id="1" w:name="_Hlk160892616"/>
      <w:r>
        <w:rPr>
          <w:rFonts w:ascii="Times New Roman" w:hAnsi="Times New Roman" w:eastAsia="仿宋_GB2312" w:cs="Times New Roman"/>
          <w:color w:val="000000"/>
          <w:sz w:val="32"/>
          <w:szCs w:val="32"/>
          <w:highlight w:val="none"/>
        </w:rPr>
        <w:t>国家药品监督管理局通告2022年第8号</w:t>
      </w:r>
      <w:bookmarkEnd w:id="1"/>
      <w:r>
        <w:rPr>
          <w:rFonts w:ascii="Times New Roman" w:hAnsi="Times New Roman" w:eastAsia="仿宋_GB2312" w:cs="Times New Roman"/>
          <w:color w:val="000000"/>
          <w:sz w:val="32"/>
          <w:szCs w:val="32"/>
          <w:highlight w:val="none"/>
        </w:rPr>
        <w:t>[Z].</w:t>
      </w:r>
    </w:p>
    <w:p w14:paraId="26AC4F74">
      <w:pPr>
        <w:spacing w:line="520" w:lineRule="exact"/>
        <w:ind w:firstLine="640" w:firstLineChars="200"/>
        <w:rPr>
          <w:rFonts w:hint="eastAsia"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[9]</w:t>
      </w:r>
      <w:r>
        <w:rPr>
          <w:rFonts w:hint="eastAsia" w:ascii="Times New Roman" w:hAnsi="Times New Roman" w:eastAsia="仿宋_GB2312" w:cs="Times New Roman"/>
          <w:color w:val="000000"/>
          <w:sz w:val="32"/>
          <w:szCs w:val="32"/>
          <w:highlight w:val="none"/>
        </w:rPr>
        <w:t>国家药品监督管理局.医疗器械可用性工程注册审查指导原则：国家药监局器审中心通告2024年第13号[Z].</w:t>
      </w:r>
    </w:p>
    <w:p w14:paraId="61F74DB0">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[10]国家药品监督管理局.有源医疗器械使用期限技术审查指导原则：国家药品监督管理局通告2019年第23号[Z].</w:t>
      </w:r>
    </w:p>
    <w:p w14:paraId="7C634DD8">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[11]国家药品监督管理局.国家药监局关于发布医疗器械安全和性能基本原则的通告:国家药品监督管理局通告2020年第18号[Z].</w:t>
      </w:r>
    </w:p>
    <w:p w14:paraId="56D5B995">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[12]国家药品监督管理局.医疗器械临床评价技术指导原则：国家药品监督管理局通告2021年第73号 [Z].</w:t>
      </w:r>
    </w:p>
    <w:p w14:paraId="1C81D30A">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r>
        <w:rPr>
          <w:rFonts w:hint="eastAsia" w:ascii="Times New Roman" w:hAnsi="Times New Roman" w:eastAsia="仿宋_GB2312" w:cs="Times New Roman"/>
          <w:color w:val="000000"/>
          <w:sz w:val="32"/>
          <w:szCs w:val="32"/>
          <w:highlight w:val="none"/>
          <w:lang w:val="en-US" w:eastAsia="zh-CN"/>
        </w:rPr>
        <w:t>3</w:t>
      </w:r>
      <w:r>
        <w:rPr>
          <w:rFonts w:hint="eastAsia" w:ascii="Times New Roman" w:hAnsi="Times New Roman" w:eastAsia="仿宋_GB2312" w:cs="Times New Roman"/>
          <w:color w:val="000000"/>
          <w:sz w:val="32"/>
          <w:szCs w:val="32"/>
          <w:highlight w:val="none"/>
        </w:rPr>
        <w:t>]国家药品监督管理局.医疗器械临床评价等同性论证技术指导原则:国家药监局通告2021年第73号[Z].</w:t>
      </w:r>
    </w:p>
    <w:p w14:paraId="57CC6688">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r>
        <w:rPr>
          <w:rFonts w:hint="eastAsia" w:ascii="Times New Roman" w:hAnsi="Times New Roman" w:eastAsia="仿宋_GB2312" w:cs="Times New Roman"/>
          <w:color w:val="000000"/>
          <w:sz w:val="32"/>
          <w:szCs w:val="32"/>
          <w:highlight w:val="none"/>
          <w:lang w:val="en-US" w:eastAsia="zh-CN"/>
        </w:rPr>
        <w:t>4</w:t>
      </w:r>
      <w:r>
        <w:rPr>
          <w:rFonts w:hint="eastAsia" w:ascii="Times New Roman" w:hAnsi="Times New Roman" w:eastAsia="仿宋_GB2312" w:cs="Times New Roman"/>
          <w:color w:val="000000"/>
          <w:sz w:val="32"/>
          <w:szCs w:val="32"/>
          <w:highlight w:val="none"/>
        </w:rPr>
        <w:t>]国家药品监督管理局.医疗器械注册申报临床评价报告技术指导原则:国家药监局通告2021年第73号[Z].</w:t>
      </w:r>
    </w:p>
    <w:p w14:paraId="29C2103A">
      <w:pPr>
        <w:spacing w:line="520" w:lineRule="exact"/>
        <w:ind w:firstLine="640" w:firstLineChars="200"/>
        <w:rPr>
          <w:rFonts w:ascii="Times New Roman" w:hAnsi="Times New Roman" w:eastAsia="仿宋_GB2312" w:cs="Times New Roman"/>
          <w:color w:val="000000"/>
          <w:sz w:val="32"/>
          <w:szCs w:val="32"/>
          <w:highlight w:val="none"/>
        </w:rPr>
      </w:pPr>
      <w:r>
        <w:rPr>
          <w:rFonts w:ascii="Times New Roman" w:hAnsi="Times New Roman" w:eastAsia="仿宋_GB2312" w:cs="Times New Roman"/>
          <w:color w:val="000000"/>
          <w:sz w:val="32"/>
          <w:szCs w:val="32"/>
          <w:highlight w:val="none"/>
        </w:rPr>
        <w:t>[1</w:t>
      </w:r>
      <w:r>
        <w:rPr>
          <w:rFonts w:hint="eastAsia" w:ascii="Times New Roman" w:hAnsi="Times New Roman" w:eastAsia="仿宋_GB2312" w:cs="Times New Roman"/>
          <w:color w:val="000000"/>
          <w:sz w:val="32"/>
          <w:szCs w:val="32"/>
          <w:highlight w:val="none"/>
          <w:lang w:val="en-US" w:eastAsia="zh-CN"/>
        </w:rPr>
        <w:t>5</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rPr>
        <w:t>中华医学会消化病学分会幽门螺杆菌学组</w:t>
      </w:r>
      <w:r>
        <w:rPr>
          <w:rFonts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rPr>
        <w:t>第六次全国幽门螺杆菌感染处理共识报告</w:t>
      </w:r>
      <w:r>
        <w:rPr>
          <w:rFonts w:ascii="Times New Roman" w:hAnsi="Times New Roman" w:eastAsia="仿宋_GB2312" w:cs="Times New Roman"/>
          <w:color w:val="000000"/>
          <w:sz w:val="32"/>
          <w:szCs w:val="32"/>
          <w:highlight w:val="none"/>
        </w:rPr>
        <w:t>[M].</w:t>
      </w:r>
      <w:r>
        <w:rPr>
          <w:rFonts w:hint="eastAsia" w:ascii="Times New Roman" w:hAnsi="Times New Roman" w:eastAsia="仿宋_GB2312" w:cs="Times New Roman"/>
          <w:color w:val="000000"/>
          <w:sz w:val="32"/>
          <w:szCs w:val="32"/>
          <w:highlight w:val="none"/>
        </w:rPr>
        <w:t>胃肠病学</w:t>
      </w:r>
      <w:r>
        <w:rPr>
          <w:rFonts w:ascii="Times New Roman" w:hAnsi="Times New Roman" w:eastAsia="仿宋_GB2312" w:cs="Times New Roman"/>
          <w:color w:val="000000"/>
          <w:sz w:val="32"/>
          <w:szCs w:val="32"/>
          <w:highlight w:val="none"/>
        </w:rPr>
        <w:t>,20</w:t>
      </w:r>
      <w:r>
        <w:rPr>
          <w:rFonts w:hint="eastAsia" w:ascii="Times New Roman" w:hAnsi="Times New Roman" w:eastAsia="仿宋_GB2312" w:cs="Times New Roman"/>
          <w:color w:val="000000"/>
          <w:sz w:val="32"/>
          <w:szCs w:val="32"/>
          <w:highlight w:val="none"/>
          <w:lang w:val="en-US" w:eastAsia="zh-CN"/>
        </w:rPr>
        <w:t>22</w:t>
      </w:r>
      <w:r>
        <w:rPr>
          <w:rFonts w:ascii="Times New Roman" w:hAnsi="Times New Roman" w:eastAsia="仿宋_GB2312" w:cs="Times New Roman"/>
          <w:color w:val="000000"/>
          <w:sz w:val="32"/>
          <w:szCs w:val="32"/>
          <w:highlight w:val="none"/>
        </w:rPr>
        <w:t>.</w:t>
      </w:r>
    </w:p>
    <w:p w14:paraId="519CD841">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16</w:t>
      </w:r>
      <w:r>
        <w:rPr>
          <w:rFonts w:hint="eastAsia" w:ascii="Times New Roman" w:hAnsi="Times New Roman" w:eastAsia="仿宋_GB2312" w:cs="Times New Roman"/>
          <w:color w:val="000000"/>
          <w:sz w:val="32"/>
          <w:szCs w:val="32"/>
          <w:highlight w:val="none"/>
        </w:rPr>
        <w:t>]GB 4793-2024,测量、控制和实验室用电气设备安全技术规范[S].</w:t>
      </w:r>
    </w:p>
    <w:p w14:paraId="6E3B08B4">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r>
        <w:rPr>
          <w:rFonts w:hint="eastAsia" w:ascii="Times New Roman" w:hAnsi="Times New Roman" w:eastAsia="仿宋_GB2312" w:cs="Times New Roman"/>
          <w:color w:val="000000"/>
          <w:sz w:val="32"/>
          <w:szCs w:val="32"/>
          <w:highlight w:val="none"/>
          <w:lang w:val="en-US" w:eastAsia="zh-CN"/>
        </w:rPr>
        <w:t>7</w:t>
      </w:r>
      <w:r>
        <w:rPr>
          <w:rFonts w:hint="eastAsia" w:ascii="Times New Roman" w:hAnsi="Times New Roman" w:eastAsia="仿宋_GB2312" w:cs="Times New Roman"/>
          <w:color w:val="000000"/>
          <w:sz w:val="32"/>
          <w:szCs w:val="32"/>
          <w:highlight w:val="none"/>
        </w:rPr>
        <w:t>]GB/T 42125.1-2024,测量、控制和实验室用电气设备的安全要求 第1部分：通用要求[S].</w:t>
      </w:r>
    </w:p>
    <w:p w14:paraId="362C2258">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r>
        <w:rPr>
          <w:rFonts w:hint="eastAsia" w:ascii="Times New Roman" w:hAnsi="Times New Roman" w:eastAsia="仿宋_GB2312" w:cs="Times New Roman"/>
          <w:color w:val="000000"/>
          <w:sz w:val="32"/>
          <w:szCs w:val="32"/>
          <w:highlight w:val="none"/>
          <w:lang w:val="en-US" w:eastAsia="zh-CN"/>
        </w:rPr>
        <w:t>8</w:t>
      </w:r>
      <w:r>
        <w:rPr>
          <w:rFonts w:hint="eastAsia" w:ascii="Times New Roman" w:hAnsi="Times New Roman" w:eastAsia="仿宋_GB2312" w:cs="Times New Roman"/>
          <w:color w:val="000000"/>
          <w:sz w:val="32"/>
          <w:szCs w:val="32"/>
          <w:highlight w:val="none"/>
        </w:rPr>
        <w:t>]GB/T 42125.2-2024,测量、控制和实验室用电气设备的安全要求 第2部分：材料加热用实验室设备的特殊要求[S].</w:t>
      </w:r>
    </w:p>
    <w:p w14:paraId="23974796">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[1</w:t>
      </w:r>
      <w:r>
        <w:rPr>
          <w:rFonts w:hint="eastAsia" w:ascii="Times New Roman" w:hAnsi="Times New Roman" w:eastAsia="仿宋_GB2312" w:cs="Times New Roman"/>
          <w:color w:val="000000"/>
          <w:sz w:val="32"/>
          <w:szCs w:val="32"/>
          <w:highlight w:val="none"/>
          <w:lang w:val="en-US" w:eastAsia="zh-CN"/>
        </w:rPr>
        <w:t>9</w:t>
      </w:r>
      <w:r>
        <w:rPr>
          <w:rFonts w:hint="eastAsia" w:ascii="Times New Roman" w:hAnsi="Times New Roman" w:eastAsia="仿宋_GB2312" w:cs="Times New Roman"/>
          <w:color w:val="000000"/>
          <w:sz w:val="32"/>
          <w:szCs w:val="32"/>
          <w:highlight w:val="none"/>
        </w:rPr>
        <w:t>]YY/T 0648-2025,测量、控制和实验室用电气设备的安全要求 第2-101部分：体外诊断（IVD）医用设备的专用要求[S].</w:t>
      </w:r>
    </w:p>
    <w:p w14:paraId="17658E4A">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20</w:t>
      </w:r>
      <w:r>
        <w:rPr>
          <w:rFonts w:hint="eastAsia" w:ascii="Times New Roman" w:hAnsi="Times New Roman" w:eastAsia="仿宋_GB2312" w:cs="Times New Roman"/>
          <w:color w:val="000000"/>
          <w:sz w:val="32"/>
          <w:szCs w:val="32"/>
          <w:highlight w:val="none"/>
        </w:rPr>
        <w:t>]GB/T 18268.1-2010,测量、控制和实验室用的电设备 电磁兼容性要求 第1部分：通用要求[S].</w:t>
      </w:r>
    </w:p>
    <w:p w14:paraId="15BBCC1B">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21</w:t>
      </w:r>
      <w:r>
        <w:rPr>
          <w:rFonts w:hint="eastAsia" w:ascii="Times New Roman" w:hAnsi="Times New Roman" w:eastAsia="仿宋_GB2312" w:cs="Times New Roman"/>
          <w:color w:val="000000"/>
          <w:sz w:val="32"/>
          <w:szCs w:val="32"/>
          <w:highlight w:val="none"/>
        </w:rPr>
        <w:t>]GB/T 18268.26-2010,测量、控制和实验室用的电设备 电磁兼容性要求 第26部分：特殊要求 体外诊断（IVD）医疗设备[S].</w:t>
      </w:r>
    </w:p>
    <w:p w14:paraId="49CFD6DB">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[22]GB/T 14710—2009，医用电器环境要求及试验方法[S].</w:t>
      </w:r>
    </w:p>
    <w:p w14:paraId="28FEF351">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[23]GB/T 16886，医疗器械生物学评价系列标准[S].</w:t>
      </w:r>
    </w:p>
    <w:p w14:paraId="77850ED7">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[24]GB/T 42062-2022,医疗器械 风险管理对医疗器械的应用[S].</w:t>
      </w:r>
    </w:p>
    <w:p w14:paraId="378A30C2">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w:t>
      </w:r>
      <w:r>
        <w:rPr>
          <w:rFonts w:hint="eastAsia" w:ascii="Times New Roman" w:hAnsi="Times New Roman" w:eastAsia="仿宋_GB2312" w:cs="Times New Roman"/>
          <w:color w:val="000000"/>
          <w:sz w:val="32"/>
          <w:szCs w:val="32"/>
          <w:highlight w:val="none"/>
          <w:lang w:val="en-US" w:eastAsia="zh-CN"/>
        </w:rPr>
        <w:t>5</w:t>
      </w:r>
      <w:r>
        <w:rPr>
          <w:rFonts w:hint="eastAsia" w:ascii="Times New Roman" w:hAnsi="Times New Roman" w:eastAsia="仿宋_GB2312" w:cs="Times New Roman"/>
          <w:color w:val="000000"/>
          <w:sz w:val="32"/>
          <w:szCs w:val="32"/>
          <w:highlight w:val="none"/>
        </w:rPr>
        <w:t>] YY/T 1437-2023,医疗器械 GB/T 42062医用指南[S].</w:t>
      </w:r>
    </w:p>
    <w:p w14:paraId="35BA71CA">
      <w:pPr>
        <w:spacing w:line="520" w:lineRule="exact"/>
        <w:ind w:firstLine="640" w:firstLineChars="200"/>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w:t>
      </w:r>
      <w:r>
        <w:rPr>
          <w:rFonts w:hint="eastAsia" w:ascii="Times New Roman" w:hAnsi="Times New Roman" w:eastAsia="仿宋_GB2312" w:cs="Times New Roman"/>
          <w:color w:val="000000"/>
          <w:sz w:val="32"/>
          <w:szCs w:val="32"/>
          <w:highlight w:val="none"/>
          <w:lang w:val="en-US" w:eastAsia="zh-CN"/>
        </w:rPr>
        <w:t>6</w:t>
      </w:r>
      <w:r>
        <w:rPr>
          <w:rFonts w:hint="eastAsia" w:ascii="Times New Roman" w:hAnsi="Times New Roman" w:eastAsia="仿宋_GB2312" w:cs="Times New Roman"/>
          <w:color w:val="000000"/>
          <w:sz w:val="32"/>
          <w:szCs w:val="32"/>
          <w:highlight w:val="none"/>
        </w:rPr>
        <w:t>]YY/T 0466.1-2016,医疗器械用于医疗器械标签、标记和提供信息的符号第1部分：通用要求[S].</w:t>
      </w:r>
    </w:p>
    <w:p w14:paraId="3E748091">
      <w:pPr>
        <w:spacing w:line="520" w:lineRule="exact"/>
        <w:ind w:firstLine="640" w:firstLineChars="200"/>
        <w:rPr>
          <w:rFonts w:ascii="Times New Roman" w:hAnsi="Times New Roman" w:eastAsia="仿宋_GB2312" w:cs="Times New Roman"/>
          <w:color w:val="000000"/>
          <w:sz w:val="32"/>
          <w:szCs w:val="32"/>
          <w:highlight w:val="none"/>
        </w:rPr>
      </w:pPr>
    </w:p>
    <w:p w14:paraId="1C0EFEBE">
      <w:pPr>
        <w:widowControl/>
        <w:jc w:val="left"/>
        <w:rPr>
          <w:rFonts w:ascii="Times New Roman" w:hAnsi="Times New Roman" w:eastAsia="仿宋_GB2312" w:cs="Times New Roman"/>
          <w:color w:val="000000"/>
          <w:spacing w:val="-1"/>
          <w:sz w:val="32"/>
          <w:szCs w:val="32"/>
          <w:highlight w:val="none"/>
        </w:rPr>
      </w:pPr>
      <w:r>
        <w:rPr>
          <w:rFonts w:ascii="Times New Roman" w:hAnsi="Times New Roman" w:eastAsia="仿宋_GB2312" w:cs="Times New Roman"/>
          <w:color w:val="000000"/>
          <w:spacing w:val="-1"/>
          <w:sz w:val="32"/>
          <w:szCs w:val="32"/>
          <w:highlight w:val="none"/>
        </w:rPr>
        <w:br w:type="page"/>
      </w:r>
    </w:p>
    <w:p w14:paraId="7A1EBA1C">
      <w:pPr>
        <w:overflowPunct w:val="0"/>
        <w:autoSpaceDE w:val="0"/>
        <w:autoSpaceDN w:val="0"/>
        <w:adjustRightInd w:val="0"/>
        <w:spacing w:line="520" w:lineRule="exact"/>
        <w:rPr>
          <w:rFonts w:ascii="Times New Roman" w:hAnsi="Times New Roman" w:eastAsia="仿宋_GB2312" w:cs="Times New Roman"/>
          <w:snapToGrid w:val="0"/>
          <w:color w:val="000000"/>
          <w:kern w:val="0"/>
          <w:sz w:val="32"/>
          <w:szCs w:val="32"/>
          <w:highlight w:val="none"/>
          <w:lang w:val="zh-CN"/>
        </w:rPr>
      </w:pPr>
      <w:r>
        <w:rPr>
          <w:rFonts w:ascii="黑体" w:hAnsi="黑体" w:eastAsia="黑体" w:cs="Times New Roman"/>
          <w:snapToGrid w:val="0"/>
          <w:color w:val="000000"/>
          <w:kern w:val="0"/>
          <w:sz w:val="32"/>
          <w:szCs w:val="32"/>
          <w:highlight w:val="none"/>
          <w:lang w:val="zh-CN"/>
        </w:rPr>
        <w:t>附件</w:t>
      </w:r>
      <w:r>
        <w:rPr>
          <w:rFonts w:hint="eastAsia" w:ascii="Times New Roman" w:hAnsi="Times New Roman" w:eastAsia="仿宋_GB2312" w:cs="Times New Roman"/>
          <w:snapToGrid w:val="0"/>
          <w:color w:val="000000"/>
          <w:kern w:val="0"/>
          <w:sz w:val="32"/>
          <w:szCs w:val="32"/>
          <w:highlight w:val="none"/>
          <w:lang w:val="zh-CN"/>
        </w:rPr>
        <w:t>1</w:t>
      </w:r>
    </w:p>
    <w:p w14:paraId="4935C61C">
      <w:pPr>
        <w:spacing w:line="520" w:lineRule="exact"/>
        <w:jc w:val="center"/>
        <w:outlineLvl w:val="0"/>
        <w:rPr>
          <w:rFonts w:ascii="Times New Roman" w:hAnsi="Times New Roman" w:eastAsia="仿宋_GB2312" w:cs="Times New Roman"/>
          <w:snapToGrid w:val="0"/>
          <w:color w:val="000000"/>
          <w:kern w:val="0"/>
          <w:sz w:val="32"/>
          <w:szCs w:val="32"/>
          <w:highlight w:val="none"/>
        </w:rPr>
      </w:pPr>
      <w:r>
        <w:rPr>
          <w:rFonts w:ascii="Times New Roman" w:hAnsi="Times New Roman" w:eastAsia="黑体" w:cs="Times New Roman"/>
          <w:color w:val="000000"/>
          <w:sz w:val="28"/>
          <w:szCs w:val="28"/>
          <w:highlight w:val="none"/>
        </w:rPr>
        <w:t xml:space="preserve">表1 </w:t>
      </w:r>
      <w:r>
        <w:rPr>
          <w:rFonts w:hint="eastAsia" w:ascii="Times New Roman" w:hAnsi="Times New Roman" w:eastAsia="黑体" w:cs="Times New Roman"/>
          <w:color w:val="000000"/>
          <w:sz w:val="28"/>
          <w:szCs w:val="28"/>
          <w:highlight w:val="none"/>
          <w:lang w:val="en-US" w:eastAsia="zh-CN"/>
        </w:rPr>
        <w:t>幽门螺杆菌分析仪</w:t>
      </w:r>
      <w:r>
        <w:rPr>
          <w:rFonts w:ascii="Times New Roman" w:hAnsi="Times New Roman" w:eastAsia="黑体" w:cs="Times New Roman"/>
          <w:color w:val="000000"/>
          <w:sz w:val="28"/>
          <w:szCs w:val="28"/>
          <w:highlight w:val="none"/>
        </w:rPr>
        <w:t>常见的危险示例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4"/>
        <w:gridCol w:w="5104"/>
        <w:gridCol w:w="2176"/>
      </w:tblGrid>
      <w:tr w14:paraId="68C4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54" w:type="dxa"/>
            <w:vAlign w:val="center"/>
          </w:tcPr>
          <w:p w14:paraId="597289AA">
            <w:pPr>
              <w:spacing w:line="400" w:lineRule="exact"/>
              <w:jc w:val="center"/>
              <w:outlineLvl w:val="0"/>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危险</w:t>
            </w:r>
          </w:p>
        </w:tc>
        <w:tc>
          <w:tcPr>
            <w:tcW w:w="5104" w:type="dxa"/>
            <w:vAlign w:val="center"/>
          </w:tcPr>
          <w:p w14:paraId="273E03DD">
            <w:pPr>
              <w:spacing w:line="400" w:lineRule="exact"/>
              <w:jc w:val="center"/>
              <w:outlineLvl w:val="0"/>
              <w:rPr>
                <w:rFonts w:ascii="黑体" w:hAnsi="黑体" w:eastAsia="黑体" w:cs="Times New Roman"/>
                <w:bCs/>
                <w:color w:val="000000"/>
                <w:kern w:val="0"/>
                <w:sz w:val="28"/>
                <w:szCs w:val="28"/>
                <w:highlight w:val="none"/>
              </w:rPr>
            </w:pPr>
            <w:r>
              <w:rPr>
                <w:rFonts w:ascii="黑体" w:hAnsi="黑体" w:eastAsia="黑体" w:cs="Times New Roman"/>
                <w:bCs/>
                <w:color w:val="000000"/>
                <w:kern w:val="0"/>
                <w:sz w:val="28"/>
                <w:szCs w:val="28"/>
                <w:highlight w:val="none"/>
              </w:rPr>
              <w:t>危险情况</w:t>
            </w:r>
          </w:p>
        </w:tc>
        <w:tc>
          <w:tcPr>
            <w:tcW w:w="2176" w:type="dxa"/>
            <w:vAlign w:val="center"/>
          </w:tcPr>
          <w:p w14:paraId="0787EB5E">
            <w:pPr>
              <w:spacing w:line="400" w:lineRule="exact"/>
              <w:jc w:val="center"/>
              <w:outlineLvl w:val="0"/>
              <w:rPr>
                <w:rFonts w:hint="eastAsia" w:ascii="黑体" w:hAnsi="黑体" w:eastAsia="黑体" w:cs="Times New Roman"/>
                <w:bCs/>
                <w:color w:val="000000"/>
                <w:kern w:val="0"/>
                <w:sz w:val="28"/>
                <w:szCs w:val="28"/>
                <w:highlight w:val="none"/>
                <w:lang w:eastAsia="zh-CN"/>
              </w:rPr>
            </w:pPr>
            <w:r>
              <w:rPr>
                <w:rFonts w:hint="eastAsia" w:ascii="黑体" w:hAnsi="黑体" w:eastAsia="黑体" w:cs="Times New Roman"/>
                <w:bCs/>
                <w:color w:val="000000"/>
                <w:kern w:val="0"/>
                <w:sz w:val="28"/>
                <w:szCs w:val="28"/>
                <w:highlight w:val="none"/>
                <w:lang w:eastAsia="zh-CN"/>
              </w:rPr>
              <w:t>伤害</w:t>
            </w:r>
          </w:p>
        </w:tc>
      </w:tr>
      <w:tr w14:paraId="7A554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restart"/>
            <w:vAlign w:val="center"/>
          </w:tcPr>
          <w:p w14:paraId="642C2781">
            <w:pPr>
              <w:spacing w:line="400" w:lineRule="exact"/>
              <w:jc w:val="center"/>
              <w:outlineLvl w:val="0"/>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lang w:eastAsia="zh-CN"/>
              </w:rPr>
              <w:t>能量</w:t>
            </w:r>
            <w:r>
              <w:rPr>
                <w:rFonts w:ascii="Times New Roman" w:hAnsi="Times New Roman" w:eastAsia="仿宋_GB2312" w:cs="Times New Roman"/>
                <w:color w:val="000000"/>
                <w:kern w:val="0"/>
                <w:sz w:val="28"/>
                <w:szCs w:val="28"/>
                <w:highlight w:val="none"/>
              </w:rPr>
              <w:t>危险</w:t>
            </w:r>
          </w:p>
        </w:tc>
        <w:tc>
          <w:tcPr>
            <w:tcW w:w="5104" w:type="dxa"/>
            <w:vAlign w:val="center"/>
          </w:tcPr>
          <w:p w14:paraId="372D74FB">
            <w:pPr>
              <w:spacing w:line="400" w:lineRule="exact"/>
              <w:jc w:val="both"/>
              <w:outlineLvl w:val="0"/>
              <w:rPr>
                <w:rFonts w:ascii="Times New Roman" w:hAnsi="Times New Roman" w:eastAsia="仿宋_GB2312" w:cs="Times New Roman"/>
                <w:color w:val="000000"/>
                <w:kern w:val="0"/>
                <w:sz w:val="28"/>
                <w:szCs w:val="28"/>
                <w:highlight w:val="none"/>
              </w:rPr>
            </w:pPr>
            <w:r>
              <w:rPr>
                <w:rFonts w:ascii="Times New Roman" w:hAnsi="Times New Roman" w:eastAsia="仿宋_GB2312" w:cs="Times New Roman"/>
                <w:color w:val="000000"/>
                <w:kern w:val="0"/>
                <w:sz w:val="28"/>
                <w:szCs w:val="28"/>
                <w:highlight w:val="none"/>
              </w:rPr>
              <w:t>设备老化</w:t>
            </w:r>
            <w:r>
              <w:rPr>
                <w:rFonts w:hint="eastAsia" w:ascii="Times New Roman" w:hAnsi="Times New Roman" w:eastAsia="仿宋_GB2312" w:cs="Times New Roman"/>
                <w:color w:val="000000"/>
                <w:kern w:val="0"/>
                <w:sz w:val="28"/>
                <w:szCs w:val="28"/>
                <w:highlight w:val="none"/>
                <w:lang w:eastAsia="zh-CN"/>
              </w:rPr>
              <w:t>，</w:t>
            </w:r>
            <w:r>
              <w:rPr>
                <w:rFonts w:ascii="Times New Roman" w:hAnsi="Times New Roman" w:eastAsia="仿宋_GB2312" w:cs="Times New Roman"/>
                <w:color w:val="000000"/>
                <w:kern w:val="0"/>
                <w:sz w:val="28"/>
                <w:szCs w:val="28"/>
                <w:highlight w:val="none"/>
              </w:rPr>
              <w:t>电气安全防护失效，导致漏电流过大</w:t>
            </w:r>
          </w:p>
        </w:tc>
        <w:tc>
          <w:tcPr>
            <w:tcW w:w="2176" w:type="dxa"/>
            <w:vAlign w:val="center"/>
          </w:tcPr>
          <w:p w14:paraId="3C34EC95">
            <w:pPr>
              <w:spacing w:line="400" w:lineRule="exact"/>
              <w:jc w:val="center"/>
              <w:outlineLvl w:val="0"/>
              <w:rPr>
                <w:rFonts w:ascii="Times New Roman" w:hAnsi="Times New Roman" w:eastAsia="仿宋_GB2312" w:cs="Times New Roman"/>
                <w:color w:val="000000"/>
                <w:kern w:val="0"/>
                <w:sz w:val="28"/>
                <w:szCs w:val="28"/>
                <w:highlight w:val="none"/>
              </w:rPr>
            </w:pPr>
            <w:r>
              <w:rPr>
                <w:rFonts w:ascii="Times New Roman" w:hAnsi="Times New Roman" w:eastAsia="仿宋_GB2312" w:cs="Times New Roman"/>
                <w:color w:val="000000"/>
                <w:kern w:val="0"/>
                <w:sz w:val="28"/>
                <w:szCs w:val="28"/>
                <w:highlight w:val="none"/>
              </w:rPr>
              <w:t>电击</w:t>
            </w:r>
          </w:p>
        </w:tc>
      </w:tr>
      <w:tr w14:paraId="7AF7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0BA2B3C7">
            <w:pPr>
              <w:spacing w:line="400" w:lineRule="exact"/>
              <w:jc w:val="center"/>
              <w:outlineLvl w:val="0"/>
              <w:rPr>
                <w:rFonts w:ascii="Times New Roman" w:hAnsi="Times New Roman" w:eastAsia="仿宋_GB2312" w:cs="Times New Roman"/>
                <w:color w:val="000000"/>
                <w:kern w:val="0"/>
                <w:sz w:val="28"/>
                <w:szCs w:val="28"/>
                <w:highlight w:val="none"/>
              </w:rPr>
            </w:pPr>
          </w:p>
        </w:tc>
        <w:tc>
          <w:tcPr>
            <w:tcW w:w="5104" w:type="dxa"/>
            <w:vAlign w:val="center"/>
          </w:tcPr>
          <w:p w14:paraId="2EE5E195">
            <w:pPr>
              <w:spacing w:line="400" w:lineRule="exact"/>
              <w:jc w:val="both"/>
              <w:outlineLvl w:val="0"/>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rPr>
              <w:t>设备受到电磁干扰</w:t>
            </w:r>
          </w:p>
        </w:tc>
        <w:tc>
          <w:tcPr>
            <w:tcW w:w="2176" w:type="dxa"/>
            <w:vAlign w:val="center"/>
          </w:tcPr>
          <w:p w14:paraId="45A45CBF">
            <w:pPr>
              <w:spacing w:line="400" w:lineRule="exact"/>
              <w:jc w:val="center"/>
              <w:outlineLvl w:val="0"/>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rPr>
              <w:t>设备异常</w:t>
            </w:r>
          </w:p>
        </w:tc>
      </w:tr>
      <w:tr w14:paraId="4618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5F96AF65">
            <w:pPr>
              <w:spacing w:line="400" w:lineRule="exact"/>
              <w:jc w:val="center"/>
              <w:outlineLvl w:val="0"/>
              <w:rPr>
                <w:rFonts w:ascii="Times New Roman" w:hAnsi="Times New Roman" w:eastAsia="仿宋_GB2312" w:cs="Times New Roman"/>
                <w:color w:val="000000"/>
                <w:kern w:val="0"/>
                <w:sz w:val="28"/>
                <w:szCs w:val="28"/>
                <w:highlight w:val="none"/>
              </w:rPr>
            </w:pPr>
          </w:p>
        </w:tc>
        <w:tc>
          <w:tcPr>
            <w:tcW w:w="5104" w:type="dxa"/>
            <w:vAlign w:val="center"/>
          </w:tcPr>
          <w:p w14:paraId="79A8F7B0">
            <w:pPr>
              <w:spacing w:before="156" w:line="400" w:lineRule="exact"/>
              <w:jc w:val="both"/>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rPr>
              <w:t>设备</w:t>
            </w:r>
            <w:r>
              <w:rPr>
                <w:rFonts w:hint="eastAsia" w:ascii="Times New Roman" w:hAnsi="Times New Roman" w:eastAsia="仿宋_GB2312" w:cs="Times New Roman"/>
                <w:color w:val="000000"/>
                <w:kern w:val="0"/>
                <w:sz w:val="28"/>
                <w:szCs w:val="28"/>
                <w:highlight w:val="none"/>
                <w:lang w:eastAsia="zh-CN"/>
              </w:rPr>
              <w:t>未</w:t>
            </w:r>
            <w:r>
              <w:rPr>
                <w:rFonts w:hint="eastAsia" w:ascii="Times New Roman" w:hAnsi="Times New Roman" w:eastAsia="仿宋_GB2312" w:cs="Times New Roman"/>
                <w:color w:val="000000"/>
                <w:kern w:val="0"/>
                <w:sz w:val="28"/>
                <w:szCs w:val="28"/>
                <w:highlight w:val="none"/>
              </w:rPr>
              <w:t>连接至适当的电源系统</w:t>
            </w:r>
            <w:r>
              <w:rPr>
                <w:rFonts w:hint="eastAsia" w:ascii="Times New Roman" w:hAnsi="Times New Roman" w:eastAsia="仿宋_GB2312" w:cs="Times New Roman"/>
                <w:color w:val="000000"/>
                <w:kern w:val="0"/>
                <w:sz w:val="28"/>
                <w:szCs w:val="28"/>
                <w:highlight w:val="none"/>
                <w:lang w:eastAsia="zh-CN"/>
              </w:rPr>
              <w:t>，</w:t>
            </w:r>
            <w:r>
              <w:rPr>
                <w:rFonts w:hint="eastAsia" w:ascii="Times New Roman" w:hAnsi="Times New Roman" w:eastAsia="仿宋_GB2312" w:cs="Times New Roman"/>
                <w:color w:val="000000"/>
                <w:kern w:val="0"/>
                <w:sz w:val="28"/>
                <w:szCs w:val="28"/>
                <w:highlight w:val="none"/>
              </w:rPr>
              <w:t>供电网电压波动，导致供电电压偏高或偏低</w:t>
            </w:r>
          </w:p>
        </w:tc>
        <w:tc>
          <w:tcPr>
            <w:tcW w:w="2176" w:type="dxa"/>
            <w:vAlign w:val="center"/>
          </w:tcPr>
          <w:p w14:paraId="3EACBA60">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设备异常</w:t>
            </w:r>
          </w:p>
        </w:tc>
      </w:tr>
      <w:tr w14:paraId="587F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1D343D72">
            <w:pPr>
              <w:spacing w:line="400" w:lineRule="exact"/>
              <w:jc w:val="center"/>
              <w:outlineLvl w:val="0"/>
              <w:rPr>
                <w:rFonts w:ascii="Times New Roman" w:hAnsi="Times New Roman" w:eastAsia="仿宋_GB2312" w:cs="Times New Roman"/>
                <w:color w:val="000000"/>
                <w:kern w:val="0"/>
                <w:sz w:val="28"/>
                <w:szCs w:val="28"/>
                <w:highlight w:val="none"/>
              </w:rPr>
            </w:pPr>
          </w:p>
        </w:tc>
        <w:tc>
          <w:tcPr>
            <w:tcW w:w="5104" w:type="dxa"/>
            <w:vAlign w:val="center"/>
          </w:tcPr>
          <w:p w14:paraId="6813AA88">
            <w:pPr>
              <w:spacing w:before="156" w:line="400" w:lineRule="exact"/>
              <w:jc w:val="both"/>
              <w:rPr>
                <w:rFonts w:hint="eastAsia"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rPr>
              <w:t>漏电危险、接地导体电阻过大</w:t>
            </w:r>
          </w:p>
        </w:tc>
        <w:tc>
          <w:tcPr>
            <w:tcW w:w="2176" w:type="dxa"/>
            <w:vAlign w:val="center"/>
          </w:tcPr>
          <w:p w14:paraId="19B5B51A">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电击</w:t>
            </w:r>
          </w:p>
        </w:tc>
      </w:tr>
      <w:tr w14:paraId="431C8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2A4C652E">
            <w:pPr>
              <w:spacing w:line="400" w:lineRule="exact"/>
              <w:jc w:val="center"/>
              <w:outlineLvl w:val="0"/>
              <w:rPr>
                <w:rFonts w:ascii="Times New Roman" w:hAnsi="Times New Roman" w:eastAsia="仿宋_GB2312" w:cs="Times New Roman"/>
                <w:color w:val="000000"/>
                <w:kern w:val="0"/>
                <w:sz w:val="28"/>
                <w:szCs w:val="28"/>
                <w:highlight w:val="none"/>
              </w:rPr>
            </w:pPr>
          </w:p>
        </w:tc>
        <w:tc>
          <w:tcPr>
            <w:tcW w:w="5104" w:type="dxa"/>
            <w:vAlign w:val="center"/>
          </w:tcPr>
          <w:p w14:paraId="5D213F88">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设备</w:t>
            </w:r>
            <w:r>
              <w:rPr>
                <w:rFonts w:hint="eastAsia" w:ascii="Times New Roman" w:hAnsi="Times New Roman" w:eastAsia="仿宋_GB2312" w:cs="Times New Roman"/>
                <w:color w:val="000000"/>
                <w:kern w:val="0"/>
                <w:sz w:val="28"/>
                <w:szCs w:val="28"/>
                <w:highlight w:val="none"/>
                <w:lang w:val="en-US" w:eastAsia="zh-CN"/>
              </w:rPr>
              <w:t>跌落、</w:t>
            </w:r>
            <w:r>
              <w:rPr>
                <w:rFonts w:hint="eastAsia" w:ascii="Times New Roman" w:hAnsi="Times New Roman" w:eastAsia="仿宋_GB2312" w:cs="Times New Roman"/>
                <w:color w:val="000000"/>
                <w:kern w:val="0"/>
                <w:sz w:val="28"/>
                <w:szCs w:val="28"/>
                <w:highlight w:val="none"/>
                <w:lang w:eastAsia="zh-CN"/>
              </w:rPr>
              <w:t>倾倒；坠落导致机械部件松动</w:t>
            </w:r>
          </w:p>
        </w:tc>
        <w:tc>
          <w:tcPr>
            <w:tcW w:w="2176" w:type="dxa"/>
            <w:vAlign w:val="center"/>
          </w:tcPr>
          <w:p w14:paraId="137D1220">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伤害（</w:t>
            </w:r>
            <w:r>
              <w:rPr>
                <w:rFonts w:hint="eastAsia" w:ascii="Times New Roman" w:hAnsi="Times New Roman" w:eastAsia="仿宋_GB2312" w:cs="Times New Roman"/>
                <w:color w:val="000000"/>
                <w:kern w:val="0"/>
                <w:sz w:val="28"/>
                <w:szCs w:val="28"/>
                <w:highlight w:val="none"/>
                <w:lang w:val="en-US" w:eastAsia="zh-CN"/>
              </w:rPr>
              <w:t>砸伤</w:t>
            </w:r>
            <w:r>
              <w:rPr>
                <w:rFonts w:hint="eastAsia" w:ascii="Times New Roman" w:hAnsi="Times New Roman" w:eastAsia="仿宋_GB2312" w:cs="Times New Roman"/>
                <w:color w:val="000000"/>
                <w:kern w:val="0"/>
                <w:sz w:val="28"/>
                <w:szCs w:val="28"/>
                <w:highlight w:val="none"/>
                <w:lang w:eastAsia="zh-CN"/>
              </w:rPr>
              <w:t>、碰撞）、设备异常</w:t>
            </w:r>
          </w:p>
        </w:tc>
      </w:tr>
      <w:tr w14:paraId="2E8A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1393AE92">
            <w:pPr>
              <w:spacing w:line="400" w:lineRule="exact"/>
              <w:jc w:val="center"/>
              <w:outlineLvl w:val="0"/>
              <w:rPr>
                <w:rFonts w:ascii="Times New Roman" w:hAnsi="Times New Roman" w:eastAsia="仿宋_GB2312" w:cs="Times New Roman"/>
                <w:color w:val="000000"/>
                <w:kern w:val="0"/>
                <w:sz w:val="28"/>
                <w:szCs w:val="28"/>
                <w:highlight w:val="none"/>
              </w:rPr>
            </w:pPr>
          </w:p>
        </w:tc>
        <w:tc>
          <w:tcPr>
            <w:tcW w:w="5104" w:type="dxa"/>
            <w:vAlign w:val="center"/>
          </w:tcPr>
          <w:p w14:paraId="653D41C4">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操作屏长时间使用或故障，表面升温过高；电路老化、使用时间过长、防护不当等导致设备过热</w:t>
            </w:r>
          </w:p>
        </w:tc>
        <w:tc>
          <w:tcPr>
            <w:tcW w:w="2176" w:type="dxa"/>
            <w:vAlign w:val="center"/>
          </w:tcPr>
          <w:p w14:paraId="6049EE17">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rPr>
              <w:t>伤害</w:t>
            </w:r>
            <w:r>
              <w:rPr>
                <w:rFonts w:hint="eastAsia" w:ascii="Times New Roman" w:hAnsi="Times New Roman" w:eastAsia="仿宋_GB2312" w:cs="Times New Roman"/>
                <w:color w:val="000000"/>
                <w:kern w:val="0"/>
                <w:sz w:val="28"/>
                <w:szCs w:val="28"/>
                <w:highlight w:val="none"/>
                <w:lang w:eastAsia="zh-CN"/>
              </w:rPr>
              <w:t>（烫伤）</w:t>
            </w:r>
          </w:p>
        </w:tc>
      </w:tr>
      <w:tr w14:paraId="06A2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23160E89">
            <w:pPr>
              <w:spacing w:line="400" w:lineRule="exact"/>
              <w:jc w:val="center"/>
              <w:outlineLvl w:val="0"/>
              <w:rPr>
                <w:rFonts w:ascii="Times New Roman" w:hAnsi="Times New Roman" w:eastAsia="仿宋_GB2312" w:cs="Times New Roman"/>
                <w:color w:val="000000"/>
                <w:kern w:val="0"/>
                <w:sz w:val="28"/>
                <w:szCs w:val="28"/>
                <w:highlight w:val="none"/>
              </w:rPr>
            </w:pPr>
          </w:p>
        </w:tc>
        <w:tc>
          <w:tcPr>
            <w:tcW w:w="5104" w:type="dxa"/>
            <w:vAlign w:val="center"/>
          </w:tcPr>
          <w:p w14:paraId="07AD8475">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长时间使用眼睛受屏幕辐射</w:t>
            </w:r>
          </w:p>
        </w:tc>
        <w:tc>
          <w:tcPr>
            <w:tcW w:w="2176" w:type="dxa"/>
            <w:vAlign w:val="center"/>
          </w:tcPr>
          <w:p w14:paraId="137D27AB">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伤害（辐射）</w:t>
            </w:r>
          </w:p>
        </w:tc>
      </w:tr>
      <w:tr w14:paraId="4AA8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restart"/>
            <w:vAlign w:val="center"/>
          </w:tcPr>
          <w:p w14:paraId="63226CBC">
            <w:pPr>
              <w:spacing w:line="400" w:lineRule="exact"/>
              <w:jc w:val="center"/>
              <w:outlineLvl w:val="0"/>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lang w:eastAsia="zh-CN"/>
              </w:rPr>
              <w:t>环境</w:t>
            </w:r>
            <w:r>
              <w:rPr>
                <w:rFonts w:hint="eastAsia" w:ascii="Times New Roman" w:hAnsi="Times New Roman" w:eastAsia="仿宋_GB2312" w:cs="Times New Roman"/>
                <w:color w:val="000000"/>
                <w:kern w:val="0"/>
                <w:sz w:val="28"/>
                <w:szCs w:val="28"/>
                <w:highlight w:val="none"/>
              </w:rPr>
              <w:t>危险</w:t>
            </w:r>
          </w:p>
        </w:tc>
        <w:tc>
          <w:tcPr>
            <w:tcW w:w="5104" w:type="dxa"/>
            <w:vAlign w:val="center"/>
          </w:tcPr>
          <w:p w14:paraId="1FDFE8A0">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环境噪音过大</w:t>
            </w:r>
          </w:p>
        </w:tc>
        <w:tc>
          <w:tcPr>
            <w:tcW w:w="2176" w:type="dxa"/>
            <w:vAlign w:val="center"/>
          </w:tcPr>
          <w:p w14:paraId="574BA593">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结果异常</w:t>
            </w:r>
          </w:p>
        </w:tc>
      </w:tr>
      <w:tr w14:paraId="4F37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54FCE21B">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p>
        </w:tc>
        <w:tc>
          <w:tcPr>
            <w:tcW w:w="5104" w:type="dxa"/>
            <w:vAlign w:val="center"/>
          </w:tcPr>
          <w:p w14:paraId="50ACC0FD">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设备产生电磁干扰</w:t>
            </w:r>
          </w:p>
        </w:tc>
        <w:tc>
          <w:tcPr>
            <w:tcW w:w="2176" w:type="dxa"/>
            <w:vAlign w:val="center"/>
          </w:tcPr>
          <w:p w14:paraId="47EC90D6">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破坏电磁环境</w:t>
            </w:r>
          </w:p>
        </w:tc>
      </w:tr>
      <w:tr w14:paraId="0E2F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30CEB1A2">
            <w:pPr>
              <w:spacing w:line="400" w:lineRule="exact"/>
              <w:jc w:val="center"/>
              <w:outlineLvl w:val="0"/>
              <w:rPr>
                <w:rFonts w:ascii="Times New Roman" w:hAnsi="Times New Roman" w:eastAsia="仿宋_GB2312" w:cs="Times New Roman"/>
                <w:color w:val="000000"/>
                <w:kern w:val="0"/>
                <w:sz w:val="28"/>
                <w:szCs w:val="28"/>
                <w:highlight w:val="none"/>
              </w:rPr>
            </w:pPr>
          </w:p>
        </w:tc>
        <w:tc>
          <w:tcPr>
            <w:tcW w:w="5104" w:type="dxa"/>
            <w:vAlign w:val="center"/>
          </w:tcPr>
          <w:p w14:paraId="77AC5F5E">
            <w:pPr>
              <w:spacing w:before="156" w:line="400" w:lineRule="exact"/>
              <w:jc w:val="both"/>
              <w:rPr>
                <w:rFonts w:hint="default" w:ascii="Times New Roman" w:hAnsi="Times New Roman" w:eastAsia="仿宋_GB2312" w:cs="Times New Roman"/>
                <w:color w:val="000000"/>
                <w:kern w:val="0"/>
                <w:sz w:val="28"/>
                <w:szCs w:val="28"/>
                <w:highlight w:val="none"/>
                <w:lang w:val="en-US" w:eastAsia="zh-CN"/>
              </w:rPr>
            </w:pPr>
            <w:r>
              <w:rPr>
                <w:rFonts w:hint="eastAsia" w:ascii="Times New Roman" w:hAnsi="Times New Roman" w:eastAsia="仿宋_GB2312" w:cs="Times New Roman"/>
                <w:color w:val="000000"/>
                <w:kern w:val="0"/>
                <w:sz w:val="28"/>
                <w:szCs w:val="28"/>
                <w:highlight w:val="none"/>
                <w:lang w:val="en-US" w:eastAsia="zh-CN"/>
              </w:rPr>
              <w:t>设备内部气体通路老化、呼出气体泄露；检测完成后剩余样本、废弃物等处理不当</w:t>
            </w:r>
          </w:p>
        </w:tc>
        <w:tc>
          <w:tcPr>
            <w:tcW w:w="2176" w:type="dxa"/>
            <w:vAlign w:val="center"/>
          </w:tcPr>
          <w:p w14:paraId="14A281CD">
            <w:pPr>
              <w:spacing w:line="400" w:lineRule="exact"/>
              <w:jc w:val="center"/>
              <w:outlineLvl w:val="0"/>
              <w:rPr>
                <w:rFonts w:hint="default" w:ascii="Times New Roman" w:hAnsi="Times New Roman" w:eastAsia="仿宋_GB2312" w:cs="Times New Roman"/>
                <w:color w:val="000000"/>
                <w:kern w:val="0"/>
                <w:sz w:val="28"/>
                <w:szCs w:val="28"/>
                <w:highlight w:val="none"/>
                <w:lang w:val="en-US" w:eastAsia="zh-CN"/>
              </w:rPr>
            </w:pPr>
            <w:r>
              <w:rPr>
                <w:rFonts w:hint="eastAsia" w:ascii="Times New Roman" w:hAnsi="Times New Roman" w:eastAsia="仿宋_GB2312" w:cs="Times New Roman"/>
                <w:color w:val="000000"/>
                <w:kern w:val="0"/>
                <w:sz w:val="28"/>
                <w:szCs w:val="28"/>
                <w:highlight w:val="none"/>
                <w:lang w:val="en-US" w:eastAsia="zh-CN"/>
              </w:rPr>
              <w:t>环境危害，交叉感染</w:t>
            </w:r>
          </w:p>
        </w:tc>
      </w:tr>
      <w:tr w14:paraId="791C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4AAAE85A">
            <w:pPr>
              <w:spacing w:line="400" w:lineRule="exact"/>
              <w:jc w:val="center"/>
              <w:outlineLvl w:val="0"/>
              <w:rPr>
                <w:rFonts w:ascii="Times New Roman" w:hAnsi="Times New Roman" w:eastAsia="仿宋_GB2312" w:cs="Times New Roman"/>
                <w:color w:val="000000"/>
                <w:kern w:val="0"/>
                <w:sz w:val="28"/>
                <w:szCs w:val="28"/>
                <w:highlight w:val="none"/>
              </w:rPr>
            </w:pPr>
          </w:p>
        </w:tc>
        <w:tc>
          <w:tcPr>
            <w:tcW w:w="5104" w:type="dxa"/>
            <w:vAlign w:val="center"/>
          </w:tcPr>
          <w:p w14:paraId="0CBC881E">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储运条件或运行环境（如温度、湿度等）不符合要求</w:t>
            </w:r>
          </w:p>
        </w:tc>
        <w:tc>
          <w:tcPr>
            <w:tcW w:w="2176" w:type="dxa"/>
            <w:vAlign w:val="center"/>
          </w:tcPr>
          <w:p w14:paraId="1287F5D1">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设备老化</w:t>
            </w:r>
          </w:p>
        </w:tc>
      </w:tr>
      <w:tr w14:paraId="53CCC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restart"/>
            <w:vAlign w:val="center"/>
          </w:tcPr>
          <w:p w14:paraId="6D0EFB12">
            <w:pPr>
              <w:spacing w:line="400" w:lineRule="exact"/>
              <w:jc w:val="center"/>
              <w:outlineLvl w:val="0"/>
              <w:rPr>
                <w:rFonts w:ascii="Times New Roman" w:hAnsi="Times New Roman" w:eastAsia="仿宋_GB2312" w:cs="Times New Roman"/>
                <w:color w:val="000000"/>
                <w:kern w:val="0"/>
                <w:sz w:val="28"/>
                <w:szCs w:val="28"/>
                <w:highlight w:val="none"/>
              </w:rPr>
            </w:pPr>
            <w:r>
              <w:rPr>
                <w:rFonts w:ascii="Times New Roman" w:hAnsi="Times New Roman" w:eastAsia="仿宋_GB2312" w:cs="Times New Roman"/>
                <w:color w:val="000000"/>
                <w:kern w:val="0"/>
                <w:sz w:val="28"/>
                <w:szCs w:val="28"/>
                <w:highlight w:val="none"/>
                <w:lang w:val="zh-CN"/>
              </w:rPr>
              <w:t>生化危</w:t>
            </w:r>
            <w:r>
              <w:rPr>
                <w:rFonts w:ascii="Times New Roman" w:hAnsi="Times New Roman" w:eastAsia="仿宋_GB2312" w:cs="Times New Roman"/>
                <w:color w:val="000000"/>
                <w:kern w:val="0"/>
                <w:sz w:val="28"/>
                <w:szCs w:val="28"/>
                <w:highlight w:val="none"/>
              </w:rPr>
              <w:t>险</w:t>
            </w:r>
          </w:p>
        </w:tc>
        <w:tc>
          <w:tcPr>
            <w:tcW w:w="5104" w:type="dxa"/>
            <w:vAlign w:val="center"/>
          </w:tcPr>
          <w:p w14:paraId="49E606D9">
            <w:pPr>
              <w:spacing w:line="400" w:lineRule="exact"/>
              <w:jc w:val="both"/>
              <w:outlineLvl w:val="0"/>
              <w:rPr>
                <w:rFonts w:hint="eastAsia" w:ascii="Times New Roman" w:hAnsi="Times New Roman" w:eastAsia="仿宋_GB2312" w:cs="Times New Roman"/>
                <w:color w:val="000000"/>
                <w:kern w:val="0"/>
                <w:sz w:val="28"/>
                <w:szCs w:val="28"/>
                <w:highlight w:val="none"/>
                <w:lang w:val="zh-CN" w:eastAsia="zh-CN"/>
              </w:rPr>
            </w:pPr>
            <w:r>
              <w:rPr>
                <w:rFonts w:hint="eastAsia" w:ascii="Times New Roman" w:hAnsi="Times New Roman" w:eastAsia="仿宋_GB2312" w:cs="Times New Roman"/>
                <w:color w:val="000000"/>
                <w:kern w:val="0"/>
                <w:sz w:val="28"/>
                <w:szCs w:val="28"/>
                <w:highlight w:val="none"/>
                <w:lang w:eastAsia="zh-CN"/>
              </w:rPr>
              <w:t>生物相容性差的材料接触</w:t>
            </w:r>
            <w:r>
              <w:rPr>
                <w:rFonts w:hint="eastAsia" w:ascii="Times New Roman" w:hAnsi="Times New Roman" w:eastAsia="仿宋_GB2312" w:cs="Times New Roman"/>
                <w:color w:val="000000"/>
                <w:kern w:val="0"/>
                <w:sz w:val="28"/>
                <w:szCs w:val="28"/>
                <w:highlight w:val="none"/>
                <w:lang w:val="en-US" w:eastAsia="zh-CN"/>
              </w:rPr>
              <w:t>操作</w:t>
            </w:r>
            <w:r>
              <w:rPr>
                <w:rFonts w:hint="eastAsia" w:ascii="Times New Roman" w:hAnsi="Times New Roman" w:eastAsia="仿宋_GB2312" w:cs="Times New Roman"/>
                <w:color w:val="000000"/>
                <w:kern w:val="0"/>
                <w:sz w:val="28"/>
                <w:szCs w:val="28"/>
                <w:highlight w:val="none"/>
                <w:lang w:eastAsia="zh-CN"/>
              </w:rPr>
              <w:t>者</w:t>
            </w:r>
          </w:p>
        </w:tc>
        <w:tc>
          <w:tcPr>
            <w:tcW w:w="2176" w:type="dxa"/>
            <w:vAlign w:val="center"/>
          </w:tcPr>
          <w:p w14:paraId="45AC367B">
            <w:pPr>
              <w:spacing w:line="400" w:lineRule="exact"/>
              <w:jc w:val="center"/>
              <w:outlineLvl w:val="0"/>
              <w:rPr>
                <w:rFonts w:ascii="Times New Roman" w:hAnsi="Times New Roman" w:eastAsia="仿宋_GB2312" w:cs="Times New Roman"/>
                <w:color w:val="000000"/>
                <w:kern w:val="0"/>
                <w:sz w:val="28"/>
                <w:szCs w:val="28"/>
                <w:highlight w:val="none"/>
              </w:rPr>
            </w:pPr>
            <w:r>
              <w:rPr>
                <w:rFonts w:ascii="Times New Roman" w:hAnsi="Times New Roman" w:eastAsia="仿宋_GB2312" w:cs="Times New Roman"/>
                <w:color w:val="000000"/>
                <w:kern w:val="0"/>
                <w:sz w:val="28"/>
                <w:szCs w:val="28"/>
                <w:highlight w:val="none"/>
              </w:rPr>
              <w:t>皮肤伤害（过敏、刺激等）</w:t>
            </w:r>
          </w:p>
        </w:tc>
      </w:tr>
      <w:tr w14:paraId="52D0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29A1B02A">
            <w:pPr>
              <w:spacing w:line="400" w:lineRule="exact"/>
              <w:jc w:val="center"/>
              <w:outlineLvl w:val="0"/>
              <w:rPr>
                <w:rFonts w:ascii="Times New Roman" w:hAnsi="Times New Roman" w:eastAsia="仿宋_GB2312" w:cs="Times New Roman"/>
                <w:color w:val="000000"/>
                <w:kern w:val="0"/>
                <w:sz w:val="28"/>
                <w:szCs w:val="28"/>
                <w:highlight w:val="none"/>
                <w:lang w:val="zh-CN"/>
              </w:rPr>
            </w:pPr>
          </w:p>
        </w:tc>
        <w:tc>
          <w:tcPr>
            <w:tcW w:w="5104" w:type="dxa"/>
            <w:vAlign w:val="center"/>
          </w:tcPr>
          <w:p w14:paraId="6BA12136">
            <w:pPr>
              <w:spacing w:before="156" w:line="400" w:lineRule="exact"/>
              <w:jc w:val="both"/>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lang w:eastAsia="zh-CN"/>
              </w:rPr>
              <w:t>与使用者接触部分</w:t>
            </w:r>
            <w:r>
              <w:rPr>
                <w:rFonts w:ascii="Times New Roman" w:hAnsi="Times New Roman" w:eastAsia="仿宋_GB2312" w:cs="Times New Roman"/>
                <w:color w:val="000000"/>
                <w:kern w:val="0"/>
                <w:sz w:val="28"/>
                <w:szCs w:val="28"/>
                <w:highlight w:val="none"/>
              </w:rPr>
              <w:t>未进行消毒而重复使用</w:t>
            </w:r>
          </w:p>
        </w:tc>
        <w:tc>
          <w:tcPr>
            <w:tcW w:w="2176" w:type="dxa"/>
            <w:vAlign w:val="center"/>
          </w:tcPr>
          <w:p w14:paraId="3F51EBD1">
            <w:pPr>
              <w:spacing w:line="400" w:lineRule="exact"/>
              <w:jc w:val="center"/>
              <w:outlineLvl w:val="0"/>
              <w:rPr>
                <w:rFonts w:ascii="Times New Roman" w:hAnsi="Times New Roman" w:eastAsia="仿宋_GB2312" w:cs="Times New Roman"/>
                <w:color w:val="000000"/>
                <w:kern w:val="0"/>
                <w:sz w:val="28"/>
                <w:szCs w:val="28"/>
                <w:highlight w:val="none"/>
              </w:rPr>
            </w:pPr>
            <w:r>
              <w:rPr>
                <w:rFonts w:ascii="Times New Roman" w:hAnsi="Times New Roman" w:eastAsia="仿宋_GB2312" w:cs="Times New Roman"/>
                <w:color w:val="000000"/>
                <w:kern w:val="0"/>
                <w:sz w:val="28"/>
                <w:szCs w:val="28"/>
                <w:highlight w:val="none"/>
              </w:rPr>
              <w:t>交叉感染</w:t>
            </w:r>
          </w:p>
        </w:tc>
      </w:tr>
      <w:tr w14:paraId="684C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15BBFFED">
            <w:pPr>
              <w:spacing w:line="400" w:lineRule="exact"/>
              <w:jc w:val="center"/>
              <w:outlineLvl w:val="0"/>
              <w:rPr>
                <w:rFonts w:ascii="Times New Roman" w:hAnsi="Times New Roman" w:eastAsia="仿宋_GB2312" w:cs="Times New Roman"/>
                <w:color w:val="000000"/>
                <w:kern w:val="0"/>
                <w:sz w:val="28"/>
                <w:szCs w:val="28"/>
                <w:highlight w:val="none"/>
                <w:lang w:val="zh-CN"/>
              </w:rPr>
            </w:pPr>
          </w:p>
        </w:tc>
        <w:tc>
          <w:tcPr>
            <w:tcW w:w="5104" w:type="dxa"/>
            <w:vAlign w:val="center"/>
          </w:tcPr>
          <w:p w14:paraId="5F417F46">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rPr>
              <w:t>清洁和消毒过程中，对部件造成损坏及化学物质残留</w:t>
            </w:r>
          </w:p>
        </w:tc>
        <w:tc>
          <w:tcPr>
            <w:tcW w:w="2176" w:type="dxa"/>
            <w:vAlign w:val="center"/>
          </w:tcPr>
          <w:p w14:paraId="493FF9ED">
            <w:pPr>
              <w:spacing w:line="400" w:lineRule="exact"/>
              <w:jc w:val="center"/>
              <w:outlineLvl w:val="0"/>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lang w:eastAsia="zh-CN"/>
              </w:rPr>
              <w:t>皮肤伤害（过敏、刺激等）</w:t>
            </w:r>
          </w:p>
        </w:tc>
      </w:tr>
      <w:tr w14:paraId="7D57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48E8BD42">
            <w:pPr>
              <w:spacing w:line="400" w:lineRule="exact"/>
              <w:jc w:val="center"/>
              <w:outlineLvl w:val="0"/>
              <w:rPr>
                <w:rFonts w:ascii="Times New Roman" w:hAnsi="Times New Roman" w:eastAsia="仿宋_GB2312" w:cs="Times New Roman"/>
                <w:color w:val="000000"/>
                <w:kern w:val="0"/>
                <w:sz w:val="28"/>
                <w:szCs w:val="28"/>
                <w:highlight w:val="none"/>
                <w:lang w:val="zh-CN"/>
              </w:rPr>
            </w:pPr>
          </w:p>
        </w:tc>
        <w:tc>
          <w:tcPr>
            <w:tcW w:w="5104" w:type="dxa"/>
            <w:vAlign w:val="center"/>
          </w:tcPr>
          <w:p w14:paraId="6A137C75">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rPr>
              <w:t>清洁和消毒</w:t>
            </w:r>
            <w:r>
              <w:rPr>
                <w:rFonts w:hint="eastAsia" w:ascii="Times New Roman" w:hAnsi="Times New Roman" w:eastAsia="仿宋_GB2312" w:cs="Times New Roman"/>
                <w:color w:val="000000"/>
                <w:kern w:val="0"/>
                <w:sz w:val="28"/>
                <w:szCs w:val="28"/>
                <w:highlight w:val="none"/>
                <w:lang w:eastAsia="zh-CN"/>
              </w:rPr>
              <w:t>方法或溶剂不适当，损坏外壳或部件</w:t>
            </w:r>
          </w:p>
        </w:tc>
        <w:tc>
          <w:tcPr>
            <w:tcW w:w="2176" w:type="dxa"/>
            <w:vAlign w:val="center"/>
          </w:tcPr>
          <w:p w14:paraId="06347118">
            <w:pPr>
              <w:spacing w:line="400" w:lineRule="exact"/>
              <w:jc w:val="center"/>
              <w:outlineLvl w:val="0"/>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rPr>
              <w:t>皮肤伤害（过敏、刺激等）</w:t>
            </w:r>
          </w:p>
        </w:tc>
      </w:tr>
      <w:tr w14:paraId="7198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Align w:val="center"/>
          </w:tcPr>
          <w:p w14:paraId="136348EF">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ascii="Times New Roman" w:hAnsi="Times New Roman" w:eastAsia="仿宋_GB2312" w:cs="Times New Roman"/>
                <w:color w:val="000000"/>
                <w:kern w:val="0"/>
                <w:sz w:val="28"/>
                <w:szCs w:val="28"/>
                <w:highlight w:val="none"/>
              </w:rPr>
              <w:t>机械</w:t>
            </w:r>
            <w:r>
              <w:rPr>
                <w:rFonts w:hint="eastAsia" w:ascii="Times New Roman" w:hAnsi="Times New Roman" w:eastAsia="仿宋_GB2312" w:cs="Times New Roman"/>
                <w:color w:val="000000"/>
                <w:kern w:val="0"/>
                <w:sz w:val="28"/>
                <w:szCs w:val="28"/>
                <w:highlight w:val="none"/>
                <w:lang w:eastAsia="zh-CN"/>
              </w:rPr>
              <w:t>危险</w:t>
            </w:r>
          </w:p>
        </w:tc>
        <w:tc>
          <w:tcPr>
            <w:tcW w:w="5104" w:type="dxa"/>
            <w:vAlign w:val="center"/>
          </w:tcPr>
          <w:p w14:paraId="58C87579">
            <w:pPr>
              <w:spacing w:before="156" w:line="400" w:lineRule="exact"/>
              <w:jc w:val="both"/>
              <w:rPr>
                <w:rFonts w:ascii="Times New Roman" w:hAnsi="Times New Roman" w:eastAsia="仿宋_GB2312" w:cs="Times New Roman"/>
                <w:color w:val="000000"/>
                <w:kern w:val="0"/>
                <w:sz w:val="28"/>
                <w:szCs w:val="28"/>
                <w:highlight w:val="none"/>
              </w:rPr>
            </w:pPr>
            <w:r>
              <w:rPr>
                <w:rFonts w:ascii="Times New Roman" w:hAnsi="Times New Roman" w:eastAsia="仿宋_GB2312" w:cs="Times New Roman"/>
                <w:color w:val="000000"/>
                <w:kern w:val="0"/>
                <w:sz w:val="28"/>
                <w:szCs w:val="28"/>
                <w:highlight w:val="none"/>
              </w:rPr>
              <w:t>设备损坏；面、角、边引起的风险</w:t>
            </w:r>
          </w:p>
        </w:tc>
        <w:tc>
          <w:tcPr>
            <w:tcW w:w="2176" w:type="dxa"/>
            <w:vAlign w:val="center"/>
          </w:tcPr>
          <w:p w14:paraId="357A39BA">
            <w:pPr>
              <w:spacing w:line="400" w:lineRule="exact"/>
              <w:jc w:val="center"/>
              <w:outlineLvl w:val="0"/>
              <w:rPr>
                <w:rFonts w:ascii="Times New Roman" w:hAnsi="Times New Roman" w:eastAsia="仿宋_GB2312" w:cs="Times New Roman"/>
                <w:color w:val="000000"/>
                <w:kern w:val="0"/>
                <w:sz w:val="28"/>
                <w:szCs w:val="28"/>
                <w:highlight w:val="none"/>
              </w:rPr>
            </w:pPr>
            <w:r>
              <w:rPr>
                <w:rFonts w:ascii="Times New Roman" w:hAnsi="Times New Roman" w:eastAsia="仿宋_GB2312" w:cs="Times New Roman"/>
                <w:color w:val="000000"/>
                <w:kern w:val="0"/>
                <w:sz w:val="28"/>
                <w:szCs w:val="28"/>
                <w:highlight w:val="none"/>
              </w:rPr>
              <w:t>刺伤、划伤</w:t>
            </w:r>
          </w:p>
        </w:tc>
      </w:tr>
      <w:tr w14:paraId="7039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restart"/>
            <w:vAlign w:val="center"/>
          </w:tcPr>
          <w:p w14:paraId="4D530D5D">
            <w:pPr>
              <w:spacing w:before="156" w:line="400" w:lineRule="exact"/>
              <w:ind w:firstLine="34"/>
              <w:jc w:val="center"/>
              <w:rPr>
                <w:rFonts w:ascii="Times New Roman" w:hAnsi="Times New Roman" w:eastAsia="仿宋_GB2312" w:cs="Times New Roman"/>
                <w:color w:val="000000"/>
                <w:kern w:val="0"/>
                <w:sz w:val="28"/>
                <w:szCs w:val="28"/>
                <w:highlight w:val="none"/>
              </w:rPr>
            </w:pPr>
            <w:r>
              <w:rPr>
                <w:rFonts w:ascii="Times New Roman" w:hAnsi="Times New Roman" w:eastAsia="仿宋_GB2312" w:cs="Times New Roman"/>
                <w:color w:val="000000"/>
                <w:kern w:val="0"/>
                <w:sz w:val="28"/>
                <w:szCs w:val="28"/>
                <w:highlight w:val="none"/>
                <w:lang w:val="zh-CN"/>
              </w:rPr>
              <w:t>信息危</w:t>
            </w:r>
            <w:r>
              <w:rPr>
                <w:rFonts w:ascii="Times New Roman" w:hAnsi="Times New Roman" w:eastAsia="仿宋_GB2312" w:cs="Times New Roman"/>
                <w:color w:val="000000"/>
                <w:kern w:val="0"/>
                <w:sz w:val="28"/>
                <w:szCs w:val="28"/>
                <w:highlight w:val="none"/>
              </w:rPr>
              <w:t>险</w:t>
            </w:r>
          </w:p>
        </w:tc>
        <w:tc>
          <w:tcPr>
            <w:tcW w:w="5104" w:type="dxa"/>
            <w:vAlign w:val="center"/>
          </w:tcPr>
          <w:p w14:paraId="5B93BE84">
            <w:pPr>
              <w:spacing w:before="156" w:line="400" w:lineRule="exact"/>
              <w:jc w:val="both"/>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lang w:eastAsia="zh-CN"/>
              </w:rPr>
              <w:t>设备提供的人、机交互的界面过于复杂，或操作说明过于复杂</w:t>
            </w:r>
          </w:p>
        </w:tc>
        <w:tc>
          <w:tcPr>
            <w:tcW w:w="2176" w:type="dxa"/>
            <w:vAlign w:val="center"/>
          </w:tcPr>
          <w:p w14:paraId="6C31A714">
            <w:pPr>
              <w:spacing w:line="400" w:lineRule="exact"/>
              <w:jc w:val="center"/>
              <w:outlineLvl w:val="0"/>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lang w:eastAsia="zh-CN"/>
              </w:rPr>
              <w:t>错误使用</w:t>
            </w:r>
          </w:p>
        </w:tc>
      </w:tr>
      <w:tr w14:paraId="33F1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001BB21E">
            <w:pPr>
              <w:spacing w:line="400" w:lineRule="exact"/>
              <w:jc w:val="center"/>
              <w:outlineLvl w:val="0"/>
              <w:rPr>
                <w:rFonts w:ascii="Times New Roman" w:hAnsi="Times New Roman" w:eastAsia="仿宋_GB2312" w:cs="Times New Roman"/>
                <w:snapToGrid w:val="0"/>
                <w:color w:val="000000"/>
                <w:kern w:val="0"/>
                <w:sz w:val="28"/>
                <w:szCs w:val="28"/>
                <w:highlight w:val="none"/>
                <w:lang w:val="zh-CN"/>
              </w:rPr>
            </w:pPr>
          </w:p>
        </w:tc>
        <w:tc>
          <w:tcPr>
            <w:tcW w:w="5104" w:type="dxa"/>
            <w:vAlign w:val="center"/>
          </w:tcPr>
          <w:p w14:paraId="3370F5FA">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设备外部和内部标记不全面、不正确或不易</w:t>
            </w:r>
            <w:r>
              <w:rPr>
                <w:rFonts w:hint="eastAsia" w:ascii="Times New Roman" w:hAnsi="Times New Roman" w:eastAsia="仿宋_GB2312" w:cs="Times New Roman"/>
                <w:color w:val="000000"/>
                <w:kern w:val="0"/>
                <w:sz w:val="28"/>
                <w:szCs w:val="28"/>
                <w:highlight w:val="none"/>
                <w:lang w:val="en-US" w:eastAsia="zh-CN"/>
              </w:rPr>
              <w:t>辨认</w:t>
            </w:r>
            <w:r>
              <w:rPr>
                <w:rFonts w:hint="eastAsia" w:ascii="Times New Roman" w:hAnsi="Times New Roman" w:eastAsia="仿宋_GB2312" w:cs="Times New Roman"/>
                <w:color w:val="000000"/>
                <w:kern w:val="0"/>
                <w:sz w:val="28"/>
                <w:szCs w:val="28"/>
                <w:highlight w:val="none"/>
                <w:lang w:eastAsia="zh-CN"/>
              </w:rPr>
              <w:t>，以及标记不能够永久贴牢</w:t>
            </w:r>
          </w:p>
        </w:tc>
        <w:tc>
          <w:tcPr>
            <w:tcW w:w="2176" w:type="dxa"/>
            <w:vAlign w:val="center"/>
          </w:tcPr>
          <w:p w14:paraId="6AF97BA4">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错误使用</w:t>
            </w:r>
          </w:p>
        </w:tc>
      </w:tr>
      <w:tr w14:paraId="5EE1A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6B54FA67">
            <w:pPr>
              <w:spacing w:line="400" w:lineRule="exact"/>
              <w:jc w:val="center"/>
              <w:outlineLvl w:val="0"/>
              <w:rPr>
                <w:rFonts w:ascii="Times New Roman" w:hAnsi="Times New Roman" w:eastAsia="仿宋_GB2312" w:cs="Times New Roman"/>
                <w:snapToGrid w:val="0"/>
                <w:color w:val="000000"/>
                <w:kern w:val="0"/>
                <w:sz w:val="28"/>
                <w:szCs w:val="28"/>
                <w:highlight w:val="none"/>
                <w:lang w:val="zh-CN"/>
              </w:rPr>
            </w:pPr>
          </w:p>
        </w:tc>
        <w:tc>
          <w:tcPr>
            <w:tcW w:w="5104" w:type="dxa"/>
            <w:vAlign w:val="center"/>
          </w:tcPr>
          <w:p w14:paraId="1348AE2C">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日常使用维护、校准规定不明确、不适当；寿命信息不明确，超寿命使用</w:t>
            </w:r>
          </w:p>
        </w:tc>
        <w:tc>
          <w:tcPr>
            <w:tcW w:w="2176" w:type="dxa"/>
            <w:vAlign w:val="center"/>
          </w:tcPr>
          <w:p w14:paraId="142D1454">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设备异常</w:t>
            </w:r>
          </w:p>
        </w:tc>
      </w:tr>
      <w:tr w14:paraId="11E7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1140D307">
            <w:pPr>
              <w:spacing w:line="400" w:lineRule="exact"/>
              <w:jc w:val="center"/>
              <w:outlineLvl w:val="0"/>
              <w:rPr>
                <w:rFonts w:ascii="Times New Roman" w:hAnsi="Times New Roman" w:eastAsia="仿宋_GB2312" w:cs="Times New Roman"/>
                <w:snapToGrid w:val="0"/>
                <w:color w:val="000000"/>
                <w:kern w:val="0"/>
                <w:sz w:val="28"/>
                <w:szCs w:val="28"/>
                <w:highlight w:val="none"/>
                <w:lang w:val="zh-CN"/>
              </w:rPr>
            </w:pPr>
          </w:p>
        </w:tc>
        <w:tc>
          <w:tcPr>
            <w:tcW w:w="5104" w:type="dxa"/>
            <w:vAlign w:val="center"/>
          </w:tcPr>
          <w:p w14:paraId="7D63A1DD">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未提供有关报错、维修、售后的信息；设备偏离正常使用状态</w:t>
            </w:r>
          </w:p>
        </w:tc>
        <w:tc>
          <w:tcPr>
            <w:tcW w:w="2176" w:type="dxa"/>
            <w:vAlign w:val="center"/>
          </w:tcPr>
          <w:p w14:paraId="6996D676">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设备异常</w:t>
            </w:r>
          </w:p>
        </w:tc>
      </w:tr>
      <w:tr w14:paraId="6A5B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restart"/>
            <w:vAlign w:val="center"/>
          </w:tcPr>
          <w:p w14:paraId="7371CBBD">
            <w:pPr>
              <w:spacing w:before="156" w:line="400" w:lineRule="exact"/>
              <w:ind w:firstLine="34"/>
              <w:jc w:val="center"/>
              <w:rPr>
                <w:rFonts w:hint="eastAsia" w:ascii="Times New Roman" w:hAnsi="Times New Roman" w:eastAsia="仿宋_GB2312" w:cs="Times New Roman"/>
                <w:color w:val="000000"/>
                <w:kern w:val="0"/>
                <w:sz w:val="28"/>
                <w:szCs w:val="28"/>
                <w:highlight w:val="none"/>
                <w:lang w:eastAsia="zh-CN"/>
              </w:rPr>
            </w:pPr>
            <w:r>
              <w:rPr>
                <w:rFonts w:ascii="Times New Roman" w:hAnsi="Times New Roman" w:eastAsia="仿宋_GB2312" w:cs="Times New Roman"/>
                <w:color w:val="000000"/>
                <w:kern w:val="0"/>
                <w:sz w:val="28"/>
                <w:szCs w:val="28"/>
                <w:highlight w:val="none"/>
              </w:rPr>
              <w:t>使用</w:t>
            </w:r>
            <w:r>
              <w:rPr>
                <w:rFonts w:hint="eastAsia" w:ascii="Times New Roman" w:hAnsi="Times New Roman" w:eastAsia="仿宋_GB2312" w:cs="Times New Roman"/>
                <w:color w:val="000000"/>
                <w:kern w:val="0"/>
                <w:sz w:val="28"/>
                <w:szCs w:val="28"/>
                <w:highlight w:val="none"/>
                <w:lang w:eastAsia="zh-CN"/>
              </w:rPr>
              <w:t>危险</w:t>
            </w:r>
          </w:p>
        </w:tc>
        <w:tc>
          <w:tcPr>
            <w:tcW w:w="5104" w:type="dxa"/>
            <w:vAlign w:val="center"/>
          </w:tcPr>
          <w:p w14:paraId="31465991">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设备使用环境条件规定不明确，或</w:t>
            </w:r>
            <w:r>
              <w:rPr>
                <w:rFonts w:hint="eastAsia" w:ascii="Times New Roman" w:hAnsi="Times New Roman" w:eastAsia="仿宋_GB2312" w:cs="Times New Roman"/>
                <w:color w:val="000000"/>
                <w:kern w:val="0"/>
                <w:sz w:val="28"/>
                <w:szCs w:val="28"/>
                <w:highlight w:val="none"/>
                <w:lang w:val="en-US" w:eastAsia="zh-CN"/>
              </w:rPr>
              <w:t>未在</w:t>
            </w:r>
            <w:r>
              <w:rPr>
                <w:rFonts w:hint="eastAsia" w:ascii="Times New Roman" w:hAnsi="Times New Roman" w:eastAsia="仿宋_GB2312" w:cs="Times New Roman"/>
                <w:color w:val="000000"/>
                <w:kern w:val="0"/>
                <w:sz w:val="28"/>
                <w:szCs w:val="28"/>
                <w:highlight w:val="none"/>
                <w:lang w:eastAsia="zh-CN"/>
              </w:rPr>
              <w:t>制造商规定的使用环境条件下使用</w:t>
            </w:r>
          </w:p>
        </w:tc>
        <w:tc>
          <w:tcPr>
            <w:tcW w:w="2176" w:type="dxa"/>
            <w:vAlign w:val="center"/>
          </w:tcPr>
          <w:p w14:paraId="666C9EDA">
            <w:pPr>
              <w:spacing w:line="400" w:lineRule="exact"/>
              <w:jc w:val="center"/>
              <w:outlineLvl w:val="0"/>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rPr>
              <w:t>设备异常</w:t>
            </w:r>
          </w:p>
        </w:tc>
      </w:tr>
      <w:tr w14:paraId="4107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0AE9B65A">
            <w:pPr>
              <w:spacing w:before="156" w:line="400" w:lineRule="exact"/>
              <w:ind w:firstLine="34"/>
              <w:jc w:val="center"/>
              <w:rPr>
                <w:rFonts w:ascii="Times New Roman" w:hAnsi="Times New Roman" w:eastAsia="仿宋_GB2312" w:cs="Times New Roman"/>
                <w:color w:val="000000"/>
                <w:kern w:val="0"/>
                <w:sz w:val="28"/>
                <w:szCs w:val="28"/>
                <w:highlight w:val="none"/>
              </w:rPr>
            </w:pPr>
          </w:p>
        </w:tc>
        <w:tc>
          <w:tcPr>
            <w:tcW w:w="5104" w:type="dxa"/>
            <w:vAlign w:val="center"/>
          </w:tcPr>
          <w:p w14:paraId="7DAB1A3C">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未按照要求进行设备维护、保养，如进气处理装置未及时更换；产品的检测装置超过寿命或长时间未经校准</w:t>
            </w:r>
          </w:p>
        </w:tc>
        <w:tc>
          <w:tcPr>
            <w:tcW w:w="2176" w:type="dxa"/>
            <w:vAlign w:val="center"/>
          </w:tcPr>
          <w:p w14:paraId="6ACCDEDE">
            <w:pPr>
              <w:spacing w:line="400" w:lineRule="exact"/>
              <w:jc w:val="center"/>
              <w:outlineLvl w:val="0"/>
              <w:rPr>
                <w:rFonts w:hint="eastAsia"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rPr>
              <w:t>设备异常</w:t>
            </w:r>
          </w:p>
        </w:tc>
      </w:tr>
      <w:tr w14:paraId="5A03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0BC4FDAA">
            <w:pPr>
              <w:spacing w:before="156" w:line="400" w:lineRule="exact"/>
              <w:ind w:firstLine="34"/>
              <w:jc w:val="center"/>
              <w:rPr>
                <w:rFonts w:ascii="Times New Roman" w:hAnsi="Times New Roman" w:eastAsia="仿宋_GB2312" w:cs="Times New Roman"/>
                <w:color w:val="000000"/>
                <w:kern w:val="0"/>
                <w:sz w:val="28"/>
                <w:szCs w:val="28"/>
                <w:highlight w:val="none"/>
              </w:rPr>
            </w:pPr>
          </w:p>
        </w:tc>
        <w:tc>
          <w:tcPr>
            <w:tcW w:w="5104" w:type="dxa"/>
            <w:vAlign w:val="center"/>
          </w:tcPr>
          <w:p w14:paraId="22106D92">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由不熟悉</w:t>
            </w:r>
            <w:r>
              <w:rPr>
                <w:rFonts w:hint="eastAsia" w:ascii="Times New Roman" w:hAnsi="Times New Roman" w:eastAsia="仿宋_GB2312" w:cs="Times New Roman"/>
                <w:color w:val="000000"/>
                <w:kern w:val="0"/>
                <w:sz w:val="28"/>
                <w:szCs w:val="28"/>
                <w:highlight w:val="none"/>
                <w:lang w:val="en-US" w:eastAsia="zh-CN"/>
              </w:rPr>
              <w:t>或未经培训的人员使用；</w:t>
            </w:r>
            <w:r>
              <w:rPr>
                <w:rFonts w:hint="eastAsia" w:ascii="Times New Roman" w:hAnsi="Times New Roman" w:eastAsia="仿宋_GB2312" w:cs="Times New Roman"/>
                <w:color w:val="000000"/>
                <w:kern w:val="0"/>
                <w:sz w:val="28"/>
                <w:szCs w:val="28"/>
                <w:highlight w:val="none"/>
                <w:lang w:eastAsia="zh-CN"/>
              </w:rPr>
              <w:t>使用者未按说明书中的要求进行操作</w:t>
            </w:r>
          </w:p>
        </w:tc>
        <w:tc>
          <w:tcPr>
            <w:tcW w:w="2176" w:type="dxa"/>
            <w:vAlign w:val="center"/>
          </w:tcPr>
          <w:p w14:paraId="24CE3A05">
            <w:pPr>
              <w:spacing w:line="400" w:lineRule="exact"/>
              <w:jc w:val="center"/>
              <w:outlineLvl w:val="0"/>
              <w:rPr>
                <w:rFonts w:hint="eastAsia"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lang w:eastAsia="zh-CN"/>
              </w:rPr>
              <w:t>错误使用</w:t>
            </w:r>
          </w:p>
        </w:tc>
      </w:tr>
      <w:tr w14:paraId="083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154CE2D9">
            <w:pPr>
              <w:spacing w:before="156" w:line="400" w:lineRule="exact"/>
              <w:ind w:firstLine="34"/>
              <w:jc w:val="center"/>
              <w:rPr>
                <w:rFonts w:ascii="Times New Roman" w:hAnsi="Times New Roman" w:eastAsia="仿宋_GB2312" w:cs="Times New Roman"/>
                <w:color w:val="000000"/>
                <w:kern w:val="0"/>
                <w:sz w:val="28"/>
                <w:szCs w:val="28"/>
                <w:highlight w:val="none"/>
              </w:rPr>
            </w:pPr>
          </w:p>
        </w:tc>
        <w:tc>
          <w:tcPr>
            <w:tcW w:w="5104" w:type="dxa"/>
            <w:vAlign w:val="center"/>
          </w:tcPr>
          <w:p w14:paraId="2C6B335C">
            <w:pPr>
              <w:spacing w:before="156" w:line="400" w:lineRule="exact"/>
              <w:jc w:val="both"/>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呼气采集</w:t>
            </w:r>
            <w:r>
              <w:rPr>
                <w:rFonts w:hint="eastAsia" w:ascii="Times New Roman" w:hAnsi="Times New Roman" w:eastAsia="仿宋_GB2312" w:cs="Times New Roman"/>
                <w:color w:val="000000"/>
                <w:kern w:val="0"/>
                <w:sz w:val="28"/>
                <w:szCs w:val="28"/>
                <w:highlight w:val="none"/>
                <w:lang w:val="en-US" w:eastAsia="zh-CN"/>
              </w:rPr>
              <w:t>装置</w:t>
            </w:r>
            <w:r>
              <w:rPr>
                <w:rFonts w:hint="eastAsia" w:ascii="Times New Roman" w:hAnsi="Times New Roman" w:eastAsia="仿宋_GB2312" w:cs="Times New Roman"/>
                <w:color w:val="000000"/>
                <w:kern w:val="0"/>
                <w:sz w:val="28"/>
                <w:szCs w:val="28"/>
                <w:highlight w:val="none"/>
                <w:lang w:eastAsia="zh-CN"/>
              </w:rPr>
              <w:t>与产品接口不</w:t>
            </w:r>
            <w:r>
              <w:rPr>
                <w:rFonts w:hint="eastAsia" w:ascii="Times New Roman" w:hAnsi="Times New Roman" w:eastAsia="仿宋_GB2312" w:cs="Times New Roman"/>
                <w:color w:val="000000"/>
                <w:kern w:val="0"/>
                <w:sz w:val="28"/>
                <w:szCs w:val="28"/>
                <w:highlight w:val="none"/>
                <w:lang w:val="en-US" w:eastAsia="zh-CN"/>
              </w:rPr>
              <w:t>匹配</w:t>
            </w:r>
          </w:p>
        </w:tc>
        <w:tc>
          <w:tcPr>
            <w:tcW w:w="2176" w:type="dxa"/>
            <w:vAlign w:val="center"/>
          </w:tcPr>
          <w:p w14:paraId="71890E1E">
            <w:pPr>
              <w:spacing w:line="400" w:lineRule="exact"/>
              <w:jc w:val="center"/>
              <w:outlineLvl w:val="0"/>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rPr>
              <w:t>错误使用</w:t>
            </w:r>
          </w:p>
        </w:tc>
      </w:tr>
      <w:tr w14:paraId="0A9F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restart"/>
            <w:vAlign w:val="center"/>
          </w:tcPr>
          <w:p w14:paraId="76B81585">
            <w:pPr>
              <w:spacing w:before="156" w:line="400" w:lineRule="exact"/>
              <w:ind w:firstLine="34"/>
              <w:jc w:val="center"/>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软件危害</w:t>
            </w:r>
          </w:p>
        </w:tc>
        <w:tc>
          <w:tcPr>
            <w:tcW w:w="5104" w:type="dxa"/>
            <w:vAlign w:val="center"/>
          </w:tcPr>
          <w:p w14:paraId="3DA866E4">
            <w:pPr>
              <w:spacing w:before="156" w:line="400" w:lineRule="exact"/>
              <w:jc w:val="both"/>
              <w:rPr>
                <w:rFonts w:hint="eastAsia" w:ascii="Times New Roman" w:hAnsi="Times New Roman" w:eastAsia="仿宋_GB2312" w:cs="Times New Roman"/>
                <w:color w:val="000000"/>
                <w:kern w:val="0"/>
                <w:sz w:val="28"/>
                <w:szCs w:val="28"/>
                <w:highlight w:val="none"/>
                <w:lang w:val="en-US" w:eastAsia="zh-CN" w:bidi="ar-SA"/>
              </w:rPr>
            </w:pPr>
            <w:r>
              <w:rPr>
                <w:rFonts w:hint="eastAsia" w:ascii="Times New Roman" w:hAnsi="Times New Roman" w:eastAsia="仿宋_GB2312" w:cs="Times New Roman"/>
                <w:color w:val="000000"/>
                <w:kern w:val="0"/>
                <w:sz w:val="28"/>
                <w:szCs w:val="28"/>
                <w:highlight w:val="none"/>
                <w:lang w:eastAsia="zh-CN"/>
              </w:rPr>
              <w:t>网络安全危险，使用者信息泄露、传输失效、信息被篡改等</w:t>
            </w:r>
          </w:p>
        </w:tc>
        <w:tc>
          <w:tcPr>
            <w:tcW w:w="2176" w:type="dxa"/>
            <w:vAlign w:val="center"/>
          </w:tcPr>
          <w:p w14:paraId="5A6D3A06">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设备异常</w:t>
            </w:r>
          </w:p>
        </w:tc>
      </w:tr>
      <w:tr w14:paraId="08FB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2F225043">
            <w:pPr>
              <w:spacing w:before="156" w:line="400" w:lineRule="exact"/>
              <w:ind w:firstLine="34"/>
              <w:jc w:val="center"/>
              <w:rPr>
                <w:rFonts w:hint="eastAsia" w:ascii="Times New Roman" w:hAnsi="Times New Roman" w:eastAsia="仿宋_GB2312" w:cs="Times New Roman"/>
                <w:color w:val="000000"/>
                <w:kern w:val="0"/>
                <w:sz w:val="28"/>
                <w:szCs w:val="28"/>
                <w:highlight w:val="none"/>
                <w:lang w:eastAsia="zh-CN"/>
              </w:rPr>
            </w:pPr>
          </w:p>
        </w:tc>
        <w:tc>
          <w:tcPr>
            <w:tcW w:w="5104" w:type="dxa"/>
            <w:vAlign w:val="center"/>
          </w:tcPr>
          <w:p w14:paraId="528E038E">
            <w:pPr>
              <w:spacing w:before="156" w:line="400" w:lineRule="exact"/>
              <w:jc w:val="both"/>
              <w:rPr>
                <w:rFonts w:hint="default" w:ascii="Times New Roman" w:hAnsi="Times New Roman" w:eastAsia="仿宋_GB2312" w:cs="Times New Roman"/>
                <w:color w:val="000000"/>
                <w:kern w:val="0"/>
                <w:sz w:val="28"/>
                <w:szCs w:val="28"/>
                <w:highlight w:val="none"/>
                <w:lang w:val="en-US" w:eastAsia="zh-CN" w:bidi="ar-SA"/>
              </w:rPr>
            </w:pPr>
            <w:r>
              <w:rPr>
                <w:rFonts w:hint="default" w:ascii="Times New Roman" w:hAnsi="Times New Roman" w:eastAsia="仿宋_GB2312" w:cs="Times New Roman"/>
                <w:color w:val="000000"/>
                <w:kern w:val="0"/>
                <w:sz w:val="28"/>
                <w:szCs w:val="28"/>
                <w:highlight w:val="none"/>
                <w:lang w:val="en-US" w:eastAsia="zh-CN" w:bidi="ar-SA"/>
              </w:rPr>
              <w:t>数据交换时医疗器械相关数据</w:t>
            </w:r>
            <w:r>
              <w:rPr>
                <w:rFonts w:hint="eastAsia" w:ascii="Times New Roman" w:hAnsi="Times New Roman" w:eastAsia="仿宋_GB2312" w:cs="Times New Roman"/>
                <w:color w:val="000000"/>
                <w:kern w:val="0"/>
                <w:sz w:val="28"/>
                <w:szCs w:val="28"/>
                <w:highlight w:val="none"/>
                <w:lang w:val="en-US" w:eastAsia="zh-CN" w:bidi="ar-SA"/>
              </w:rPr>
              <w:t>在非</w:t>
            </w:r>
            <w:r>
              <w:rPr>
                <w:rFonts w:hint="default" w:ascii="Times New Roman" w:hAnsi="Times New Roman" w:eastAsia="仿宋_GB2312" w:cs="Times New Roman"/>
                <w:color w:val="000000"/>
                <w:kern w:val="0"/>
                <w:sz w:val="28"/>
                <w:szCs w:val="28"/>
                <w:highlight w:val="none"/>
                <w:lang w:val="en-US" w:eastAsia="zh-CN" w:bidi="ar-SA"/>
              </w:rPr>
              <w:t>授权</w:t>
            </w:r>
            <w:r>
              <w:rPr>
                <w:rFonts w:hint="eastAsia" w:ascii="Times New Roman" w:hAnsi="Times New Roman" w:eastAsia="仿宋_GB2312" w:cs="Times New Roman"/>
                <w:color w:val="000000"/>
                <w:kern w:val="0"/>
                <w:sz w:val="28"/>
                <w:szCs w:val="28"/>
                <w:highlight w:val="none"/>
                <w:lang w:val="en-US" w:eastAsia="zh-CN" w:bidi="ar-SA"/>
              </w:rPr>
              <w:t>状态下被</w:t>
            </w:r>
            <w:r>
              <w:rPr>
                <w:rFonts w:hint="default" w:ascii="Times New Roman" w:hAnsi="Times New Roman" w:eastAsia="仿宋_GB2312" w:cs="Times New Roman"/>
                <w:color w:val="000000"/>
                <w:kern w:val="0"/>
                <w:sz w:val="28"/>
                <w:szCs w:val="28"/>
                <w:highlight w:val="none"/>
                <w:lang w:val="en-US" w:eastAsia="zh-CN" w:bidi="ar-SA"/>
              </w:rPr>
              <w:t>访问、修改、删除，无法保证数据的保密性、完整性和可得性</w:t>
            </w:r>
          </w:p>
        </w:tc>
        <w:tc>
          <w:tcPr>
            <w:tcW w:w="2176" w:type="dxa"/>
            <w:vAlign w:val="center"/>
          </w:tcPr>
          <w:p w14:paraId="22F3B60C">
            <w:pPr>
              <w:spacing w:line="400" w:lineRule="exact"/>
              <w:jc w:val="center"/>
              <w:outlineLvl w:val="0"/>
              <w:rPr>
                <w:rFonts w:hint="eastAsia" w:ascii="Times New Roman" w:hAnsi="Times New Roman" w:eastAsia="仿宋_GB2312" w:cs="Times New Roman"/>
                <w:color w:val="000000"/>
                <w:kern w:val="0"/>
                <w:sz w:val="28"/>
                <w:szCs w:val="28"/>
                <w:highlight w:val="none"/>
                <w:lang w:eastAsia="zh-CN"/>
              </w:rPr>
            </w:pPr>
            <w:r>
              <w:rPr>
                <w:rFonts w:hint="eastAsia" w:ascii="Times New Roman" w:hAnsi="Times New Roman" w:eastAsia="仿宋_GB2312" w:cs="Times New Roman"/>
                <w:color w:val="000000"/>
                <w:kern w:val="0"/>
                <w:sz w:val="28"/>
                <w:szCs w:val="28"/>
                <w:highlight w:val="none"/>
                <w:lang w:eastAsia="zh-CN"/>
              </w:rPr>
              <w:t>设备异常</w:t>
            </w:r>
          </w:p>
        </w:tc>
      </w:tr>
      <w:tr w14:paraId="01C1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vAlign w:val="center"/>
          </w:tcPr>
          <w:p w14:paraId="30F66EB6">
            <w:pPr>
              <w:spacing w:before="156" w:line="400" w:lineRule="exact"/>
              <w:ind w:firstLine="34"/>
              <w:jc w:val="center"/>
              <w:rPr>
                <w:rFonts w:ascii="Times New Roman" w:hAnsi="Times New Roman" w:eastAsia="仿宋_GB2312" w:cs="Times New Roman"/>
                <w:color w:val="000000"/>
                <w:kern w:val="0"/>
                <w:sz w:val="28"/>
                <w:szCs w:val="28"/>
                <w:highlight w:val="none"/>
              </w:rPr>
            </w:pPr>
          </w:p>
        </w:tc>
        <w:tc>
          <w:tcPr>
            <w:tcW w:w="5104" w:type="dxa"/>
            <w:vAlign w:val="center"/>
          </w:tcPr>
          <w:p w14:paraId="2F444F16">
            <w:pPr>
              <w:spacing w:before="156" w:line="400" w:lineRule="exact"/>
              <w:jc w:val="both"/>
              <w:rPr>
                <w:rFonts w:hint="eastAsia" w:ascii="Times New Roman" w:hAnsi="Times New Roman" w:eastAsia="仿宋_GB2312" w:cs="Times New Roman"/>
                <w:color w:val="000000"/>
                <w:kern w:val="0"/>
                <w:sz w:val="28"/>
                <w:szCs w:val="28"/>
                <w:highlight w:val="none"/>
                <w:lang w:val="en-US" w:eastAsia="zh-CN" w:bidi="ar-SA"/>
              </w:rPr>
            </w:pPr>
            <w:r>
              <w:rPr>
                <w:rFonts w:hint="eastAsia" w:ascii="Times New Roman" w:hAnsi="Times New Roman" w:eastAsia="仿宋_GB2312" w:cs="Times New Roman"/>
                <w:color w:val="000000"/>
                <w:kern w:val="0"/>
                <w:sz w:val="28"/>
                <w:szCs w:val="28"/>
                <w:highlight w:val="none"/>
                <w:lang w:eastAsia="zh-CN"/>
              </w:rPr>
              <w:t>软件故障、运行环境不匹配、升级错误</w:t>
            </w:r>
          </w:p>
        </w:tc>
        <w:tc>
          <w:tcPr>
            <w:tcW w:w="2176" w:type="dxa"/>
            <w:vAlign w:val="center"/>
          </w:tcPr>
          <w:p w14:paraId="2E745AE7">
            <w:pPr>
              <w:spacing w:line="400" w:lineRule="exact"/>
              <w:jc w:val="center"/>
              <w:outlineLvl w:val="0"/>
              <w:rPr>
                <w:rFonts w:ascii="Times New Roman" w:hAnsi="Times New Roman" w:eastAsia="仿宋_GB2312" w:cs="Times New Roman"/>
                <w:color w:val="000000"/>
                <w:kern w:val="0"/>
                <w:sz w:val="28"/>
                <w:szCs w:val="28"/>
                <w:highlight w:val="none"/>
              </w:rPr>
            </w:pPr>
            <w:r>
              <w:rPr>
                <w:rFonts w:hint="eastAsia" w:ascii="Times New Roman" w:hAnsi="Times New Roman" w:eastAsia="仿宋_GB2312" w:cs="Times New Roman"/>
                <w:color w:val="000000"/>
                <w:kern w:val="0"/>
                <w:sz w:val="28"/>
                <w:szCs w:val="28"/>
                <w:highlight w:val="none"/>
              </w:rPr>
              <w:t>设备异常</w:t>
            </w:r>
          </w:p>
        </w:tc>
      </w:tr>
    </w:tbl>
    <w:p w14:paraId="3D494B3A">
      <w:pPr>
        <w:spacing w:line="520" w:lineRule="exact"/>
        <w:rPr>
          <w:rFonts w:ascii="Times New Roman" w:hAnsi="Times New Roman" w:eastAsia="仿宋_GB2312" w:cs="Times New Roman"/>
          <w:color w:val="000000"/>
          <w:sz w:val="32"/>
          <w:szCs w:val="32"/>
          <w:highlight w:val="none"/>
        </w:rPr>
      </w:pPr>
    </w:p>
    <w:sectPr>
      <w:footerReference r:id="rId3" w:type="default"/>
      <w:footerReference r:id="rId4" w:type="even"/>
      <w:pgSz w:w="11906" w:h="16838"/>
      <w:pgMar w:top="1701" w:right="1588" w:bottom="1701" w:left="1588" w:header="851" w:footer="1134" w:gutter="0"/>
      <w:lnNumType w:countBy="1" w:restart="continuous"/>
      <w:pgNumType w:start="1"/>
      <w:cols w:space="425" w:num="1"/>
      <w:docGrid w:type="lines" w:linePitch="312" w:charSpace="16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BD5AA">
    <w:pPr>
      <w:pStyle w:val="5"/>
      <w:jc w:val="right"/>
      <w:rPr>
        <w:rFonts w:hint="eastAsia"/>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E5B72">
    <w:pPr>
      <w:pStyle w:val="5"/>
      <w:rPr>
        <w:rFonts w:hint="eastAsia"/>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22</w:t>
    </w:r>
    <w:r>
      <w:rPr>
        <w:sz w:val="28"/>
        <w:szCs w:val="28"/>
      </w:rPr>
      <w:fldChar w:fldCharType="end"/>
    </w:r>
    <w:r>
      <w:rPr>
        <w:rFonts w:hint="eastAsia"/>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6E6327"/>
    <w:multiLevelType w:val="singleLevel"/>
    <w:tmpl w:val="B66E6327"/>
    <w:lvl w:ilvl="0" w:tentative="0">
      <w:start w:val="4"/>
      <w:numFmt w:val="chineseCounting"/>
      <w:suff w:val="nothing"/>
      <w:lvlText w:val="（%1）"/>
      <w:lvlJc w:val="left"/>
      <w:rPr>
        <w:rFonts w:hint="eastAsia"/>
      </w:rPr>
    </w:lvl>
  </w:abstractNum>
  <w:abstractNum w:abstractNumId="1">
    <w:nsid w:val="FEC72C9A"/>
    <w:multiLevelType w:val="singleLevel"/>
    <w:tmpl w:val="FEC72C9A"/>
    <w:lvl w:ilvl="0" w:tentative="0">
      <w:start w:val="1"/>
      <w:numFmt w:val="decimal"/>
      <w:suff w:val="nothing"/>
      <w:lvlText w:val="%1．"/>
      <w:lvlJc w:val="left"/>
      <w:pPr>
        <w:ind w:left="0" w:firstLine="400"/>
      </w:pPr>
      <w:rPr>
        <w:rFonts w:hint="default"/>
      </w:rPr>
    </w:lvl>
  </w:abstractNum>
  <w:abstractNum w:abstractNumId="2">
    <w:nsid w:val="00000000"/>
    <w:multiLevelType w:val="singleLevel"/>
    <w:tmpl w:val="00000000"/>
    <w:lvl w:ilvl="0" w:tentative="0">
      <w:start w:val="3"/>
      <w:numFmt w:val="chineseCounting"/>
      <w:suff w:val="nothing"/>
      <w:lvlText w:val="%1、"/>
      <w:lvlJc w:val="left"/>
      <w:rPr>
        <w:rFonts w:hint="eastAsia"/>
      </w:rPr>
    </w:lvl>
  </w:abstractNum>
  <w:abstractNum w:abstractNumId="3">
    <w:nsid w:val="00000001"/>
    <w:multiLevelType w:val="singleLevel"/>
    <w:tmpl w:val="00000001"/>
    <w:lvl w:ilvl="0" w:tentative="0">
      <w:start w:val="4"/>
      <w:numFmt w:val="decimal"/>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1"/>
  <w:bordersDoNotSurroundFooter w:val="1"/>
  <w:documentProtection w:enforcement="0"/>
  <w:defaultTabStop w:val="420"/>
  <w:evenAndOddHeaders w:val="1"/>
  <w:drawingGridHorizontalSpacing w:val="109"/>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59F0D5D"/>
    <w:rsid w:val="0D770B85"/>
    <w:rsid w:val="1740285C"/>
    <w:rsid w:val="2D636E4D"/>
    <w:rsid w:val="2FF5559F"/>
    <w:rsid w:val="31DF6B40"/>
    <w:rsid w:val="3B7F2AAA"/>
    <w:rsid w:val="3FE7AEEF"/>
    <w:rsid w:val="57FF30F2"/>
    <w:rsid w:val="5C484F85"/>
    <w:rsid w:val="5CFDA463"/>
    <w:rsid w:val="5F7F2221"/>
    <w:rsid w:val="67F64392"/>
    <w:rsid w:val="6A1351A3"/>
    <w:rsid w:val="75FF2E7C"/>
    <w:rsid w:val="7BFF0D79"/>
    <w:rsid w:val="7C14767D"/>
    <w:rsid w:val="7EFEB0E4"/>
    <w:rsid w:val="7FFA7E99"/>
    <w:rsid w:val="7FFFB389"/>
    <w:rsid w:val="AA8BE5B3"/>
    <w:rsid w:val="BE7F335D"/>
    <w:rsid w:val="BFF875ED"/>
    <w:rsid w:val="CFF753C1"/>
    <w:rsid w:val="DE99A205"/>
    <w:rsid w:val="EB4EB06B"/>
    <w:rsid w:val="EFF832CF"/>
    <w:rsid w:val="F7CF4704"/>
    <w:rsid w:val="F9A785B1"/>
    <w:rsid w:val="FBF78FEA"/>
    <w:rsid w:val="FBFE420C"/>
    <w:rsid w:val="FE3E4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99"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rPr>
      <w:rFonts w:ascii="Times New Roman" w:hAnsi="Times New Roman" w:eastAsia="宋体" w:cs="Times New Roman"/>
      <w:szCs w:val="24"/>
    </w:rPr>
  </w:style>
  <w:style w:type="paragraph" w:styleId="4">
    <w:name w:val="Balloon Text"/>
    <w:basedOn w:val="1"/>
    <w:link w:val="18"/>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6">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19"/>
    <w:qFormat/>
    <w:uiPriority w:val="99"/>
    <w:rPr>
      <w:rFonts w:ascii="等线" w:hAnsi="等线" w:eastAsia="等线" w:cs="宋体"/>
      <w:b/>
      <w:bCs/>
      <w:szCs w:val="22"/>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line number"/>
    <w:basedOn w:val="12"/>
    <w:qFormat/>
    <w:uiPriority w:val="99"/>
  </w:style>
  <w:style w:type="character" w:styleId="14">
    <w:name w:val="Hyperlink"/>
    <w:basedOn w:val="12"/>
    <w:qFormat/>
    <w:uiPriority w:val="99"/>
    <w:rPr>
      <w:color w:val="0563C1"/>
      <w:u w:val="single"/>
    </w:rPr>
  </w:style>
  <w:style w:type="character" w:styleId="15">
    <w:name w:val="annotation reference"/>
    <w:basedOn w:val="12"/>
    <w:qFormat/>
    <w:uiPriority w:val="0"/>
    <w:rPr>
      <w:sz w:val="21"/>
      <w:szCs w:val="21"/>
    </w:rPr>
  </w:style>
  <w:style w:type="character" w:customStyle="1" w:styleId="16">
    <w:name w:val="页脚 字符"/>
    <w:basedOn w:val="12"/>
    <w:link w:val="5"/>
    <w:qFormat/>
    <w:uiPriority w:val="99"/>
    <w:rPr>
      <w:rFonts w:ascii="Times New Roman" w:hAnsi="Times New Roman" w:eastAsia="宋体" w:cs="Times New Roman"/>
      <w:sz w:val="18"/>
      <w:szCs w:val="18"/>
    </w:rPr>
  </w:style>
  <w:style w:type="character" w:customStyle="1" w:styleId="17">
    <w:name w:val="批注文字 字符"/>
    <w:basedOn w:val="12"/>
    <w:link w:val="3"/>
    <w:qFormat/>
    <w:uiPriority w:val="0"/>
    <w:rPr>
      <w:rFonts w:ascii="Times New Roman" w:hAnsi="Times New Roman" w:eastAsia="宋体" w:cs="Times New Roman"/>
      <w:szCs w:val="24"/>
    </w:rPr>
  </w:style>
  <w:style w:type="character" w:customStyle="1" w:styleId="18">
    <w:name w:val="批注框文本 字符"/>
    <w:basedOn w:val="12"/>
    <w:link w:val="4"/>
    <w:qFormat/>
    <w:uiPriority w:val="99"/>
    <w:rPr>
      <w:sz w:val="18"/>
      <w:szCs w:val="18"/>
    </w:rPr>
  </w:style>
  <w:style w:type="character" w:customStyle="1" w:styleId="19">
    <w:name w:val="批注主题 字符"/>
    <w:basedOn w:val="17"/>
    <w:link w:val="9"/>
    <w:qFormat/>
    <w:uiPriority w:val="99"/>
    <w:rPr>
      <w:rFonts w:ascii="Times New Roman" w:hAnsi="Times New Roman" w:eastAsia="宋体" w:cs="Times New Roman"/>
      <w:b/>
      <w:bCs/>
      <w:szCs w:val="24"/>
    </w:rPr>
  </w:style>
  <w:style w:type="character" w:customStyle="1" w:styleId="20">
    <w:name w:val="页眉 字符"/>
    <w:basedOn w:val="12"/>
    <w:link w:val="6"/>
    <w:qFormat/>
    <w:uiPriority w:val="99"/>
    <w:rPr>
      <w:sz w:val="18"/>
      <w:szCs w:val="18"/>
    </w:rPr>
  </w:style>
  <w:style w:type="character" w:customStyle="1" w:styleId="21">
    <w:name w:val="标题 1 字符"/>
    <w:basedOn w:val="12"/>
    <w:link w:val="2"/>
    <w:qFormat/>
    <w:uiPriority w:val="9"/>
    <w:rPr>
      <w:b/>
      <w:bCs/>
      <w:kern w:val="44"/>
      <w:sz w:val="44"/>
      <w:szCs w:val="44"/>
    </w:rPr>
  </w:style>
  <w:style w:type="paragraph" w:customStyle="1" w:styleId="22">
    <w:name w:val="TOC 标题1"/>
    <w:basedOn w:val="2"/>
    <w:next w:val="1"/>
    <w:qFormat/>
    <w:uiPriority w:val="39"/>
    <w:pPr>
      <w:widowControl/>
      <w:spacing w:before="240" w:after="0" w:line="259" w:lineRule="auto"/>
      <w:jc w:val="left"/>
      <w:outlineLvl w:val="9"/>
    </w:pPr>
    <w:rPr>
      <w:rFonts w:ascii="等线 Light" w:hAnsi="等线 Light" w:eastAsia="等线 Light" w:cs="宋体"/>
      <w:b w:val="0"/>
      <w:bCs w:val="0"/>
      <w:color w:val="2E75B6"/>
      <w:kern w:val="0"/>
      <w:sz w:val="32"/>
      <w:szCs w:val="32"/>
    </w:rPr>
  </w:style>
  <w:style w:type="paragraph" w:styleId="2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cd:customData xmlns:mcd="http://www.wps.cn/android/officeDocument/2013/mofficeCustomData" version="2">
  <mcd:comments xmlns:mcd="http://www.wps.cn/android/officeDocument/2013/mofficeCustomData"/>
</mcd:customData>
</file>

<file path=customXml/itemProps1.xml><?xml version="1.0" encoding="utf-8"?>
<ds:datastoreItem xmlns:ds="http://schemas.openxmlformats.org/officeDocument/2006/customXml" ds:itemID="{082161b7-7221-4580-8e3d-e7d0bfcd2b63}">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17</Pages>
  <Words>7943</Words>
  <Characters>8525</Characters>
  <Paragraphs>250</Paragraphs>
  <TotalTime>19</TotalTime>
  <ScaleCrop>false</ScaleCrop>
  <LinksUpToDate>false</LinksUpToDate>
  <CharactersWithSpaces>8564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2025-12-04T09:50:00Z</dcterms:created>
  <dc:creator>PC</dc:creator>
  <cp:lastModifiedBy>Qy</cp:lastModifiedBy>
  <dcterms:modified xsi:type="dcterms:W3CDTF">2026-07-27T03:02:28Z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ABC0DA4ED41A0D4AA8DF176AD15D8813</vt:lpwstr>
  </property>
  <property fmtid="{D5CDD505-2E9C-101B-9397-08002B2CF9AE}" pid="4" name="KSOTemplateDocerSaveRecord">
    <vt:lpwstr>eyJoZGlkIjoiZWI2MzdiYWIxOWY1YWQ1ZjM3ZTU5ZDU1NDcwODZlMjAiLCJ1c2VySWQiOiI0NTc5MDYwNDgifQ==</vt:lpwstr>
  </property>
</Properties>
</file>