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4A267">
      <w:pPr>
        <w:spacing w:line="520" w:lineRule="exact"/>
        <w:ind w:right="-102" w:rightChars="-32"/>
        <w:jc w:val="center"/>
        <w:rPr>
          <w:rFonts w:eastAsia="方正小标宋简体"/>
          <w:color w:val="000000"/>
          <w:sz w:val="44"/>
          <w:szCs w:val="44"/>
        </w:rPr>
      </w:pPr>
      <w:bookmarkStart w:id="10" w:name="_GoBack"/>
      <w:r>
        <w:rPr>
          <w:rFonts w:hint="eastAsia" w:eastAsia="方正小标宋简体"/>
          <w:color w:val="000000"/>
          <w:sz w:val="44"/>
          <w:szCs w:val="44"/>
        </w:rPr>
        <w:t>细菌内毒素检测仪注册审查指导原则</w:t>
      </w:r>
      <w:bookmarkEnd w:id="10"/>
    </w:p>
    <w:p w14:paraId="60A93E0D">
      <w:pPr>
        <w:spacing w:line="520" w:lineRule="exact"/>
        <w:ind w:right="-102" w:rightChars="-32"/>
        <w:jc w:val="center"/>
        <w:rPr>
          <w:rFonts w:eastAsia="方正小标宋简体"/>
          <w:color w:val="000000"/>
          <w:sz w:val="44"/>
          <w:szCs w:val="44"/>
        </w:rPr>
      </w:pPr>
      <w:r>
        <w:rPr>
          <w:rFonts w:hint="eastAsia" w:eastAsia="方正小标宋简体"/>
          <w:color w:val="000000"/>
          <w:sz w:val="44"/>
          <w:szCs w:val="44"/>
        </w:rPr>
        <w:t>（征求意见稿）</w:t>
      </w:r>
    </w:p>
    <w:p w14:paraId="332A44C7">
      <w:pPr>
        <w:spacing w:line="520" w:lineRule="exact"/>
        <w:ind w:firstLine="632" w:firstLineChars="200"/>
        <w:rPr>
          <w:rFonts w:eastAsia="仿宋_GB2312"/>
          <w:spacing w:val="-2"/>
          <w:kern w:val="0"/>
          <w:szCs w:val="32"/>
        </w:rPr>
      </w:pPr>
    </w:p>
    <w:p w14:paraId="7FE51C90">
      <w:pPr>
        <w:spacing w:line="520" w:lineRule="exact"/>
        <w:ind w:firstLine="640" w:firstLineChars="200"/>
        <w:rPr>
          <w:rFonts w:eastAsia="仿宋_GB2312"/>
          <w:color w:val="000000"/>
          <w:szCs w:val="32"/>
        </w:rPr>
      </w:pPr>
      <w:r>
        <w:rPr>
          <w:rFonts w:eastAsia="仿宋_GB2312"/>
          <w:color w:val="000000"/>
          <w:szCs w:val="32"/>
        </w:rPr>
        <w:t>本指导原则旨在指导注册申请人对</w:t>
      </w:r>
      <w:r>
        <w:rPr>
          <w:rFonts w:hint="eastAsia" w:eastAsia="仿宋_GB2312"/>
          <w:color w:val="000000"/>
          <w:szCs w:val="32"/>
        </w:rPr>
        <w:t>细菌内毒素检测仪器</w:t>
      </w:r>
      <w:r>
        <w:rPr>
          <w:rFonts w:eastAsia="仿宋_GB2312"/>
          <w:color w:val="000000"/>
          <w:szCs w:val="32"/>
        </w:rPr>
        <w:t>注册申报资料的准备及撰写，同时也为技术审评部门对注册申报资料的审评提供参考。</w:t>
      </w:r>
    </w:p>
    <w:p w14:paraId="5E6C3293">
      <w:pPr>
        <w:spacing w:line="520" w:lineRule="exact"/>
        <w:ind w:firstLine="640" w:firstLineChars="200"/>
        <w:rPr>
          <w:rFonts w:eastAsia="仿宋_GB2312"/>
          <w:color w:val="000000"/>
          <w:szCs w:val="32"/>
        </w:rPr>
      </w:pPr>
      <w:r>
        <w:rPr>
          <w:rFonts w:eastAsia="仿宋_GB2312"/>
          <w:color w:val="000000"/>
          <w:szCs w:val="32"/>
        </w:rPr>
        <w:t>本指导原则是对</w:t>
      </w:r>
      <w:r>
        <w:rPr>
          <w:rFonts w:hint="eastAsia" w:eastAsia="仿宋_GB2312"/>
          <w:spacing w:val="-2"/>
          <w:kern w:val="0"/>
          <w:szCs w:val="32"/>
        </w:rPr>
        <w:t>用于细菌内毒素检测仪器</w:t>
      </w:r>
      <w:r>
        <w:rPr>
          <w:rFonts w:hint="eastAsia" w:eastAsia="仿宋_GB2312"/>
          <w:color w:val="000000"/>
          <w:szCs w:val="32"/>
        </w:rPr>
        <w:t>的</w:t>
      </w:r>
      <w:r>
        <w:rPr>
          <w:rFonts w:eastAsia="仿宋_GB2312"/>
          <w:color w:val="000000"/>
          <w:szCs w:val="32"/>
        </w:rPr>
        <w:t>注册申报资料的一般要求，注册申请人需依据产品的具体特性确定其中内容是否适用。若不适用，需具体阐述理由及相应的科学依据，并依据产品的具体特性对注册申报资料的内容进行充实和细化。</w:t>
      </w:r>
    </w:p>
    <w:p w14:paraId="2E94395A">
      <w:pPr>
        <w:spacing w:line="520" w:lineRule="exact"/>
        <w:ind w:firstLine="640" w:firstLineChars="200"/>
        <w:rPr>
          <w:rFonts w:eastAsia="仿宋_GB2312"/>
          <w:color w:val="000000"/>
          <w:szCs w:val="32"/>
        </w:rPr>
      </w:pPr>
      <w:r>
        <w:rPr>
          <w:rFonts w:eastAsia="仿宋_GB2312"/>
          <w:color w:val="000000"/>
          <w:szCs w:val="32"/>
        </w:rPr>
        <w:t>本指导原则是</w:t>
      </w:r>
      <w:r>
        <w:rPr>
          <w:rFonts w:hint="eastAsia" w:eastAsia="仿宋_GB2312"/>
          <w:color w:val="000000"/>
          <w:szCs w:val="32"/>
        </w:rPr>
        <w:t>对</w:t>
      </w:r>
      <w:r>
        <w:rPr>
          <w:rFonts w:eastAsia="仿宋_GB2312"/>
          <w:color w:val="000000"/>
          <w:szCs w:val="32"/>
        </w:rPr>
        <w:t>注册申请人和技术审评人员的指导性文件，但不包括注册审批所涉及的行政事项，亦不作为法规强制执行，</w:t>
      </w:r>
      <w:r>
        <w:rPr>
          <w:rFonts w:hint="eastAsia" w:eastAsia="仿宋_GB2312"/>
          <w:color w:val="000000"/>
          <w:szCs w:val="32"/>
        </w:rPr>
        <w:t>应</w:t>
      </w:r>
      <w:r>
        <w:rPr>
          <w:rFonts w:eastAsia="仿宋_GB2312"/>
          <w:color w:val="000000"/>
          <w:szCs w:val="32"/>
        </w:rPr>
        <w:t>在遵循相关法规和强制性标准的前提下使用本指导原则。如果有能够满足相关法规要求的其他方法也可采用，需提供详细的研究资料和验证资料。</w:t>
      </w:r>
    </w:p>
    <w:p w14:paraId="657C3346">
      <w:pPr>
        <w:spacing w:line="520" w:lineRule="exact"/>
        <w:ind w:firstLine="640" w:firstLineChars="200"/>
        <w:rPr>
          <w:rFonts w:eastAsia="仿宋_GB2312"/>
          <w:color w:val="000000"/>
          <w:szCs w:val="32"/>
        </w:rPr>
      </w:pPr>
      <w:r>
        <w:rPr>
          <w:rFonts w:eastAsia="仿宋_GB2312"/>
          <w:color w:val="000000"/>
          <w:szCs w:val="32"/>
        </w:rPr>
        <w:t>本指导原则是在现行法规和标准体系以及当前认知水平下制定的，随着法规和标准的不断完善，以及科学技术的不断发展，本指导原则相关内容也将进行适时的调整。</w:t>
      </w:r>
    </w:p>
    <w:p w14:paraId="579014EE">
      <w:pPr>
        <w:pStyle w:val="3"/>
      </w:pPr>
      <w:r>
        <w:t>一、适用范围</w:t>
      </w:r>
    </w:p>
    <w:p w14:paraId="4BBF9EF0">
      <w:pPr>
        <w:spacing w:line="520" w:lineRule="exact"/>
        <w:ind w:right="-102" w:rightChars="-32" w:firstLine="640" w:firstLineChars="200"/>
        <w:rPr>
          <w:rFonts w:eastAsia="仿宋_GB2312"/>
          <w:szCs w:val="32"/>
        </w:rPr>
      </w:pPr>
      <w:r>
        <w:rPr>
          <w:rFonts w:eastAsia="仿宋_GB2312"/>
          <w:szCs w:val="32"/>
        </w:rPr>
        <w:t>本指导原则适用于</w:t>
      </w:r>
      <w:r>
        <w:rPr>
          <w:rFonts w:hint="eastAsia" w:eastAsia="仿宋_GB2312"/>
          <w:szCs w:val="32"/>
        </w:rPr>
        <w:t>采用凝胶法、光度法</w:t>
      </w:r>
      <w:r>
        <w:rPr>
          <w:rFonts w:eastAsia="仿宋_GB2312"/>
          <w:szCs w:val="32"/>
        </w:rPr>
        <w:t>来</w:t>
      </w:r>
      <w:r>
        <w:rPr>
          <w:rFonts w:hint="eastAsia" w:eastAsia="仿宋_GB2312"/>
          <w:szCs w:val="32"/>
        </w:rPr>
        <w:t>检测细菌内毒素和</w:t>
      </w:r>
      <w:r>
        <w:rPr>
          <w:rFonts w:eastAsia="仿宋_GB2312"/>
          <w:szCs w:val="32"/>
        </w:rPr>
        <w:t>/</w:t>
      </w:r>
      <w:r>
        <w:rPr>
          <w:rFonts w:hint="eastAsia" w:eastAsia="仿宋_GB2312"/>
          <w:szCs w:val="32"/>
        </w:rPr>
        <w:t>或（</w:t>
      </w:r>
      <w:r>
        <w:rPr>
          <w:rFonts w:eastAsia="仿宋_GB2312"/>
          <w:szCs w:val="32"/>
        </w:rPr>
        <w:t>1</w:t>
      </w:r>
      <w:r>
        <w:rPr>
          <w:rFonts w:hint="eastAsia" w:eastAsia="仿宋_GB2312"/>
          <w:szCs w:val="32"/>
        </w:rPr>
        <w:t>，</w:t>
      </w:r>
      <w:r>
        <w:rPr>
          <w:rFonts w:eastAsia="仿宋_GB2312"/>
          <w:szCs w:val="32"/>
        </w:rPr>
        <w:t>3</w:t>
      </w:r>
      <w:r>
        <w:rPr>
          <w:rFonts w:hint="eastAsia" w:eastAsia="仿宋_GB2312"/>
          <w:szCs w:val="32"/>
        </w:rPr>
        <w:t>）</w:t>
      </w:r>
      <w:r>
        <w:rPr>
          <w:rFonts w:eastAsia="仿宋_GB2312"/>
          <w:szCs w:val="32"/>
        </w:rPr>
        <w:t>-β-D</w:t>
      </w:r>
      <w:r>
        <w:rPr>
          <w:rFonts w:hint="eastAsia" w:eastAsia="仿宋_GB2312"/>
          <w:szCs w:val="32"/>
        </w:rPr>
        <w:t>葡聚糖的检测仪器。</w:t>
      </w:r>
    </w:p>
    <w:p w14:paraId="66542C21">
      <w:pPr>
        <w:spacing w:line="520" w:lineRule="exact"/>
        <w:ind w:right="-102" w:rightChars="-32" w:firstLine="640" w:firstLineChars="200"/>
        <w:rPr>
          <w:rFonts w:eastAsia="仿宋_GB2312"/>
          <w:szCs w:val="32"/>
        </w:rPr>
      </w:pPr>
      <w:r>
        <w:rPr>
          <w:rFonts w:hint="eastAsia" w:eastAsia="仿宋_GB2312"/>
          <w:szCs w:val="32"/>
        </w:rPr>
        <w:t>本指导原则不适用于其他方法原理的产品，但适用处可参照执行。</w:t>
      </w:r>
    </w:p>
    <w:p w14:paraId="305A539D">
      <w:pPr>
        <w:pStyle w:val="3"/>
        <w:numPr>
          <w:ilvl w:val="0"/>
          <w:numId w:val="1"/>
        </w:numPr>
      </w:pPr>
      <w:bookmarkStart w:id="0" w:name="OLE_LINK1"/>
      <w:r>
        <w:rPr>
          <w:rFonts w:hint="eastAsia"/>
        </w:rPr>
        <w:t>注册</w:t>
      </w:r>
      <w:r>
        <w:t>审查要点</w:t>
      </w:r>
    </w:p>
    <w:p w14:paraId="72184F38">
      <w:pPr>
        <w:spacing w:line="520" w:lineRule="exact"/>
        <w:ind w:firstLine="640" w:firstLineChars="200"/>
        <w:rPr>
          <w:rFonts w:eastAsia="楷体_GB2312"/>
          <w:bCs/>
          <w:szCs w:val="32"/>
        </w:rPr>
      </w:pPr>
      <w:r>
        <w:rPr>
          <w:rFonts w:hint="eastAsia" w:eastAsia="楷体_GB2312"/>
          <w:bCs/>
          <w:szCs w:val="32"/>
        </w:rPr>
        <w:t>（一）监管信息</w:t>
      </w:r>
    </w:p>
    <w:bookmarkEnd w:id="0"/>
    <w:p w14:paraId="6F5037D2">
      <w:pPr>
        <w:spacing w:line="520" w:lineRule="exact"/>
        <w:ind w:firstLine="640" w:firstLineChars="200"/>
        <w:rPr>
          <w:rFonts w:eastAsia="仿宋_GB2312"/>
          <w:szCs w:val="32"/>
        </w:rPr>
      </w:pPr>
      <w:r>
        <w:rPr>
          <w:rFonts w:eastAsia="仿宋_GB2312"/>
          <w:szCs w:val="32"/>
        </w:rPr>
        <w:t>注册申请人应提供产品名称、分类编码、注册单元划分等；产品列表、既往沟通记录、主文档授权及其他管理信息等。</w:t>
      </w:r>
    </w:p>
    <w:p w14:paraId="17CD1B57">
      <w:pPr>
        <w:pStyle w:val="5"/>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1.产品名称</w:t>
      </w:r>
    </w:p>
    <w:p w14:paraId="55E2FE47">
      <w:pPr>
        <w:spacing w:line="520" w:lineRule="exact"/>
        <w:ind w:firstLine="640"/>
        <w:rPr>
          <w:rFonts w:eastAsia="仿宋_GB2312"/>
          <w:szCs w:val="32"/>
        </w:rPr>
      </w:pPr>
      <w:r>
        <w:rPr>
          <w:rFonts w:hint="eastAsia" w:eastAsia="仿宋_GB2312"/>
          <w:szCs w:val="32"/>
        </w:rPr>
        <w:t>产品的命名应符合国家关于医疗器械命名规则的要求，可根据《医疗器械通用名称命名规则》及《临床检验器械通用名称命名指导原则》的要求，参考《医疗器械分类目录》中的产品名称举例确定命名，并详细描述确定依据。品名举例：细菌内毒素检测仪、细菌内毒素/真菌葡聚糖检测仪。</w:t>
      </w:r>
    </w:p>
    <w:p w14:paraId="025C895A">
      <w:pPr>
        <w:spacing w:line="520" w:lineRule="exact"/>
        <w:ind w:firstLine="640" w:firstLineChars="200"/>
        <w:rPr>
          <w:rFonts w:hint="eastAsia" w:eastAsia="仿宋_GB2312"/>
          <w:szCs w:val="32"/>
        </w:rPr>
      </w:pPr>
      <w:r>
        <w:rPr>
          <w:rFonts w:hint="eastAsia" w:eastAsia="仿宋_GB2312"/>
          <w:szCs w:val="32"/>
        </w:rPr>
        <w:t>2.分类编码</w:t>
      </w:r>
    </w:p>
    <w:p w14:paraId="1F5A6989">
      <w:pPr>
        <w:spacing w:line="520" w:lineRule="exact"/>
        <w:ind w:firstLine="640" w:firstLineChars="200"/>
      </w:pPr>
      <w:r>
        <w:rPr>
          <w:rFonts w:eastAsia="仿宋_GB2312"/>
          <w:szCs w:val="32"/>
        </w:rPr>
        <w:t>按照《医疗器械分类目录》，产品的管理类别为Ⅱ类，产品分类编码为22-</w:t>
      </w:r>
      <w:r>
        <w:rPr>
          <w:rFonts w:hint="eastAsia" w:eastAsia="仿宋_GB2312"/>
          <w:szCs w:val="32"/>
        </w:rPr>
        <w:t>06-07</w:t>
      </w:r>
      <w:r>
        <w:rPr>
          <w:rFonts w:eastAsia="仿宋_GB2312"/>
          <w:szCs w:val="32"/>
        </w:rPr>
        <w:t>。</w:t>
      </w:r>
    </w:p>
    <w:p w14:paraId="2CD2A2EA">
      <w:pPr>
        <w:pStyle w:val="5"/>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3.注册单元划分的原则和实例</w:t>
      </w:r>
    </w:p>
    <w:p w14:paraId="3FF40028">
      <w:pPr>
        <w:widowControl/>
        <w:spacing w:line="520" w:lineRule="exact"/>
        <w:ind w:right="-102" w:rightChars="-32" w:firstLine="640" w:firstLineChars="200"/>
        <w:rPr>
          <w:rFonts w:eastAsia="仿宋_GB2312"/>
          <w:szCs w:val="32"/>
        </w:rPr>
      </w:pPr>
      <w:r>
        <w:rPr>
          <w:rFonts w:hint="eastAsia" w:eastAsia="仿宋_GB2312"/>
          <w:szCs w:val="32"/>
        </w:rPr>
        <w:t>注册单元划分应符合《医疗器械注册单元划分指导原则》的要求，原则上以产品的技术原理、结构组成、性能指标和适用范围为划分依据。</w:t>
      </w:r>
    </w:p>
    <w:p w14:paraId="49B3C758">
      <w:pPr>
        <w:widowControl/>
        <w:spacing w:line="520" w:lineRule="exact"/>
        <w:ind w:right="-102" w:rightChars="-32" w:firstLine="640" w:firstLineChars="200"/>
        <w:rPr>
          <w:rFonts w:eastAsia="仿宋_GB2312"/>
          <w:szCs w:val="32"/>
          <w:lang w:val="en"/>
        </w:rPr>
      </w:pPr>
      <w:r>
        <w:rPr>
          <w:rFonts w:hint="eastAsia" w:eastAsia="仿宋_GB2312"/>
          <w:szCs w:val="32"/>
        </w:rPr>
        <w:t>以下情形建议划分为不同注册单元</w:t>
      </w:r>
      <w:r>
        <w:rPr>
          <w:rFonts w:hint="eastAsia" w:eastAsia="仿宋_GB2312"/>
          <w:szCs w:val="32"/>
          <w:lang w:val="en"/>
        </w:rPr>
        <w:t>：</w:t>
      </w:r>
    </w:p>
    <w:p w14:paraId="15256DD2">
      <w:pPr>
        <w:widowControl/>
        <w:spacing w:line="520" w:lineRule="exact"/>
        <w:ind w:right="-102" w:rightChars="-32" w:firstLine="640" w:firstLineChars="200"/>
        <w:rPr>
          <w:rFonts w:eastAsia="仿宋_GB2312"/>
          <w:szCs w:val="32"/>
          <w:lang w:val="en"/>
        </w:rPr>
      </w:pPr>
      <w:r>
        <w:rPr>
          <w:rFonts w:hint="eastAsia" w:eastAsia="仿宋_GB2312"/>
          <w:szCs w:val="32"/>
        </w:rPr>
        <w:t>3.1技术原理</w:t>
      </w:r>
      <w:r>
        <w:rPr>
          <w:rFonts w:hint="eastAsia" w:eastAsia="仿宋_GB2312"/>
          <w:szCs w:val="32"/>
          <w:lang w:val="en"/>
        </w:rPr>
        <w:t>不同</w:t>
      </w:r>
      <w:r>
        <w:rPr>
          <w:rFonts w:hint="eastAsia" w:eastAsia="仿宋_GB2312"/>
          <w:szCs w:val="32"/>
        </w:rPr>
        <w:t>，如凝胶法和光度法建议</w:t>
      </w:r>
      <w:r>
        <w:rPr>
          <w:rFonts w:hint="eastAsia" w:eastAsia="仿宋_GB2312"/>
          <w:szCs w:val="32"/>
          <w:lang w:val="en"/>
        </w:rPr>
        <w:t>划分为不同注册单元。</w:t>
      </w:r>
    </w:p>
    <w:p w14:paraId="13253735">
      <w:pPr>
        <w:widowControl/>
        <w:spacing w:line="520" w:lineRule="exact"/>
        <w:ind w:right="-102" w:rightChars="-32" w:firstLine="640" w:firstLineChars="200"/>
        <w:rPr>
          <w:rFonts w:eastAsia="仿宋_GB2312"/>
          <w:szCs w:val="32"/>
          <w:lang w:val="en"/>
        </w:rPr>
      </w:pPr>
      <w:r>
        <w:rPr>
          <w:rFonts w:hint="eastAsia" w:eastAsia="仿宋_GB2312"/>
          <w:szCs w:val="32"/>
        </w:rPr>
        <w:t>3.2结构组成</w:t>
      </w:r>
      <w:r>
        <w:rPr>
          <w:rFonts w:hint="eastAsia" w:eastAsia="仿宋_GB2312"/>
          <w:szCs w:val="32"/>
          <w:lang w:val="en"/>
        </w:rPr>
        <w:t>不同，</w:t>
      </w:r>
      <w:r>
        <w:rPr>
          <w:rFonts w:hint="eastAsia" w:eastAsia="仿宋_GB2312"/>
          <w:szCs w:val="32"/>
        </w:rPr>
        <w:t>如全自动和半自动建议</w:t>
      </w:r>
      <w:r>
        <w:rPr>
          <w:rFonts w:hint="eastAsia" w:eastAsia="仿宋_GB2312"/>
          <w:szCs w:val="32"/>
          <w:lang w:val="en"/>
        </w:rPr>
        <w:t>划分为不同的注册单元。</w:t>
      </w:r>
    </w:p>
    <w:p w14:paraId="7B23A141">
      <w:pPr>
        <w:widowControl/>
        <w:spacing w:line="520" w:lineRule="exact"/>
        <w:ind w:right="-102" w:rightChars="-32" w:firstLine="640" w:firstLineChars="200"/>
        <w:rPr>
          <w:rFonts w:eastAsia="仿宋_GB2312"/>
          <w:szCs w:val="32"/>
        </w:rPr>
      </w:pPr>
      <w:r>
        <w:rPr>
          <w:rFonts w:hint="eastAsia" w:eastAsia="仿宋_GB2312"/>
          <w:szCs w:val="32"/>
        </w:rPr>
        <w:t>3.3性能指标有较大差异的，建议划分为不同的单元。</w:t>
      </w:r>
    </w:p>
    <w:p w14:paraId="7F810994">
      <w:pPr>
        <w:widowControl/>
        <w:spacing w:line="520" w:lineRule="exact"/>
        <w:ind w:right="-102" w:rightChars="-32" w:firstLine="640" w:firstLineChars="200"/>
        <w:rPr>
          <w:rFonts w:eastAsia="仿宋_GB2312"/>
          <w:szCs w:val="32"/>
        </w:rPr>
      </w:pPr>
      <w:r>
        <w:rPr>
          <w:rFonts w:hint="eastAsia" w:eastAsia="仿宋_GB2312"/>
          <w:szCs w:val="32"/>
        </w:rPr>
        <w:t>3.4适用范围不同，如适用范围包含细菌内毒素和（</w:t>
      </w:r>
      <w:r>
        <w:rPr>
          <w:rFonts w:eastAsia="仿宋_GB2312"/>
          <w:szCs w:val="32"/>
        </w:rPr>
        <w:t>1</w:t>
      </w:r>
      <w:r>
        <w:rPr>
          <w:rFonts w:hint="eastAsia" w:eastAsia="仿宋_GB2312"/>
          <w:szCs w:val="32"/>
        </w:rPr>
        <w:t>，</w:t>
      </w:r>
      <w:r>
        <w:rPr>
          <w:rFonts w:eastAsia="仿宋_GB2312"/>
          <w:szCs w:val="32"/>
        </w:rPr>
        <w:t>3</w:t>
      </w:r>
      <w:r>
        <w:rPr>
          <w:rFonts w:hint="eastAsia" w:eastAsia="仿宋_GB2312"/>
          <w:szCs w:val="32"/>
        </w:rPr>
        <w:t>）</w:t>
      </w:r>
      <w:r>
        <w:rPr>
          <w:rFonts w:eastAsia="仿宋_GB2312"/>
          <w:szCs w:val="32"/>
        </w:rPr>
        <w:t>-β-D</w:t>
      </w:r>
      <w:r>
        <w:rPr>
          <w:rFonts w:hint="eastAsia" w:eastAsia="仿宋_GB2312"/>
          <w:szCs w:val="32"/>
        </w:rPr>
        <w:t>葡聚糖、仅包含细菌内毒素、仅包含（</w:t>
      </w:r>
      <w:r>
        <w:rPr>
          <w:rFonts w:eastAsia="仿宋_GB2312"/>
          <w:szCs w:val="32"/>
        </w:rPr>
        <w:t>1</w:t>
      </w:r>
      <w:r>
        <w:rPr>
          <w:rFonts w:hint="eastAsia" w:eastAsia="仿宋_GB2312"/>
          <w:szCs w:val="32"/>
        </w:rPr>
        <w:t>，</w:t>
      </w:r>
      <w:r>
        <w:rPr>
          <w:rFonts w:eastAsia="仿宋_GB2312"/>
          <w:szCs w:val="32"/>
        </w:rPr>
        <w:t>3</w:t>
      </w:r>
      <w:r>
        <w:rPr>
          <w:rFonts w:hint="eastAsia" w:eastAsia="仿宋_GB2312"/>
          <w:szCs w:val="32"/>
        </w:rPr>
        <w:t>）</w:t>
      </w:r>
      <w:r>
        <w:rPr>
          <w:rFonts w:eastAsia="仿宋_GB2312"/>
          <w:szCs w:val="32"/>
        </w:rPr>
        <w:t>-β-D</w:t>
      </w:r>
      <w:r>
        <w:rPr>
          <w:rFonts w:hint="eastAsia" w:eastAsia="仿宋_GB2312"/>
          <w:szCs w:val="32"/>
        </w:rPr>
        <w:t>葡聚糖的设备建议</w:t>
      </w:r>
      <w:r>
        <w:rPr>
          <w:rFonts w:hint="eastAsia" w:eastAsia="仿宋_GB2312"/>
          <w:szCs w:val="32"/>
          <w:lang w:val="en"/>
        </w:rPr>
        <w:t>划分为不同的注册单元。</w:t>
      </w:r>
    </w:p>
    <w:p w14:paraId="53C090B6">
      <w:pPr>
        <w:keepNext/>
        <w:keepLines/>
        <w:spacing w:line="520" w:lineRule="exact"/>
        <w:ind w:firstLine="640" w:firstLineChars="200"/>
        <w:outlineLvl w:val="1"/>
        <w:rPr>
          <w:rFonts w:eastAsia="楷体_GB2312"/>
          <w:szCs w:val="32"/>
        </w:rPr>
      </w:pPr>
      <w:r>
        <w:rPr>
          <w:rFonts w:eastAsia="楷体_GB2312"/>
          <w:szCs w:val="32"/>
        </w:rPr>
        <w:t>（</w:t>
      </w:r>
      <w:r>
        <w:rPr>
          <w:rStyle w:val="21"/>
        </w:rPr>
        <w:t>二）综述资料</w:t>
      </w:r>
    </w:p>
    <w:p w14:paraId="56393E02">
      <w:pPr>
        <w:spacing w:line="520" w:lineRule="exact"/>
        <w:ind w:firstLine="640" w:firstLineChars="200"/>
        <w:rPr>
          <w:rFonts w:eastAsia="仿宋_GB2312" w:cs="仿宋_GB2312"/>
          <w:szCs w:val="32"/>
          <w:lang w:bidi="ar"/>
        </w:rPr>
      </w:pPr>
      <w:r>
        <w:rPr>
          <w:rFonts w:hint="eastAsia" w:eastAsia="仿宋_GB2312"/>
          <w:szCs w:val="22"/>
        </w:rPr>
        <w:t>综述资料主要包括概述、产品描述、适用范围和禁忌证、申报产品上市历史及其他需说明的内容。重点关注以下内容：</w:t>
      </w:r>
    </w:p>
    <w:p w14:paraId="7BB61012">
      <w:pPr>
        <w:pStyle w:val="5"/>
        <w:numPr>
          <w:ilvl w:val="0"/>
          <w:numId w:val="2"/>
        </w:numP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结构及组成</w:t>
      </w:r>
    </w:p>
    <w:p w14:paraId="440B9F6D">
      <w:pPr>
        <w:widowControl/>
        <w:spacing w:line="520" w:lineRule="exact"/>
        <w:ind w:firstLine="640" w:firstLineChars="200"/>
        <w:rPr>
          <w:rFonts w:eastAsia="仿宋_GB2312"/>
          <w:spacing w:val="-6"/>
          <w:szCs w:val="32"/>
        </w:rPr>
      </w:pPr>
      <w:r>
        <w:rPr>
          <w:rFonts w:hint="eastAsia" w:eastAsia="仿宋_GB2312"/>
          <w:szCs w:val="32"/>
        </w:rPr>
        <w:t>细菌内毒素检测仪</w:t>
      </w:r>
      <w:r>
        <w:rPr>
          <w:rFonts w:hint="eastAsia" w:eastAsia="仿宋_GB2312"/>
          <w:spacing w:val="-6"/>
          <w:szCs w:val="32"/>
        </w:rPr>
        <w:t>通常由加样模</w:t>
      </w:r>
      <w:r>
        <w:rPr>
          <w:rFonts w:hint="eastAsia" w:eastAsia="仿宋_GB2312"/>
          <w:szCs w:val="32"/>
        </w:rPr>
        <w:t>块（如适用）、</w:t>
      </w:r>
      <w:r>
        <w:rPr>
          <w:rFonts w:hint="eastAsia" w:eastAsia="仿宋_GB2312"/>
          <w:spacing w:val="-6"/>
          <w:szCs w:val="32"/>
        </w:rPr>
        <w:t>光道模块、自动恒温器模块和控温模块组成。申请人应当根据拟申报产品的具体特征详细描述各组成模块、各模块的具体组成结构，并详细描述拟申报产品的主要功能及各组成模块的功能，可以采用图示结合文字描述的形式给予明确说明。</w:t>
      </w:r>
    </w:p>
    <w:p w14:paraId="72E5C39B">
      <w:pPr>
        <w:pStyle w:val="5"/>
        <w:numPr>
          <w:ilvl w:val="0"/>
          <w:numId w:val="2"/>
        </w:numP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产品工作原理</w:t>
      </w:r>
    </w:p>
    <w:p w14:paraId="430AC34A">
      <w:pPr>
        <w:spacing w:line="520" w:lineRule="exact"/>
        <w:ind w:firstLine="640" w:firstLineChars="200"/>
        <w:rPr>
          <w:rFonts w:eastAsia="仿宋_GB2312"/>
          <w:szCs w:val="32"/>
        </w:rPr>
      </w:pPr>
      <w:r>
        <w:rPr>
          <w:rFonts w:hint="eastAsia" w:eastAsia="仿宋_GB2312"/>
          <w:szCs w:val="32"/>
        </w:rPr>
        <w:t>细菌内毒素试验系利用鲎试剂来检测或量化由革兰阴性菌产生的细菌内毒素，以判断供试品中细菌内毒素的限量是否符合规定的一种方法。</w:t>
      </w:r>
    </w:p>
    <w:p w14:paraId="61094EBB">
      <w:pPr>
        <w:spacing w:line="520" w:lineRule="exact"/>
        <w:ind w:firstLine="640" w:firstLineChars="200"/>
        <w:rPr>
          <w:rFonts w:eastAsia="仿宋_GB2312"/>
          <w:szCs w:val="32"/>
        </w:rPr>
      </w:pPr>
      <w:r>
        <w:rPr>
          <w:rFonts w:hint="eastAsia" w:eastAsia="仿宋_GB2312"/>
          <w:szCs w:val="32"/>
        </w:rPr>
        <w:t>细菌内毒素检查可采用凝胶检测技术和光度检测技术。</w:t>
      </w:r>
    </w:p>
    <w:p w14:paraId="71114A5C">
      <w:pPr>
        <w:spacing w:line="520" w:lineRule="exact"/>
        <w:ind w:firstLine="640" w:firstLineChars="200"/>
        <w:rPr>
          <w:rFonts w:hint="eastAsia" w:eastAsia="仿宋_GB2312"/>
          <w:szCs w:val="32"/>
        </w:rPr>
      </w:pPr>
      <w:r>
        <w:rPr>
          <w:rFonts w:hint="eastAsia" w:eastAsia="仿宋_GB2312"/>
          <w:szCs w:val="32"/>
        </w:rPr>
        <w:t>2.1凝胶检测技术</w:t>
      </w:r>
    </w:p>
    <w:p w14:paraId="47DBDFC9">
      <w:pPr>
        <w:spacing w:line="520" w:lineRule="exact"/>
        <w:ind w:firstLine="640" w:firstLineChars="200"/>
        <w:rPr>
          <w:rFonts w:eastAsia="仿宋_GB2312"/>
          <w:szCs w:val="32"/>
          <w:highlight w:val="yellow"/>
        </w:rPr>
      </w:pPr>
      <w:r>
        <w:rPr>
          <w:rFonts w:hint="eastAsia" w:eastAsia="仿宋_GB2312"/>
          <w:szCs w:val="32"/>
        </w:rPr>
        <w:t>凝胶检测技术是通过鲎试剂与内毒素产生凝集反应的原理进行限度检测或定量检测内毒素的方法，包括凝胶限度法和凝胶定量法。根据药典结合临床实际使用情况进行描述。</w:t>
      </w:r>
    </w:p>
    <w:p w14:paraId="473F4627">
      <w:pPr>
        <w:spacing w:line="520" w:lineRule="exact"/>
        <w:ind w:firstLine="640" w:firstLineChars="200"/>
        <w:rPr>
          <w:rFonts w:hint="eastAsia" w:eastAsia="仿宋_GB2312"/>
          <w:szCs w:val="32"/>
        </w:rPr>
      </w:pPr>
      <w:r>
        <w:rPr>
          <w:rFonts w:hint="eastAsia" w:eastAsia="仿宋_GB2312"/>
          <w:szCs w:val="32"/>
        </w:rPr>
        <w:t>2.2光度检测技术</w:t>
      </w:r>
    </w:p>
    <w:p w14:paraId="2C1D74E7">
      <w:pPr>
        <w:spacing w:line="520" w:lineRule="exact"/>
        <w:ind w:firstLine="640" w:firstLineChars="200"/>
        <w:rPr>
          <w:rFonts w:eastAsia="仿宋_GB2312"/>
          <w:szCs w:val="32"/>
        </w:rPr>
      </w:pPr>
      <w:r>
        <w:rPr>
          <w:rFonts w:hint="eastAsia" w:eastAsia="仿宋_GB2312"/>
          <w:szCs w:val="32"/>
        </w:rPr>
        <w:t>光度检测技术包括浊度检测法、显色检测法。</w:t>
      </w:r>
    </w:p>
    <w:p w14:paraId="77732A61">
      <w:pPr>
        <w:spacing w:line="520" w:lineRule="exact"/>
        <w:ind w:firstLine="640" w:firstLineChars="200"/>
        <w:rPr>
          <w:rFonts w:eastAsia="仿宋_GB2312"/>
          <w:szCs w:val="32"/>
        </w:rPr>
      </w:pPr>
      <w:r>
        <w:rPr>
          <w:rFonts w:hint="eastAsia" w:eastAsia="仿宋_GB2312"/>
          <w:szCs w:val="32"/>
        </w:rPr>
        <w:t>2.2.1浊度检测法</w:t>
      </w:r>
    </w:p>
    <w:p w14:paraId="7334F433">
      <w:pPr>
        <w:spacing w:line="520" w:lineRule="exact"/>
        <w:ind w:firstLine="640" w:firstLineChars="200"/>
        <w:rPr>
          <w:rFonts w:eastAsia="仿宋_GB2312"/>
          <w:szCs w:val="32"/>
        </w:rPr>
      </w:pPr>
      <w:r>
        <w:rPr>
          <w:rFonts w:hint="eastAsia" w:eastAsia="仿宋_GB2312"/>
          <w:szCs w:val="32"/>
        </w:rPr>
        <w:t>浊度检测法是利用检测试剂与内毒素反应过程中的浊度变化而测定内毒素含量的方法，包括动态浊度法和终点浊度法。</w:t>
      </w:r>
    </w:p>
    <w:p w14:paraId="6C27773B">
      <w:pPr>
        <w:spacing w:line="520" w:lineRule="exact"/>
        <w:ind w:firstLine="640" w:firstLineChars="200"/>
        <w:rPr>
          <w:rFonts w:eastAsia="仿宋_GB2312"/>
          <w:szCs w:val="32"/>
        </w:rPr>
      </w:pPr>
      <w:r>
        <w:rPr>
          <w:rFonts w:hint="eastAsia" w:eastAsia="仿宋_GB2312"/>
          <w:szCs w:val="32"/>
        </w:rPr>
        <w:t>动态浊度法是检测反应混合物的浊度到达某一预先设定的吸光度或透光率所需要的反应时间，或是检测浊度增加速度的方法。</w:t>
      </w:r>
    </w:p>
    <w:p w14:paraId="72C89AA3">
      <w:pPr>
        <w:spacing w:line="520" w:lineRule="exact"/>
        <w:ind w:firstLine="640" w:firstLineChars="200"/>
        <w:rPr>
          <w:rFonts w:eastAsia="仿宋_GB2312"/>
          <w:szCs w:val="32"/>
        </w:rPr>
      </w:pPr>
      <w:r>
        <w:rPr>
          <w:rFonts w:hint="eastAsia" w:eastAsia="仿宋_GB2312"/>
          <w:szCs w:val="32"/>
        </w:rPr>
        <w:t>终点浊度法是依据反应混合物中的内毒素浓度和其在孵育终止时的浊度（吸光度或透光率）之间存在的量化关系来测定内毒素含量的方法。</w:t>
      </w:r>
    </w:p>
    <w:p w14:paraId="036DFBC8">
      <w:pPr>
        <w:spacing w:line="520" w:lineRule="exact"/>
        <w:ind w:firstLine="640" w:firstLineChars="200"/>
        <w:rPr>
          <w:rFonts w:eastAsia="仿宋_GB2312"/>
          <w:szCs w:val="32"/>
        </w:rPr>
      </w:pPr>
      <w:r>
        <w:rPr>
          <w:rFonts w:hint="eastAsia" w:eastAsia="仿宋_GB2312"/>
          <w:szCs w:val="32"/>
        </w:rPr>
        <w:t>2.2.2显色检测法</w:t>
      </w:r>
    </w:p>
    <w:p w14:paraId="09280AF9">
      <w:pPr>
        <w:spacing w:line="520" w:lineRule="exact"/>
        <w:ind w:firstLine="640" w:firstLineChars="200"/>
        <w:rPr>
          <w:rFonts w:eastAsia="仿宋_GB2312"/>
          <w:szCs w:val="32"/>
        </w:rPr>
      </w:pPr>
      <w:r>
        <w:rPr>
          <w:rFonts w:hint="eastAsia" w:eastAsia="仿宋_GB2312"/>
          <w:szCs w:val="32"/>
        </w:rPr>
        <w:t>显色检测法是利用检测试剂与内毒素反应过程中产生的凝固酶使特定底物释放出呈色团的多少而测定内毒素含量的方法，包括动态显色法和终点显色法。</w:t>
      </w:r>
    </w:p>
    <w:p w14:paraId="5BADA0AB">
      <w:pPr>
        <w:spacing w:line="520" w:lineRule="exact"/>
        <w:ind w:firstLine="640" w:firstLineChars="200"/>
        <w:rPr>
          <w:rFonts w:eastAsia="仿宋_GB2312"/>
          <w:szCs w:val="32"/>
        </w:rPr>
      </w:pPr>
      <w:r>
        <w:rPr>
          <w:rFonts w:hint="eastAsia" w:eastAsia="仿宋_GB2312"/>
          <w:szCs w:val="32"/>
        </w:rPr>
        <w:t>动态显色法是检测反应混合物的特定波长吸光度或透光率达到某一预先设定的检测值所需要的反应时间，或检测色度增长速度的方法。</w:t>
      </w:r>
    </w:p>
    <w:p w14:paraId="4C7A950F">
      <w:pPr>
        <w:spacing w:line="520" w:lineRule="exact"/>
        <w:ind w:firstLine="640" w:firstLineChars="200"/>
        <w:rPr>
          <w:rFonts w:eastAsia="仿宋_GB2312"/>
          <w:szCs w:val="32"/>
        </w:rPr>
      </w:pPr>
      <w:r>
        <w:rPr>
          <w:rFonts w:hint="eastAsia" w:eastAsia="仿宋_GB2312"/>
          <w:szCs w:val="32"/>
        </w:rPr>
        <w:t>终点显色法是依据反应混合物中内毒素浓度和其在孵育终止时释放出的呈色团的量之间存在的量化关系来测定。</w:t>
      </w:r>
    </w:p>
    <w:p w14:paraId="53C63AE1">
      <w:pPr>
        <w:spacing w:line="520" w:lineRule="exact"/>
        <w:ind w:firstLine="640" w:firstLineChars="200"/>
        <w:rPr>
          <w:color w:val="FF0000"/>
          <w:szCs w:val="32"/>
        </w:rPr>
      </w:pPr>
      <w:r>
        <w:rPr>
          <w:rFonts w:hint="eastAsia" w:eastAsia="仿宋_GB2312"/>
          <w:szCs w:val="32"/>
        </w:rPr>
        <w:t>采用光度检测技术检测的设备通过绘制内毒素工作标准溶液的反应时间或浊度增加速度－内毒素浓度的单对数或双对数曲线，可以实现对样品中的细菌内毒素浓度的定量。</w:t>
      </w:r>
      <w:r>
        <w:t>光信号通过光电传感器转化为电信号</w:t>
      </w:r>
      <w:r>
        <w:rPr>
          <w:rFonts w:hint="eastAsia"/>
        </w:rPr>
        <w:t>，</w:t>
      </w:r>
      <w:r>
        <w:t>再通过电子电路转化为数字信号</w:t>
      </w:r>
      <w:r>
        <w:rPr>
          <w:rFonts w:hint="eastAsia"/>
        </w:rPr>
        <w:t>，</w:t>
      </w:r>
      <w:r>
        <w:t>最后控制软件计算达到某一预先设定的光密度所需要的反应时间或浊度增加速度。仪器据检测波长分类</w:t>
      </w:r>
      <w:r>
        <w:rPr>
          <w:rFonts w:hint="eastAsia"/>
        </w:rPr>
        <w:t>，</w:t>
      </w:r>
      <w:r>
        <w:t>可分为单波长、双波长</w:t>
      </w:r>
      <w:r>
        <w:rPr>
          <w:rFonts w:hint="eastAsia"/>
        </w:rPr>
        <w:t>等</w:t>
      </w:r>
      <w:r>
        <w:t>。</w:t>
      </w:r>
    </w:p>
    <w:p w14:paraId="295C6FC9">
      <w:pPr>
        <w:spacing w:line="520" w:lineRule="exact"/>
        <w:ind w:right="-102" w:rightChars="-32" w:firstLine="616" w:firstLineChars="200"/>
        <w:rPr>
          <w:rFonts w:eastAsia="仿宋_GB2312"/>
          <w:spacing w:val="-6"/>
          <w:szCs w:val="32"/>
        </w:rPr>
      </w:pPr>
      <w:r>
        <w:rPr>
          <w:rFonts w:hint="eastAsia" w:eastAsia="仿宋_GB2312"/>
          <w:spacing w:val="-6"/>
          <w:szCs w:val="32"/>
        </w:rPr>
        <w:t>可以采用图示结合文字描述的形式给予明确说明。</w:t>
      </w:r>
    </w:p>
    <w:p w14:paraId="0007A959">
      <w:pPr>
        <w:pStyle w:val="5"/>
        <w:numPr>
          <w:ilvl w:val="0"/>
          <w:numId w:val="3"/>
        </w:numPr>
        <w:rPr>
          <w:rFonts w:eastAsia="仿宋_GB2312"/>
          <w:spacing w:val="-6"/>
        </w:rPr>
      </w:pPr>
      <w:r>
        <w:rPr>
          <w:rStyle w:val="22"/>
        </w:rPr>
        <w:t>型号规格</w:t>
      </w:r>
    </w:p>
    <w:p w14:paraId="7D79AE38">
      <w:pPr>
        <w:widowControl/>
        <w:spacing w:line="520" w:lineRule="exact"/>
        <w:ind w:firstLine="616" w:firstLineChars="200"/>
        <w:rPr>
          <w:rFonts w:eastAsia="仿宋_GB2312"/>
          <w:spacing w:val="-6"/>
          <w:szCs w:val="32"/>
        </w:rPr>
      </w:pPr>
      <w:r>
        <w:rPr>
          <w:rFonts w:eastAsia="仿宋_GB2312"/>
          <w:spacing w:val="-6"/>
          <w:szCs w:val="32"/>
        </w:rPr>
        <w:t>对于存在多种型号规格的</w:t>
      </w:r>
      <w:r>
        <w:rPr>
          <w:rFonts w:hint="eastAsia" w:eastAsia="仿宋_GB2312"/>
          <w:szCs w:val="32"/>
        </w:rPr>
        <w:t>细菌内毒素检测仪</w:t>
      </w:r>
      <w:r>
        <w:rPr>
          <w:rFonts w:eastAsia="仿宋_GB2312"/>
          <w:spacing w:val="-6"/>
          <w:szCs w:val="32"/>
        </w:rPr>
        <w:t>，应当明确各型号规格的区别。应当采用对比表或带有说明性文字的图片、图表，描述各种型号规格的结构组成（或配置）、功能、产品特征和运行模式、技术参数等内容。</w:t>
      </w:r>
    </w:p>
    <w:p w14:paraId="08CA927C">
      <w:pPr>
        <w:widowControl/>
        <w:numPr>
          <w:ilvl w:val="0"/>
          <w:numId w:val="3"/>
        </w:numPr>
        <w:spacing w:line="520" w:lineRule="exact"/>
        <w:ind w:firstLine="640" w:firstLineChars="200"/>
      </w:pPr>
      <w:r>
        <w:t>适用范围和禁忌证</w:t>
      </w:r>
    </w:p>
    <w:p w14:paraId="79F27CBC">
      <w:pPr>
        <w:widowControl/>
        <w:spacing w:line="520" w:lineRule="exact"/>
        <w:ind w:firstLine="616"/>
        <w:rPr>
          <w:rFonts w:eastAsia="仿宋_GB2312"/>
          <w:spacing w:val="-6"/>
          <w:szCs w:val="32"/>
        </w:rPr>
      </w:pPr>
      <w:r>
        <w:rPr>
          <w:rFonts w:hint="eastAsia"/>
        </w:rPr>
        <w:t>4.1适用范围</w:t>
      </w:r>
    </w:p>
    <w:p w14:paraId="1C0CA60C">
      <w:pPr>
        <w:widowControl/>
        <w:spacing w:line="520" w:lineRule="exact"/>
        <w:ind w:firstLine="616"/>
        <w:rPr>
          <w:rFonts w:eastAsia="仿宋_GB2312"/>
        </w:rPr>
      </w:pPr>
      <w:r>
        <w:rPr>
          <w:rFonts w:hint="eastAsia" w:eastAsia="仿宋_GB2312"/>
          <w:kern w:val="0"/>
          <w:szCs w:val="32"/>
        </w:rPr>
        <w:t>该产品采用</w:t>
      </w:r>
      <w:r>
        <w:rPr>
          <w:rFonts w:hint="eastAsia" w:eastAsia="仿宋_GB2312"/>
          <w:kern w:val="0"/>
          <w:szCs w:val="32"/>
          <w:lang w:val="en-US" w:eastAsia="zh-CN"/>
        </w:rPr>
        <w:t>xx</w:t>
      </w:r>
      <w:r>
        <w:rPr>
          <w:rFonts w:hint="eastAsia" w:eastAsia="仿宋_GB2312"/>
          <w:kern w:val="0"/>
          <w:szCs w:val="32"/>
        </w:rPr>
        <w:t>法，与适配试剂配合使用，用于</w:t>
      </w:r>
      <w:r>
        <w:rPr>
          <w:rFonts w:hint="eastAsia" w:eastAsia="仿宋_GB2312"/>
          <w:kern w:val="0"/>
          <w:szCs w:val="32"/>
          <w:lang w:val="en-US" w:eastAsia="zh-CN"/>
        </w:rPr>
        <w:t>xx</w:t>
      </w:r>
      <w:r>
        <w:rPr>
          <w:rFonts w:hint="eastAsia" w:eastAsia="仿宋_GB2312"/>
          <w:kern w:val="0"/>
          <w:szCs w:val="32"/>
        </w:rPr>
        <w:t>样本类型（举例如血清、血浆）中</w:t>
      </w:r>
      <w:r>
        <w:rPr>
          <w:rFonts w:hint="eastAsia" w:eastAsia="仿宋_GB2312"/>
          <w:kern w:val="0"/>
          <w:szCs w:val="32"/>
          <w:lang w:val="en-US" w:eastAsia="zh-CN"/>
        </w:rPr>
        <w:t>细</w:t>
      </w:r>
      <w:r>
        <w:rPr>
          <w:rFonts w:hint="eastAsia" w:eastAsia="仿宋_GB2312"/>
          <w:spacing w:val="-6"/>
          <w:szCs w:val="32"/>
        </w:rPr>
        <w:t>菌内毒素和/或（1，3）-β-D葡聚糖</w:t>
      </w:r>
      <w:r>
        <w:rPr>
          <w:rFonts w:hint="eastAsia" w:eastAsia="仿宋_GB2312"/>
          <w:kern w:val="0"/>
          <w:szCs w:val="32"/>
        </w:rPr>
        <w:t>的定性和/或定量分析。</w:t>
      </w:r>
      <w:r>
        <w:rPr>
          <w:rFonts w:eastAsia="仿宋_GB2312"/>
          <w:kern w:val="0"/>
          <w:szCs w:val="32"/>
        </w:rPr>
        <w:t>其中</w:t>
      </w:r>
      <w:r>
        <w:rPr>
          <w:rFonts w:hint="eastAsia" w:eastAsia="仿宋_GB2312"/>
          <w:kern w:val="0"/>
          <w:szCs w:val="32"/>
          <w:lang w:val="en-US" w:eastAsia="zh-CN"/>
        </w:rPr>
        <w:t>xx</w:t>
      </w:r>
      <w:r>
        <w:rPr>
          <w:rFonts w:eastAsia="仿宋_GB2312"/>
          <w:kern w:val="0"/>
          <w:szCs w:val="32"/>
        </w:rPr>
        <w:t>法应当</w:t>
      </w:r>
      <w:r>
        <w:rPr>
          <w:rFonts w:hint="eastAsia" w:eastAsia="仿宋_GB2312"/>
          <w:kern w:val="0"/>
          <w:szCs w:val="32"/>
        </w:rPr>
        <w:t>写明具体方法，如凝胶法、光度法</w:t>
      </w:r>
      <w:r>
        <w:rPr>
          <w:rFonts w:hint="eastAsia" w:eastAsia="仿宋_GB2312"/>
          <w:kern w:val="0"/>
          <w:szCs w:val="32"/>
          <w:lang w:eastAsia="zh-CN"/>
        </w:rPr>
        <w:t>；</w:t>
      </w:r>
      <w:r>
        <w:rPr>
          <w:rFonts w:hint="eastAsia" w:eastAsia="仿宋_GB2312"/>
          <w:kern w:val="0"/>
          <w:szCs w:val="32"/>
          <w:lang w:val="en-US" w:eastAsia="zh-CN"/>
        </w:rPr>
        <w:t>xx</w:t>
      </w:r>
      <w:r>
        <w:rPr>
          <w:rFonts w:hint="eastAsia" w:eastAsia="仿宋_GB2312"/>
          <w:kern w:val="0"/>
          <w:szCs w:val="32"/>
        </w:rPr>
        <w:t>样本</w:t>
      </w:r>
      <w:r>
        <w:rPr>
          <w:rFonts w:eastAsia="仿宋_GB2312"/>
          <w:kern w:val="0"/>
          <w:szCs w:val="32"/>
        </w:rPr>
        <w:t>包括血清、血浆、</w:t>
      </w:r>
      <w:r>
        <w:rPr>
          <w:rFonts w:hint="eastAsia" w:eastAsia="仿宋_GB2312"/>
          <w:kern w:val="0"/>
          <w:szCs w:val="32"/>
        </w:rPr>
        <w:t>全血、</w:t>
      </w:r>
      <w:r>
        <w:rPr>
          <w:rFonts w:eastAsia="仿宋_GB2312"/>
          <w:kern w:val="0"/>
          <w:szCs w:val="32"/>
        </w:rPr>
        <w:t>尿液等临床分析常见的样本类型，应当根据研究资料的具体结果明确写明申报产品适用的样本类型</w:t>
      </w:r>
      <w:r>
        <w:rPr>
          <w:rFonts w:hint="eastAsia" w:eastAsia="仿宋_GB2312"/>
          <w:spacing w:val="-6"/>
          <w:szCs w:val="32"/>
        </w:rPr>
        <w:t>。</w:t>
      </w:r>
    </w:p>
    <w:p w14:paraId="6662A288">
      <w:pPr>
        <w:pStyle w:val="5"/>
      </w:pPr>
      <w:r>
        <w:rPr>
          <w:rFonts w:hint="eastAsia"/>
        </w:rPr>
        <w:t>4</w:t>
      </w:r>
      <w:r>
        <w:t>.2预期使用环境</w:t>
      </w:r>
    </w:p>
    <w:p w14:paraId="277C03CA">
      <w:pPr>
        <w:widowControl/>
        <w:spacing w:line="520" w:lineRule="exact"/>
        <w:ind w:firstLine="616" w:firstLineChars="200"/>
        <w:rPr>
          <w:rFonts w:eastAsia="仿宋_GB2312"/>
          <w:spacing w:val="-6"/>
          <w:szCs w:val="32"/>
        </w:rPr>
      </w:pPr>
      <w:r>
        <w:rPr>
          <w:rFonts w:hint="eastAsia" w:eastAsia="仿宋_GB2312"/>
          <w:spacing w:val="-6"/>
          <w:szCs w:val="32"/>
        </w:rPr>
        <w:t>明确写明预期使用环境，包括申报产品预期使用的地点和预期使用的环境条件。</w:t>
      </w:r>
    </w:p>
    <w:p w14:paraId="359228D0">
      <w:pPr>
        <w:widowControl/>
        <w:spacing w:line="520" w:lineRule="exact"/>
        <w:ind w:firstLine="616" w:firstLineChars="200"/>
        <w:rPr>
          <w:rFonts w:eastAsia="仿宋_GB2312"/>
          <w:spacing w:val="-6"/>
          <w:szCs w:val="32"/>
        </w:rPr>
      </w:pPr>
      <w:r>
        <w:rPr>
          <w:rFonts w:hint="eastAsia" w:eastAsia="仿宋_GB2312"/>
          <w:spacing w:val="-6"/>
          <w:szCs w:val="32"/>
        </w:rPr>
        <w:t>明确写明申报产品预期使用的地点，如医疗机构。</w:t>
      </w:r>
    </w:p>
    <w:p w14:paraId="6266B4D3">
      <w:pPr>
        <w:widowControl/>
        <w:spacing w:line="520" w:lineRule="exact"/>
        <w:ind w:firstLine="616" w:firstLineChars="200"/>
        <w:rPr>
          <w:rFonts w:eastAsia="仿宋_GB2312"/>
          <w:spacing w:val="-6"/>
          <w:szCs w:val="32"/>
        </w:rPr>
      </w:pPr>
      <w:r>
        <w:rPr>
          <w:rFonts w:eastAsia="仿宋_GB2312"/>
          <w:spacing w:val="-6"/>
          <w:szCs w:val="32"/>
        </w:rPr>
        <w:t>明确可能影响其安全性和有效性的环境条件，如温度、湿度、</w:t>
      </w:r>
      <w:r>
        <w:rPr>
          <w:rFonts w:hint="eastAsia" w:eastAsia="仿宋_GB2312"/>
          <w:spacing w:val="-6"/>
          <w:szCs w:val="32"/>
        </w:rPr>
        <w:t>大气压</w:t>
      </w:r>
      <w:r>
        <w:rPr>
          <w:rFonts w:eastAsia="仿宋_GB2312"/>
          <w:spacing w:val="-6"/>
          <w:szCs w:val="32"/>
        </w:rPr>
        <w:t>、海拔等</w:t>
      </w:r>
      <w:r>
        <w:rPr>
          <w:rFonts w:hint="eastAsia" w:eastAsia="仿宋_GB2312"/>
          <w:spacing w:val="-6"/>
          <w:szCs w:val="32"/>
        </w:rPr>
        <w:t>。</w:t>
      </w:r>
    </w:p>
    <w:p w14:paraId="7EDEA2D5">
      <w:pPr>
        <w:spacing w:line="520" w:lineRule="exact"/>
        <w:ind w:right="-102" w:rightChars="-32" w:firstLine="640" w:firstLineChars="200"/>
        <w:rPr>
          <w:rFonts w:eastAsia="仿宋_GB2312"/>
          <w:szCs w:val="32"/>
        </w:rPr>
      </w:pPr>
      <w:r>
        <w:rPr>
          <w:rFonts w:hint="eastAsia" w:eastAsia="仿宋_GB2312"/>
          <w:szCs w:val="32"/>
        </w:rPr>
        <w:t>4.3禁忌证</w:t>
      </w:r>
    </w:p>
    <w:p w14:paraId="5929FF9A">
      <w:pPr>
        <w:spacing w:line="520" w:lineRule="exact"/>
        <w:ind w:firstLine="640" w:firstLineChars="200"/>
      </w:pPr>
      <w:r>
        <w:rPr>
          <w:rFonts w:hint="eastAsia" w:eastAsia="仿宋_GB2312"/>
          <w:szCs w:val="32"/>
        </w:rPr>
        <w:t>目前尚无研究资料或研究结果表明此产品的禁忌证，如申报产品具有相关禁忌证，请详述。</w:t>
      </w:r>
    </w:p>
    <w:p w14:paraId="738D79F9">
      <w:pPr>
        <w:pStyle w:val="5"/>
        <w:rPr>
          <w:rFonts w:hint="eastAsia" w:ascii="Times New Roman" w:hAnsi="Times New Roman" w:eastAsia="楷体" w:cstheme="minorBidi"/>
          <w:kern w:val="2"/>
          <w:sz w:val="32"/>
          <w:szCs w:val="24"/>
          <w:lang w:val="en-US" w:eastAsia="zh-CN" w:bidi="ar-SA"/>
        </w:rPr>
      </w:pPr>
      <w:r>
        <w:rPr>
          <w:rFonts w:hint="eastAsia" w:ascii="Times New Roman" w:hAnsi="Times New Roman" w:eastAsia="楷体" w:cstheme="minorBidi"/>
          <w:kern w:val="2"/>
          <w:sz w:val="32"/>
          <w:szCs w:val="24"/>
          <w:lang w:val="en-US" w:eastAsia="zh-CN" w:bidi="ar-SA"/>
        </w:rPr>
        <w:t>（三）非临床资料</w:t>
      </w:r>
    </w:p>
    <w:p w14:paraId="699E2916">
      <w:pPr>
        <w:pStyle w:val="5"/>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1.产品风险管理资料</w:t>
      </w:r>
    </w:p>
    <w:p w14:paraId="5D62FD4A">
      <w:pPr>
        <w:widowControl/>
        <w:spacing w:line="520" w:lineRule="exact"/>
        <w:ind w:firstLine="616" w:firstLineChars="200"/>
        <w:rPr>
          <w:rFonts w:eastAsia="仿宋_GB2312"/>
          <w:spacing w:val="-6"/>
          <w:szCs w:val="32"/>
        </w:rPr>
      </w:pPr>
      <w:r>
        <w:rPr>
          <w:rFonts w:hint="eastAsia" w:eastAsia="仿宋_GB2312"/>
          <w:spacing w:val="-6"/>
          <w:szCs w:val="32"/>
        </w:rPr>
        <w:t>注册申请人需对产品全生命周期实施风险管理，依据GB/T 42062《医疗器械风险管理对医疗器械的应用》</w:t>
      </w:r>
      <w:r>
        <w:rPr>
          <w:rFonts w:hint="eastAsia" w:ascii="仿宋_GB2312" w:hAnsi="仿宋_GB2312" w:eastAsia="仿宋_GB2312" w:cs="仿宋_GB2312"/>
          <w:color w:val="000000" w:themeColor="text1"/>
          <w:szCs w:val="32"/>
          <w14:textFill>
            <w14:solidFill>
              <w14:schemeClr w14:val="tx1"/>
            </w14:solidFill>
          </w14:textFill>
        </w:rPr>
        <w:t>和</w:t>
      </w:r>
      <w:r>
        <w:rPr>
          <w:rFonts w:hint="eastAsia" w:eastAsia="仿宋_GB2312"/>
          <w:spacing w:val="-6"/>
          <w:szCs w:val="32"/>
        </w:rPr>
        <w:t>YY/T 1437</w:t>
      </w:r>
      <w:r>
        <w:rPr>
          <w:rFonts w:hint="eastAsia" w:ascii="仿宋_GB2312" w:hAnsi="仿宋_GB2312" w:eastAsia="仿宋_GB2312" w:cs="仿宋_GB2312"/>
          <w:color w:val="000000" w:themeColor="text1"/>
          <w:szCs w:val="32"/>
          <w14:textFill>
            <w14:solidFill>
              <w14:schemeClr w14:val="tx1"/>
            </w14:solidFill>
          </w14:textFill>
        </w:rPr>
        <w:t xml:space="preserve">《医疗器械 </w:t>
      </w:r>
      <w:r>
        <w:rPr>
          <w:rFonts w:hint="eastAsia" w:eastAsia="仿宋_GB2312"/>
          <w:spacing w:val="-6"/>
          <w:szCs w:val="32"/>
        </w:rPr>
        <w:t>GB/T 42062</w:t>
      </w:r>
      <w:r>
        <w:rPr>
          <w:rFonts w:hint="eastAsia" w:ascii="仿宋_GB2312" w:hAnsi="仿宋_GB2312" w:eastAsia="仿宋_GB2312" w:cs="仿宋_GB2312"/>
          <w:color w:val="000000" w:themeColor="text1"/>
          <w:szCs w:val="32"/>
          <w14:textFill>
            <w14:solidFill>
              <w14:schemeClr w14:val="tx1"/>
            </w14:solidFill>
          </w14:textFill>
        </w:rPr>
        <w:t>应用指南》的要求</w:t>
      </w:r>
      <w:r>
        <w:rPr>
          <w:rFonts w:hint="eastAsia" w:eastAsia="仿宋_GB2312"/>
          <w:spacing w:val="-6"/>
          <w:szCs w:val="32"/>
        </w:rPr>
        <w:t>，</w:t>
      </w:r>
      <w:r>
        <w:rPr>
          <w:rFonts w:hint="eastAsia" w:ascii="仿宋_GB2312" w:hAnsi="仿宋_GB2312" w:eastAsia="仿宋_GB2312" w:cs="仿宋_GB2312"/>
          <w:color w:val="000000" w:themeColor="text1"/>
          <w:szCs w:val="32"/>
          <w14:textFill>
            <w14:solidFill>
              <w14:schemeClr w14:val="tx1"/>
            </w14:solidFill>
          </w14:textFill>
        </w:rPr>
        <w:t>对每种可能涉及的危险识别评估，为降低风险所执行风险控制，剩余风险的可接受性评定，产品受益相比综合评价，形成</w:t>
      </w:r>
      <w:r>
        <w:rPr>
          <w:rFonts w:hint="eastAsia" w:eastAsia="仿宋_GB2312"/>
          <w:spacing w:val="-6"/>
          <w:szCs w:val="32"/>
        </w:rPr>
        <w:t>产品风险管理报告。</w:t>
      </w:r>
    </w:p>
    <w:p w14:paraId="6FFF40B7">
      <w:pPr>
        <w:widowControl/>
        <w:spacing w:line="520" w:lineRule="exact"/>
        <w:ind w:firstLine="616" w:firstLineChars="200"/>
        <w:rPr>
          <w:rFonts w:eastAsia="仿宋_GB2312"/>
          <w:spacing w:val="-6"/>
          <w:szCs w:val="32"/>
          <w:lang w:val="zh-CN"/>
        </w:rPr>
      </w:pPr>
      <w:r>
        <w:rPr>
          <w:rFonts w:hint="eastAsia" w:eastAsia="仿宋_GB2312"/>
          <w:spacing w:val="-6"/>
          <w:szCs w:val="32"/>
          <w:lang w:val="zh-CN"/>
        </w:rPr>
        <w:t>申请人需重点说明：申报产品的研制阶段已对有关可能的危</w:t>
      </w:r>
      <w:r>
        <w:rPr>
          <w:rFonts w:hint="eastAsia" w:eastAsia="仿宋_GB2312"/>
          <w:spacing w:val="-6"/>
          <w:szCs w:val="32"/>
        </w:rPr>
        <w:t>险</w:t>
      </w:r>
      <w:r>
        <w:rPr>
          <w:rFonts w:hint="eastAsia" w:eastAsia="仿宋_GB2312"/>
          <w:spacing w:val="-6"/>
          <w:szCs w:val="32"/>
          <w:lang w:val="zh-CN"/>
        </w:rPr>
        <w:t>及产生的风险进行了估计和评价，针对性地实施了降低风险的技术和管理方面的措施。产品性能测试对上述措施的有效性进行了验证，达到了通用和专用标准的要求。申请人对所有剩余风险进行了评价，全部达到可接受的水平。产品风险分析资料需为申请人关于产品安全性的承诺提供支持。风险管理建议包括合理可预见的误操作。</w:t>
      </w:r>
    </w:p>
    <w:p w14:paraId="59DB58F2">
      <w:pPr>
        <w:widowControl/>
        <w:spacing w:line="520" w:lineRule="exact"/>
        <w:ind w:firstLine="640" w:firstLineChars="200"/>
        <w:rPr>
          <w:rFonts w:eastAsia="仿宋_GB2312"/>
          <w:szCs w:val="32"/>
          <w:lang w:val="zh-CN"/>
        </w:rPr>
      </w:pPr>
      <w:r>
        <w:rPr>
          <w:rFonts w:hint="eastAsia" w:eastAsia="仿宋_GB2312"/>
          <w:szCs w:val="32"/>
          <w:lang w:val="zh-CN"/>
        </w:rPr>
        <w:t>风险管理报告一般包括以下内容：</w:t>
      </w:r>
    </w:p>
    <w:p w14:paraId="6AC15A6B">
      <w:pPr>
        <w:widowControl/>
        <w:spacing w:line="520" w:lineRule="exact"/>
        <w:ind w:firstLine="640" w:firstLineChars="200"/>
        <w:rPr>
          <w:rFonts w:eastAsia="仿宋_GB2312"/>
          <w:szCs w:val="32"/>
          <w:lang w:val="zh-CN"/>
        </w:rPr>
      </w:pPr>
      <w:r>
        <w:rPr>
          <w:rFonts w:hint="eastAsia" w:eastAsia="仿宋_GB2312"/>
          <w:szCs w:val="32"/>
        </w:rPr>
        <w:t>1.1</w:t>
      </w:r>
      <w:r>
        <w:rPr>
          <w:rFonts w:hint="eastAsia" w:eastAsia="仿宋_GB2312"/>
          <w:szCs w:val="32"/>
          <w:lang w:val="zh-CN"/>
        </w:rPr>
        <w:t>申报产品的风险管理组织。</w:t>
      </w:r>
    </w:p>
    <w:p w14:paraId="17439B24">
      <w:pPr>
        <w:widowControl/>
        <w:spacing w:line="520" w:lineRule="exact"/>
        <w:ind w:firstLine="640" w:firstLineChars="200"/>
        <w:rPr>
          <w:rFonts w:eastAsia="仿宋_GB2312"/>
          <w:szCs w:val="32"/>
          <w:lang w:val="zh-CN"/>
        </w:rPr>
      </w:pPr>
      <w:r>
        <w:rPr>
          <w:rFonts w:hint="eastAsia" w:eastAsia="仿宋_GB2312"/>
          <w:szCs w:val="32"/>
        </w:rPr>
        <w:t>1.2</w:t>
      </w:r>
      <w:r>
        <w:rPr>
          <w:rFonts w:hint="eastAsia" w:eastAsia="仿宋_GB2312"/>
          <w:szCs w:val="32"/>
          <w:lang w:val="zh-CN"/>
        </w:rPr>
        <w:t>申报产品的组成。</w:t>
      </w:r>
    </w:p>
    <w:p w14:paraId="119A119E">
      <w:pPr>
        <w:widowControl/>
        <w:spacing w:line="520" w:lineRule="exact"/>
        <w:ind w:firstLine="640" w:firstLineChars="200"/>
        <w:rPr>
          <w:rFonts w:eastAsia="仿宋_GB2312"/>
          <w:szCs w:val="32"/>
          <w:lang w:val="zh-CN"/>
        </w:rPr>
      </w:pPr>
      <w:r>
        <w:rPr>
          <w:rFonts w:hint="eastAsia" w:eastAsia="仿宋_GB2312"/>
          <w:szCs w:val="32"/>
        </w:rPr>
        <w:t>1.3</w:t>
      </w:r>
      <w:r>
        <w:rPr>
          <w:rFonts w:hint="eastAsia" w:eastAsia="仿宋_GB2312"/>
          <w:szCs w:val="32"/>
          <w:lang w:val="zh-CN"/>
        </w:rPr>
        <w:t>申报产品符合的安全标准。</w:t>
      </w:r>
    </w:p>
    <w:p w14:paraId="2D3986C9">
      <w:pPr>
        <w:widowControl/>
        <w:spacing w:line="520" w:lineRule="exact"/>
        <w:ind w:firstLine="640" w:firstLineChars="200"/>
        <w:rPr>
          <w:rFonts w:eastAsia="仿宋_GB2312"/>
          <w:szCs w:val="32"/>
          <w:lang w:val="zh-CN"/>
        </w:rPr>
      </w:pPr>
      <w:r>
        <w:rPr>
          <w:rFonts w:hint="eastAsia" w:eastAsia="仿宋_GB2312"/>
          <w:szCs w:val="32"/>
        </w:rPr>
        <w:t>1.4</w:t>
      </w:r>
      <w:r>
        <w:rPr>
          <w:rFonts w:hint="eastAsia" w:eastAsia="仿宋_GB2312"/>
          <w:szCs w:val="32"/>
          <w:lang w:val="zh-CN"/>
        </w:rPr>
        <w:t>申报产品的预期用途，与安全性有关的特征的判定。</w:t>
      </w:r>
    </w:p>
    <w:p w14:paraId="5DBC20B4">
      <w:pPr>
        <w:widowControl/>
        <w:spacing w:line="520" w:lineRule="exact"/>
        <w:ind w:firstLine="640" w:firstLineChars="200"/>
        <w:rPr>
          <w:rFonts w:eastAsia="仿宋_GB2312"/>
          <w:szCs w:val="32"/>
          <w:lang w:val="zh-CN"/>
        </w:rPr>
      </w:pPr>
      <w:r>
        <w:rPr>
          <w:rFonts w:hint="eastAsia" w:eastAsia="仿宋_GB2312"/>
          <w:szCs w:val="32"/>
        </w:rPr>
        <w:t>1.5</w:t>
      </w:r>
      <w:r>
        <w:rPr>
          <w:rFonts w:hint="eastAsia" w:eastAsia="仿宋_GB2312"/>
          <w:szCs w:val="32"/>
          <w:lang w:val="zh-CN"/>
        </w:rPr>
        <w:t>对申报产品的可能危</w:t>
      </w:r>
      <w:r>
        <w:rPr>
          <w:rFonts w:hint="eastAsia" w:eastAsia="仿宋_GB2312"/>
          <w:szCs w:val="32"/>
        </w:rPr>
        <w:t>险</w:t>
      </w:r>
      <w:r>
        <w:rPr>
          <w:rFonts w:hint="eastAsia" w:eastAsia="仿宋_GB2312"/>
          <w:szCs w:val="32"/>
          <w:lang w:val="zh-CN"/>
        </w:rPr>
        <w:t>作出判定。</w:t>
      </w:r>
    </w:p>
    <w:p w14:paraId="7259CF66">
      <w:pPr>
        <w:widowControl/>
        <w:spacing w:line="520" w:lineRule="exact"/>
        <w:ind w:firstLine="640" w:firstLineChars="200"/>
        <w:rPr>
          <w:rFonts w:eastAsia="仿宋_GB2312"/>
          <w:szCs w:val="32"/>
          <w:lang w:val="zh-CN"/>
        </w:rPr>
      </w:pPr>
      <w:r>
        <w:rPr>
          <w:rFonts w:hint="eastAsia" w:eastAsia="仿宋_GB2312"/>
          <w:szCs w:val="32"/>
        </w:rPr>
        <w:t>1.6</w:t>
      </w:r>
      <w:r>
        <w:rPr>
          <w:rFonts w:hint="eastAsia" w:eastAsia="仿宋_GB2312"/>
          <w:szCs w:val="32"/>
          <w:lang w:val="zh-CN"/>
        </w:rPr>
        <w:t>对所判定的危</w:t>
      </w:r>
      <w:r>
        <w:rPr>
          <w:rFonts w:hint="eastAsia" w:eastAsia="仿宋_GB2312"/>
          <w:szCs w:val="32"/>
        </w:rPr>
        <w:t>险</w:t>
      </w:r>
      <w:r>
        <w:rPr>
          <w:rFonts w:hint="eastAsia" w:eastAsia="仿宋_GB2312"/>
          <w:szCs w:val="32"/>
          <w:lang w:val="zh-CN"/>
        </w:rPr>
        <w:t>采取的降低风险的控制措施。</w:t>
      </w:r>
    </w:p>
    <w:p w14:paraId="248BD9FA">
      <w:pPr>
        <w:widowControl/>
        <w:spacing w:line="520" w:lineRule="exact"/>
        <w:ind w:firstLine="640" w:firstLineChars="200"/>
        <w:rPr>
          <w:rFonts w:eastAsia="仿宋_GB2312"/>
          <w:szCs w:val="32"/>
        </w:rPr>
      </w:pPr>
      <w:r>
        <w:rPr>
          <w:rFonts w:hint="eastAsia" w:eastAsia="仿宋_GB2312"/>
          <w:szCs w:val="32"/>
        </w:rPr>
        <w:t>1.7</w:t>
      </w:r>
      <w:r>
        <w:rPr>
          <w:rFonts w:hint="eastAsia" w:eastAsia="仿宋_GB2312"/>
          <w:szCs w:val="32"/>
          <w:lang w:val="zh-CN"/>
        </w:rPr>
        <w:t>对采取控制措施后的剩余风险进行估计和评价</w:t>
      </w:r>
      <w:r>
        <w:rPr>
          <w:rFonts w:hint="eastAsia" w:eastAsia="仿宋_GB2312"/>
          <w:szCs w:val="32"/>
        </w:rPr>
        <w:t>。</w:t>
      </w:r>
    </w:p>
    <w:p w14:paraId="60D47119">
      <w:pPr>
        <w:widowControl/>
        <w:spacing w:line="520" w:lineRule="exact"/>
        <w:ind w:firstLine="640" w:firstLineChars="200"/>
        <w:rPr>
          <w:rFonts w:eastAsia="仿宋_GB2312"/>
          <w:szCs w:val="32"/>
          <w:lang w:val="zh-CN"/>
        </w:rPr>
      </w:pPr>
      <w:r>
        <w:rPr>
          <w:rFonts w:hint="eastAsia" w:eastAsia="仿宋_GB2312"/>
          <w:szCs w:val="32"/>
          <w:lang w:val="zh-CN"/>
        </w:rPr>
        <w:t>1.8对风险管理计划的实施情况</w:t>
      </w:r>
      <w:r>
        <w:rPr>
          <w:rFonts w:hint="eastAsia" w:eastAsia="仿宋_GB2312"/>
          <w:szCs w:val="32"/>
        </w:rPr>
        <w:t>进行</w:t>
      </w:r>
      <w:r>
        <w:rPr>
          <w:rFonts w:hint="eastAsia" w:eastAsia="仿宋_GB2312"/>
          <w:szCs w:val="32"/>
          <w:lang w:val="zh-CN"/>
        </w:rPr>
        <w:t>评审。</w:t>
      </w:r>
    </w:p>
    <w:p w14:paraId="4F1047A1">
      <w:pPr>
        <w:widowControl/>
        <w:spacing w:line="520" w:lineRule="exact"/>
        <w:ind w:firstLine="640" w:firstLineChars="200"/>
        <w:rPr>
          <w:rFonts w:eastAsia="仿宋_GB2312"/>
          <w:szCs w:val="32"/>
        </w:rPr>
      </w:pPr>
      <w:r>
        <w:rPr>
          <w:rFonts w:hint="eastAsia" w:eastAsia="仿宋_GB2312"/>
          <w:szCs w:val="32"/>
          <w:lang w:val="zh-CN"/>
        </w:rPr>
        <w:t>1.9</w:t>
      </w:r>
      <w:r>
        <w:rPr>
          <w:rFonts w:hint="eastAsia" w:eastAsia="仿宋_GB2312"/>
          <w:szCs w:val="32"/>
        </w:rPr>
        <w:t>对生产和生产后活动收集与评审信息。</w:t>
      </w:r>
    </w:p>
    <w:p w14:paraId="6746B521">
      <w:pPr>
        <w:tabs>
          <w:tab w:val="left" w:pos="8040"/>
        </w:tabs>
        <w:spacing w:line="520" w:lineRule="exact"/>
        <w:ind w:firstLine="420"/>
        <w:jc w:val="center"/>
        <w:rPr>
          <w:rFonts w:ascii="宋体" w:hAnsi="宋体"/>
          <w:szCs w:val="21"/>
        </w:rPr>
      </w:pPr>
      <w:r>
        <w:rPr>
          <w:rFonts w:hint="eastAsia" w:ascii="黑体" w:hAnsi="黑体" w:eastAsia="黑体" w:cs="黑体"/>
          <w:sz w:val="28"/>
          <w:szCs w:val="28"/>
        </w:rPr>
        <w:t>表1  细菌内毒素检测仪器风险分析时应考虑的主要危险</w:t>
      </w:r>
    </w:p>
    <w:tbl>
      <w:tblPr>
        <w:tblStyle w:val="12"/>
        <w:tblW w:w="8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2186"/>
        <w:gridCol w:w="2336"/>
        <w:gridCol w:w="2336"/>
      </w:tblGrid>
      <w:tr w14:paraId="6C74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880" w:type="dxa"/>
            <w:gridSpan w:val="2"/>
          </w:tcPr>
          <w:p w14:paraId="3DBB51F4">
            <w:pPr>
              <w:widowControl/>
              <w:snapToGrid w:val="0"/>
              <w:spacing w:line="520" w:lineRule="exact"/>
              <w:jc w:val="center"/>
              <w:rPr>
                <w:rFonts w:ascii="黑体" w:hAnsi="黑体" w:eastAsia="黑体" w:cs="黑体"/>
                <w:sz w:val="28"/>
                <w:szCs w:val="28"/>
              </w:rPr>
            </w:pPr>
            <w:r>
              <w:rPr>
                <w:rFonts w:hint="eastAsia" w:ascii="黑体" w:hAnsi="黑体" w:eastAsia="黑体" w:cs="黑体"/>
                <w:sz w:val="28"/>
                <w:szCs w:val="28"/>
              </w:rPr>
              <w:t>危险</w:t>
            </w:r>
          </w:p>
        </w:tc>
        <w:tc>
          <w:tcPr>
            <w:tcW w:w="2336" w:type="dxa"/>
            <w:vAlign w:val="center"/>
          </w:tcPr>
          <w:p w14:paraId="1EA28A20">
            <w:pPr>
              <w:widowControl/>
              <w:snapToGrid w:val="0"/>
              <w:spacing w:line="520" w:lineRule="exact"/>
              <w:jc w:val="center"/>
              <w:rPr>
                <w:rFonts w:ascii="黑体" w:hAnsi="黑体" w:eastAsia="黑体" w:cs="黑体"/>
                <w:sz w:val="28"/>
                <w:szCs w:val="28"/>
              </w:rPr>
            </w:pPr>
            <w:r>
              <w:rPr>
                <w:rFonts w:hint="eastAsia" w:ascii="黑体" w:hAnsi="黑体" w:eastAsia="黑体" w:cs="黑体"/>
                <w:sz w:val="28"/>
                <w:szCs w:val="28"/>
              </w:rPr>
              <w:t>危险情况</w:t>
            </w:r>
          </w:p>
        </w:tc>
        <w:tc>
          <w:tcPr>
            <w:tcW w:w="2336" w:type="dxa"/>
          </w:tcPr>
          <w:p w14:paraId="3A2327B9">
            <w:pPr>
              <w:widowControl/>
              <w:snapToGrid w:val="0"/>
              <w:spacing w:line="520" w:lineRule="exact"/>
              <w:jc w:val="center"/>
              <w:rPr>
                <w:rFonts w:ascii="黑体" w:hAnsi="黑体" w:eastAsia="黑体" w:cs="黑体"/>
                <w:sz w:val="28"/>
                <w:szCs w:val="28"/>
              </w:rPr>
            </w:pPr>
            <w:r>
              <w:rPr>
                <w:rFonts w:hint="eastAsia" w:ascii="黑体" w:hAnsi="黑体" w:eastAsia="黑体" w:cs="黑体"/>
                <w:sz w:val="28"/>
                <w:szCs w:val="28"/>
              </w:rPr>
              <w:t>可能的伤害</w:t>
            </w:r>
          </w:p>
        </w:tc>
      </w:tr>
      <w:tr w14:paraId="0C79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1694" w:type="dxa"/>
            <w:vMerge w:val="restart"/>
            <w:vAlign w:val="center"/>
          </w:tcPr>
          <w:p w14:paraId="57C72BAE">
            <w:pPr>
              <w:widowControl/>
              <w:snapToGrid w:val="0"/>
              <w:spacing w:line="520" w:lineRule="exact"/>
              <w:jc w:val="center"/>
              <w:rPr>
                <w:rFonts w:eastAsia="仿宋_GB2312"/>
                <w:sz w:val="28"/>
                <w:szCs w:val="28"/>
              </w:rPr>
            </w:pPr>
            <w:r>
              <w:rPr>
                <w:rFonts w:hint="eastAsia" w:eastAsia="仿宋_GB2312"/>
                <w:sz w:val="28"/>
                <w:szCs w:val="28"/>
              </w:rPr>
              <w:t>能量危险</w:t>
            </w:r>
          </w:p>
        </w:tc>
        <w:tc>
          <w:tcPr>
            <w:tcW w:w="2186" w:type="dxa"/>
            <w:vAlign w:val="center"/>
          </w:tcPr>
          <w:p w14:paraId="35E5744E">
            <w:pPr>
              <w:widowControl/>
              <w:snapToGrid w:val="0"/>
              <w:spacing w:line="520" w:lineRule="exact"/>
              <w:jc w:val="center"/>
              <w:rPr>
                <w:rFonts w:eastAsia="仿宋_GB2312"/>
                <w:sz w:val="28"/>
                <w:szCs w:val="28"/>
              </w:rPr>
            </w:pPr>
            <w:r>
              <w:rPr>
                <w:rFonts w:hint="eastAsia" w:eastAsia="仿宋_GB2312"/>
                <w:sz w:val="28"/>
                <w:szCs w:val="28"/>
              </w:rPr>
              <w:t>电能</w:t>
            </w:r>
          </w:p>
        </w:tc>
        <w:tc>
          <w:tcPr>
            <w:tcW w:w="2336" w:type="dxa"/>
            <w:vAlign w:val="center"/>
          </w:tcPr>
          <w:p w14:paraId="42FE2872">
            <w:pPr>
              <w:widowControl/>
              <w:snapToGrid w:val="0"/>
              <w:spacing w:line="520" w:lineRule="exact"/>
              <w:jc w:val="center"/>
              <w:rPr>
                <w:rFonts w:eastAsia="仿宋_GB2312"/>
                <w:sz w:val="28"/>
                <w:szCs w:val="28"/>
              </w:rPr>
            </w:pPr>
            <w:r>
              <w:rPr>
                <w:rFonts w:hint="eastAsia" w:eastAsia="仿宋_GB2312"/>
                <w:sz w:val="28"/>
                <w:szCs w:val="28"/>
              </w:rPr>
              <w:t>电击</w:t>
            </w:r>
          </w:p>
        </w:tc>
        <w:tc>
          <w:tcPr>
            <w:tcW w:w="2336" w:type="dxa"/>
            <w:vAlign w:val="center"/>
          </w:tcPr>
          <w:p w14:paraId="3A58F73B">
            <w:pPr>
              <w:widowControl/>
              <w:snapToGrid w:val="0"/>
              <w:spacing w:line="520" w:lineRule="exact"/>
              <w:jc w:val="center"/>
              <w:rPr>
                <w:rFonts w:eastAsia="仿宋_GB2312"/>
                <w:sz w:val="28"/>
                <w:szCs w:val="28"/>
              </w:rPr>
            </w:pPr>
            <w:r>
              <w:rPr>
                <w:rFonts w:hint="eastAsia" w:eastAsia="仿宋_GB2312"/>
                <w:sz w:val="28"/>
                <w:szCs w:val="28"/>
              </w:rPr>
              <w:t>使用者电击伤</w:t>
            </w:r>
          </w:p>
        </w:tc>
      </w:tr>
      <w:tr w14:paraId="7970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1694" w:type="dxa"/>
            <w:vMerge w:val="continue"/>
            <w:vAlign w:val="center"/>
          </w:tcPr>
          <w:p w14:paraId="4DE56321">
            <w:pPr>
              <w:widowControl/>
              <w:snapToGrid w:val="0"/>
              <w:spacing w:line="520" w:lineRule="exact"/>
              <w:ind w:firstLine="560" w:firstLineChars="200"/>
              <w:jc w:val="center"/>
              <w:rPr>
                <w:rFonts w:eastAsia="仿宋_GB2312"/>
                <w:sz w:val="28"/>
                <w:szCs w:val="28"/>
              </w:rPr>
            </w:pPr>
          </w:p>
        </w:tc>
        <w:tc>
          <w:tcPr>
            <w:tcW w:w="2186" w:type="dxa"/>
            <w:vAlign w:val="center"/>
          </w:tcPr>
          <w:p w14:paraId="2B47452F">
            <w:pPr>
              <w:widowControl/>
              <w:snapToGrid w:val="0"/>
              <w:spacing w:line="520" w:lineRule="exact"/>
              <w:jc w:val="center"/>
              <w:rPr>
                <w:rFonts w:eastAsia="仿宋_GB2312"/>
                <w:sz w:val="28"/>
                <w:szCs w:val="28"/>
              </w:rPr>
            </w:pPr>
            <w:r>
              <w:rPr>
                <w:rFonts w:hint="eastAsia" w:eastAsia="仿宋_GB2312"/>
                <w:sz w:val="28"/>
                <w:szCs w:val="28"/>
              </w:rPr>
              <w:t>机械能</w:t>
            </w:r>
          </w:p>
        </w:tc>
        <w:tc>
          <w:tcPr>
            <w:tcW w:w="2336" w:type="dxa"/>
            <w:vAlign w:val="center"/>
          </w:tcPr>
          <w:p w14:paraId="4A29D179">
            <w:pPr>
              <w:widowControl/>
              <w:snapToGrid w:val="0"/>
              <w:spacing w:line="520" w:lineRule="exact"/>
              <w:jc w:val="center"/>
              <w:rPr>
                <w:rFonts w:eastAsia="仿宋_GB2312"/>
                <w:sz w:val="28"/>
                <w:szCs w:val="28"/>
              </w:rPr>
            </w:pPr>
            <w:r>
              <w:rPr>
                <w:rFonts w:hint="eastAsia" w:eastAsia="仿宋_GB2312"/>
                <w:sz w:val="28"/>
                <w:szCs w:val="28"/>
              </w:rPr>
              <w:t>部件运动过程中触碰</w:t>
            </w:r>
          </w:p>
        </w:tc>
        <w:tc>
          <w:tcPr>
            <w:tcW w:w="2336" w:type="dxa"/>
            <w:vAlign w:val="center"/>
          </w:tcPr>
          <w:p w14:paraId="1A311680">
            <w:pPr>
              <w:widowControl/>
              <w:snapToGrid w:val="0"/>
              <w:spacing w:line="520" w:lineRule="exact"/>
              <w:jc w:val="center"/>
              <w:rPr>
                <w:rFonts w:eastAsia="仿宋_GB2312"/>
                <w:sz w:val="28"/>
                <w:szCs w:val="28"/>
              </w:rPr>
            </w:pPr>
            <w:r>
              <w:rPr>
                <w:rFonts w:hint="eastAsia" w:eastAsia="仿宋_GB2312"/>
                <w:sz w:val="28"/>
                <w:szCs w:val="28"/>
              </w:rPr>
              <w:t>使用者碰撞伤</w:t>
            </w:r>
          </w:p>
        </w:tc>
      </w:tr>
      <w:tr w14:paraId="607F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4" w:type="dxa"/>
            <w:vMerge w:val="restart"/>
            <w:vAlign w:val="center"/>
          </w:tcPr>
          <w:p w14:paraId="39D30079">
            <w:pPr>
              <w:widowControl/>
              <w:snapToGrid w:val="0"/>
              <w:spacing w:line="520" w:lineRule="exact"/>
              <w:jc w:val="center"/>
              <w:rPr>
                <w:rFonts w:eastAsia="仿宋_GB2312"/>
                <w:sz w:val="28"/>
                <w:szCs w:val="28"/>
              </w:rPr>
            </w:pPr>
            <w:r>
              <w:rPr>
                <w:rFonts w:hint="eastAsia" w:eastAsia="仿宋_GB2312"/>
                <w:sz w:val="28"/>
                <w:szCs w:val="28"/>
              </w:rPr>
              <w:t>环境危险</w:t>
            </w:r>
          </w:p>
        </w:tc>
        <w:tc>
          <w:tcPr>
            <w:tcW w:w="2186" w:type="dxa"/>
            <w:vAlign w:val="center"/>
          </w:tcPr>
          <w:p w14:paraId="5D91861E">
            <w:pPr>
              <w:widowControl/>
              <w:snapToGrid w:val="0"/>
              <w:spacing w:line="520" w:lineRule="exact"/>
              <w:jc w:val="center"/>
              <w:rPr>
                <w:rFonts w:eastAsia="仿宋_GB2312"/>
                <w:sz w:val="28"/>
                <w:szCs w:val="28"/>
              </w:rPr>
            </w:pPr>
            <w:r>
              <w:rPr>
                <w:rFonts w:hint="eastAsia" w:eastAsia="仿宋_GB2312"/>
                <w:sz w:val="28"/>
                <w:szCs w:val="28"/>
              </w:rPr>
              <w:t>电磁辐射</w:t>
            </w:r>
          </w:p>
        </w:tc>
        <w:tc>
          <w:tcPr>
            <w:tcW w:w="2336" w:type="dxa"/>
            <w:vAlign w:val="center"/>
          </w:tcPr>
          <w:p w14:paraId="2C648BFD">
            <w:pPr>
              <w:widowControl/>
              <w:snapToGrid w:val="0"/>
              <w:spacing w:line="520" w:lineRule="exact"/>
              <w:jc w:val="center"/>
              <w:rPr>
                <w:rFonts w:eastAsia="仿宋_GB2312"/>
                <w:sz w:val="28"/>
                <w:szCs w:val="28"/>
              </w:rPr>
            </w:pPr>
            <w:r>
              <w:rPr>
                <w:rFonts w:hint="eastAsia" w:eastAsia="仿宋_GB2312"/>
                <w:sz w:val="28"/>
                <w:szCs w:val="28"/>
              </w:rPr>
              <w:t>仪器产生的电磁强度超标或保护元件破损</w:t>
            </w:r>
          </w:p>
        </w:tc>
        <w:tc>
          <w:tcPr>
            <w:tcW w:w="2336" w:type="dxa"/>
            <w:vAlign w:val="center"/>
          </w:tcPr>
          <w:p w14:paraId="7C86D02B">
            <w:pPr>
              <w:widowControl/>
              <w:snapToGrid w:val="0"/>
              <w:spacing w:line="520" w:lineRule="exact"/>
              <w:jc w:val="center"/>
              <w:rPr>
                <w:rFonts w:eastAsia="仿宋_GB2312"/>
                <w:sz w:val="28"/>
                <w:szCs w:val="28"/>
              </w:rPr>
            </w:pPr>
            <w:r>
              <w:rPr>
                <w:rFonts w:hint="eastAsia" w:eastAsia="仿宋_GB2312"/>
                <w:sz w:val="28"/>
                <w:szCs w:val="28"/>
              </w:rPr>
              <w:t>对操作者健康或周边设备的正常使用造成影响</w:t>
            </w:r>
          </w:p>
        </w:tc>
      </w:tr>
      <w:tr w14:paraId="182E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4" w:type="dxa"/>
            <w:vMerge w:val="continue"/>
            <w:vAlign w:val="center"/>
          </w:tcPr>
          <w:p w14:paraId="13213EFC">
            <w:pPr>
              <w:widowControl/>
              <w:snapToGrid w:val="0"/>
              <w:spacing w:line="520" w:lineRule="exact"/>
              <w:ind w:firstLine="560" w:firstLineChars="200"/>
              <w:jc w:val="center"/>
              <w:rPr>
                <w:rFonts w:eastAsia="仿宋_GB2312"/>
                <w:sz w:val="28"/>
                <w:szCs w:val="28"/>
              </w:rPr>
            </w:pPr>
          </w:p>
        </w:tc>
        <w:tc>
          <w:tcPr>
            <w:tcW w:w="2186" w:type="dxa"/>
            <w:vAlign w:val="center"/>
          </w:tcPr>
          <w:p w14:paraId="52979C25">
            <w:pPr>
              <w:widowControl/>
              <w:snapToGrid w:val="0"/>
              <w:spacing w:line="520" w:lineRule="exact"/>
              <w:jc w:val="center"/>
              <w:rPr>
                <w:rFonts w:eastAsia="仿宋_GB2312"/>
                <w:sz w:val="28"/>
                <w:szCs w:val="28"/>
              </w:rPr>
            </w:pPr>
            <w:r>
              <w:rPr>
                <w:rFonts w:hint="eastAsia" w:eastAsia="仿宋_GB2312"/>
                <w:sz w:val="28"/>
                <w:szCs w:val="28"/>
              </w:rPr>
              <w:t>噪声污染</w:t>
            </w:r>
          </w:p>
        </w:tc>
        <w:tc>
          <w:tcPr>
            <w:tcW w:w="2336" w:type="dxa"/>
            <w:vAlign w:val="center"/>
          </w:tcPr>
          <w:p w14:paraId="69825A61">
            <w:pPr>
              <w:widowControl/>
              <w:snapToGrid w:val="0"/>
              <w:spacing w:line="520" w:lineRule="exact"/>
              <w:jc w:val="center"/>
              <w:rPr>
                <w:rFonts w:eastAsia="仿宋_GB2312"/>
                <w:sz w:val="28"/>
                <w:szCs w:val="28"/>
              </w:rPr>
            </w:pPr>
            <w:r>
              <w:rPr>
                <w:rFonts w:hint="eastAsia" w:eastAsia="仿宋_GB2312"/>
                <w:sz w:val="28"/>
                <w:szCs w:val="28"/>
              </w:rPr>
              <w:t>由于各种原因导致的噪声超出国家标准</w:t>
            </w:r>
          </w:p>
        </w:tc>
        <w:tc>
          <w:tcPr>
            <w:tcW w:w="2336" w:type="dxa"/>
            <w:vAlign w:val="center"/>
          </w:tcPr>
          <w:p w14:paraId="2AF3634F">
            <w:pPr>
              <w:widowControl/>
              <w:snapToGrid w:val="0"/>
              <w:spacing w:line="520" w:lineRule="exact"/>
              <w:jc w:val="center"/>
              <w:rPr>
                <w:rFonts w:eastAsia="仿宋_GB2312"/>
                <w:sz w:val="28"/>
                <w:szCs w:val="28"/>
              </w:rPr>
            </w:pPr>
            <w:r>
              <w:rPr>
                <w:rFonts w:hint="eastAsia" w:eastAsia="仿宋_GB2312"/>
                <w:sz w:val="28"/>
                <w:szCs w:val="28"/>
              </w:rPr>
              <w:t>对操作者听力造成损伤</w:t>
            </w:r>
          </w:p>
        </w:tc>
      </w:tr>
      <w:tr w14:paraId="3098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4" w:type="dxa"/>
            <w:vMerge w:val="continue"/>
            <w:vAlign w:val="center"/>
          </w:tcPr>
          <w:p w14:paraId="20E961B4">
            <w:pPr>
              <w:widowControl/>
              <w:snapToGrid w:val="0"/>
              <w:spacing w:line="520" w:lineRule="exact"/>
              <w:ind w:firstLine="560" w:firstLineChars="200"/>
              <w:jc w:val="center"/>
              <w:rPr>
                <w:rFonts w:eastAsia="仿宋_GB2312"/>
                <w:sz w:val="28"/>
                <w:szCs w:val="28"/>
              </w:rPr>
            </w:pPr>
          </w:p>
        </w:tc>
        <w:tc>
          <w:tcPr>
            <w:tcW w:w="2186" w:type="dxa"/>
            <w:vAlign w:val="center"/>
          </w:tcPr>
          <w:p w14:paraId="69AFA1D1">
            <w:pPr>
              <w:widowControl/>
              <w:snapToGrid w:val="0"/>
              <w:spacing w:line="520" w:lineRule="exact"/>
              <w:jc w:val="center"/>
              <w:rPr>
                <w:rFonts w:eastAsia="仿宋_GB2312"/>
                <w:sz w:val="28"/>
                <w:szCs w:val="28"/>
              </w:rPr>
            </w:pPr>
            <w:r>
              <w:rPr>
                <w:rFonts w:hint="eastAsia" w:eastAsia="仿宋_GB2312"/>
                <w:sz w:val="28"/>
                <w:szCs w:val="28"/>
              </w:rPr>
              <w:t>由于废物和/或医疗器械处置造成的污染</w:t>
            </w:r>
          </w:p>
        </w:tc>
        <w:tc>
          <w:tcPr>
            <w:tcW w:w="2336" w:type="dxa"/>
            <w:vAlign w:val="center"/>
          </w:tcPr>
          <w:p w14:paraId="2B29A77A">
            <w:pPr>
              <w:widowControl/>
              <w:snapToGrid w:val="0"/>
              <w:spacing w:line="520" w:lineRule="exact"/>
              <w:jc w:val="center"/>
              <w:rPr>
                <w:rFonts w:eastAsia="仿宋_GB2312"/>
                <w:sz w:val="28"/>
                <w:szCs w:val="28"/>
              </w:rPr>
            </w:pPr>
            <w:r>
              <w:rPr>
                <w:rFonts w:hint="eastAsia" w:eastAsia="仿宋_GB2312"/>
                <w:sz w:val="28"/>
                <w:szCs w:val="28"/>
              </w:rPr>
              <w:t>废弃物处理不当</w:t>
            </w:r>
          </w:p>
        </w:tc>
        <w:tc>
          <w:tcPr>
            <w:tcW w:w="2336" w:type="dxa"/>
            <w:vAlign w:val="center"/>
          </w:tcPr>
          <w:p w14:paraId="145E6D42">
            <w:pPr>
              <w:widowControl/>
              <w:snapToGrid w:val="0"/>
              <w:spacing w:line="520" w:lineRule="exact"/>
              <w:jc w:val="center"/>
              <w:rPr>
                <w:rFonts w:eastAsia="仿宋_GB2312"/>
                <w:sz w:val="28"/>
                <w:szCs w:val="28"/>
              </w:rPr>
            </w:pPr>
            <w:r>
              <w:rPr>
                <w:rFonts w:hint="eastAsia" w:eastAsia="仿宋_GB2312"/>
                <w:sz w:val="28"/>
                <w:szCs w:val="28"/>
              </w:rPr>
              <w:t>污染环境，产生生物学危险</w:t>
            </w:r>
          </w:p>
        </w:tc>
      </w:tr>
      <w:tr w14:paraId="2FD1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1694" w:type="dxa"/>
            <w:vAlign w:val="center"/>
          </w:tcPr>
          <w:p w14:paraId="31496A9E">
            <w:pPr>
              <w:widowControl/>
              <w:snapToGrid w:val="0"/>
              <w:spacing w:line="520" w:lineRule="exact"/>
              <w:jc w:val="center"/>
              <w:rPr>
                <w:rFonts w:eastAsia="仿宋_GB2312"/>
                <w:sz w:val="28"/>
                <w:szCs w:val="28"/>
              </w:rPr>
            </w:pPr>
            <w:r>
              <w:rPr>
                <w:rFonts w:hint="eastAsia" w:eastAsia="仿宋_GB2312"/>
                <w:sz w:val="28"/>
                <w:szCs w:val="28"/>
              </w:rPr>
              <w:t>生物学和化学危险</w:t>
            </w:r>
          </w:p>
        </w:tc>
        <w:tc>
          <w:tcPr>
            <w:tcW w:w="2186" w:type="dxa"/>
            <w:vAlign w:val="center"/>
          </w:tcPr>
          <w:p w14:paraId="51E41702">
            <w:pPr>
              <w:widowControl/>
              <w:snapToGrid w:val="0"/>
              <w:spacing w:line="520" w:lineRule="exact"/>
              <w:jc w:val="center"/>
              <w:rPr>
                <w:rFonts w:eastAsia="仿宋_GB2312"/>
                <w:sz w:val="28"/>
                <w:szCs w:val="28"/>
              </w:rPr>
            </w:pPr>
            <w:r>
              <w:rPr>
                <w:rFonts w:hint="eastAsia" w:eastAsia="仿宋_GB2312"/>
                <w:sz w:val="28"/>
                <w:szCs w:val="28"/>
              </w:rPr>
              <w:t>生物污染</w:t>
            </w:r>
          </w:p>
        </w:tc>
        <w:tc>
          <w:tcPr>
            <w:tcW w:w="2336" w:type="dxa"/>
            <w:vAlign w:val="center"/>
          </w:tcPr>
          <w:p w14:paraId="5B262E15">
            <w:pPr>
              <w:widowControl/>
              <w:snapToGrid w:val="0"/>
              <w:spacing w:line="520" w:lineRule="exact"/>
              <w:jc w:val="center"/>
              <w:rPr>
                <w:rFonts w:eastAsia="仿宋_GB2312"/>
                <w:sz w:val="28"/>
                <w:szCs w:val="28"/>
              </w:rPr>
            </w:pPr>
            <w:r>
              <w:rPr>
                <w:rFonts w:hint="eastAsia" w:eastAsia="仿宋_GB2312"/>
                <w:sz w:val="28"/>
                <w:szCs w:val="28"/>
              </w:rPr>
              <w:t>标本遗洒、样品针刺伤</w:t>
            </w:r>
          </w:p>
        </w:tc>
        <w:tc>
          <w:tcPr>
            <w:tcW w:w="2336" w:type="dxa"/>
            <w:vAlign w:val="center"/>
          </w:tcPr>
          <w:p w14:paraId="54D2490C">
            <w:pPr>
              <w:widowControl/>
              <w:snapToGrid w:val="0"/>
              <w:spacing w:line="520" w:lineRule="exact"/>
              <w:jc w:val="center"/>
              <w:rPr>
                <w:rFonts w:eastAsia="仿宋_GB2312"/>
                <w:sz w:val="28"/>
                <w:szCs w:val="28"/>
              </w:rPr>
            </w:pPr>
            <w:r>
              <w:rPr>
                <w:rFonts w:hint="eastAsia" w:eastAsia="仿宋_GB2312"/>
                <w:sz w:val="28"/>
                <w:szCs w:val="28"/>
              </w:rPr>
              <w:t>造成使用者感染</w:t>
            </w:r>
          </w:p>
        </w:tc>
      </w:tr>
      <w:tr w14:paraId="57DB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4" w:type="dxa"/>
            <w:vMerge w:val="restart"/>
            <w:vAlign w:val="center"/>
          </w:tcPr>
          <w:p w14:paraId="02DDBDA6">
            <w:pPr>
              <w:widowControl/>
              <w:snapToGrid w:val="0"/>
              <w:spacing w:line="520" w:lineRule="exact"/>
              <w:jc w:val="center"/>
              <w:rPr>
                <w:rFonts w:eastAsia="仿宋_GB2312"/>
                <w:sz w:val="28"/>
                <w:szCs w:val="28"/>
              </w:rPr>
            </w:pPr>
            <w:r>
              <w:rPr>
                <w:rFonts w:hint="eastAsia" w:eastAsia="仿宋_GB2312"/>
                <w:sz w:val="28"/>
                <w:szCs w:val="28"/>
              </w:rPr>
              <w:t>与医疗器械使用有关的危险</w:t>
            </w:r>
          </w:p>
        </w:tc>
        <w:tc>
          <w:tcPr>
            <w:tcW w:w="2186" w:type="dxa"/>
            <w:vAlign w:val="center"/>
          </w:tcPr>
          <w:p w14:paraId="032ACD20">
            <w:pPr>
              <w:widowControl/>
              <w:snapToGrid w:val="0"/>
              <w:spacing w:line="520" w:lineRule="exact"/>
              <w:jc w:val="center"/>
              <w:rPr>
                <w:rFonts w:eastAsia="仿宋_GB2312"/>
                <w:sz w:val="28"/>
                <w:szCs w:val="28"/>
              </w:rPr>
            </w:pPr>
            <w:r>
              <w:rPr>
                <w:rFonts w:hint="eastAsia" w:eastAsia="仿宋_GB2312"/>
                <w:sz w:val="28"/>
                <w:szCs w:val="28"/>
              </w:rPr>
              <w:t>不适当的标记</w:t>
            </w:r>
          </w:p>
        </w:tc>
        <w:tc>
          <w:tcPr>
            <w:tcW w:w="2336" w:type="dxa"/>
            <w:vAlign w:val="center"/>
          </w:tcPr>
          <w:p w14:paraId="756D80C3">
            <w:pPr>
              <w:widowControl/>
              <w:snapToGrid w:val="0"/>
              <w:spacing w:line="520" w:lineRule="exact"/>
              <w:jc w:val="center"/>
              <w:rPr>
                <w:rFonts w:eastAsia="仿宋_GB2312"/>
                <w:sz w:val="28"/>
                <w:szCs w:val="28"/>
              </w:rPr>
            </w:pPr>
            <w:r>
              <w:rPr>
                <w:rFonts w:hint="eastAsia" w:eastAsia="仿宋_GB2312"/>
                <w:sz w:val="28"/>
                <w:szCs w:val="28"/>
              </w:rPr>
              <w:t>标记不明显</w:t>
            </w:r>
          </w:p>
        </w:tc>
        <w:tc>
          <w:tcPr>
            <w:tcW w:w="2336" w:type="dxa"/>
            <w:vAlign w:val="center"/>
          </w:tcPr>
          <w:p w14:paraId="5E97B2E6">
            <w:pPr>
              <w:widowControl/>
              <w:snapToGrid w:val="0"/>
              <w:spacing w:line="520" w:lineRule="exact"/>
              <w:jc w:val="center"/>
              <w:rPr>
                <w:rFonts w:eastAsia="仿宋_GB2312"/>
                <w:sz w:val="28"/>
                <w:szCs w:val="28"/>
              </w:rPr>
            </w:pPr>
            <w:r>
              <w:rPr>
                <w:rFonts w:hint="eastAsia" w:eastAsia="仿宋_GB2312"/>
                <w:sz w:val="28"/>
                <w:szCs w:val="28"/>
              </w:rPr>
              <w:t>按键被使用者误读、误按</w:t>
            </w:r>
          </w:p>
        </w:tc>
      </w:tr>
      <w:tr w14:paraId="2AB7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4" w:type="dxa"/>
            <w:vMerge w:val="continue"/>
            <w:vAlign w:val="center"/>
          </w:tcPr>
          <w:p w14:paraId="548BBBAB">
            <w:pPr>
              <w:widowControl/>
              <w:snapToGrid w:val="0"/>
              <w:spacing w:line="520" w:lineRule="exact"/>
              <w:ind w:firstLine="560" w:firstLineChars="200"/>
              <w:jc w:val="center"/>
              <w:rPr>
                <w:rFonts w:eastAsia="仿宋_GB2312"/>
                <w:sz w:val="28"/>
                <w:szCs w:val="28"/>
              </w:rPr>
            </w:pPr>
          </w:p>
        </w:tc>
        <w:tc>
          <w:tcPr>
            <w:tcW w:w="2186" w:type="dxa"/>
            <w:vAlign w:val="center"/>
          </w:tcPr>
          <w:p w14:paraId="4BBB0915">
            <w:pPr>
              <w:widowControl/>
              <w:snapToGrid w:val="0"/>
              <w:spacing w:line="520" w:lineRule="exact"/>
              <w:jc w:val="center"/>
              <w:rPr>
                <w:rFonts w:eastAsia="仿宋_GB2312"/>
                <w:sz w:val="28"/>
                <w:szCs w:val="28"/>
              </w:rPr>
            </w:pPr>
            <w:r>
              <w:rPr>
                <w:rFonts w:hint="eastAsia" w:eastAsia="仿宋_GB2312"/>
                <w:sz w:val="28"/>
                <w:szCs w:val="28"/>
              </w:rPr>
              <w:t>不适当的操作说明</w:t>
            </w:r>
          </w:p>
        </w:tc>
        <w:tc>
          <w:tcPr>
            <w:tcW w:w="2336" w:type="dxa"/>
            <w:vAlign w:val="center"/>
          </w:tcPr>
          <w:p w14:paraId="432FF6E3">
            <w:pPr>
              <w:widowControl/>
              <w:snapToGrid w:val="0"/>
              <w:spacing w:line="520" w:lineRule="exact"/>
              <w:jc w:val="center"/>
              <w:rPr>
                <w:rFonts w:eastAsia="仿宋_GB2312"/>
                <w:sz w:val="28"/>
                <w:szCs w:val="28"/>
              </w:rPr>
            </w:pPr>
            <w:r>
              <w:rPr>
                <w:rFonts w:hint="eastAsia" w:eastAsia="仿宋_GB2312"/>
                <w:sz w:val="28"/>
                <w:szCs w:val="28"/>
              </w:rPr>
              <w:t>操作说明书过于复杂</w:t>
            </w:r>
          </w:p>
        </w:tc>
        <w:tc>
          <w:tcPr>
            <w:tcW w:w="2336" w:type="dxa"/>
            <w:vAlign w:val="center"/>
          </w:tcPr>
          <w:p w14:paraId="1EA863CC">
            <w:pPr>
              <w:widowControl/>
              <w:snapToGrid w:val="0"/>
              <w:spacing w:line="520" w:lineRule="exact"/>
              <w:jc w:val="center"/>
              <w:rPr>
                <w:rFonts w:eastAsia="仿宋_GB2312"/>
                <w:sz w:val="28"/>
                <w:szCs w:val="28"/>
              </w:rPr>
            </w:pPr>
            <w:r>
              <w:rPr>
                <w:rFonts w:hint="eastAsia" w:eastAsia="仿宋_GB2312"/>
                <w:sz w:val="28"/>
                <w:szCs w:val="28"/>
              </w:rPr>
              <w:t>使用者无法按照说明书进行操作</w:t>
            </w:r>
          </w:p>
        </w:tc>
      </w:tr>
      <w:tr w14:paraId="47FB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4" w:type="dxa"/>
            <w:vMerge w:val="continue"/>
            <w:vAlign w:val="center"/>
          </w:tcPr>
          <w:p w14:paraId="212CACF8">
            <w:pPr>
              <w:widowControl/>
              <w:snapToGrid w:val="0"/>
              <w:spacing w:line="520" w:lineRule="exact"/>
              <w:ind w:firstLine="560" w:firstLineChars="200"/>
              <w:jc w:val="center"/>
              <w:rPr>
                <w:rFonts w:eastAsia="仿宋_GB2312"/>
                <w:sz w:val="28"/>
                <w:szCs w:val="28"/>
              </w:rPr>
            </w:pPr>
          </w:p>
        </w:tc>
        <w:tc>
          <w:tcPr>
            <w:tcW w:w="2186" w:type="dxa"/>
            <w:vAlign w:val="center"/>
          </w:tcPr>
          <w:p w14:paraId="7D5CCA32">
            <w:pPr>
              <w:widowControl/>
              <w:snapToGrid w:val="0"/>
              <w:spacing w:line="520" w:lineRule="exact"/>
              <w:jc w:val="center"/>
              <w:rPr>
                <w:rFonts w:eastAsia="仿宋_GB2312"/>
                <w:sz w:val="28"/>
                <w:szCs w:val="28"/>
              </w:rPr>
            </w:pPr>
            <w:r>
              <w:rPr>
                <w:rFonts w:hint="eastAsia" w:eastAsia="仿宋_GB2312"/>
                <w:sz w:val="28"/>
                <w:szCs w:val="28"/>
              </w:rPr>
              <w:t>由不熟练/未经训练的人员使用</w:t>
            </w:r>
          </w:p>
        </w:tc>
        <w:tc>
          <w:tcPr>
            <w:tcW w:w="2336" w:type="dxa"/>
            <w:vAlign w:val="center"/>
          </w:tcPr>
          <w:p w14:paraId="36A73922">
            <w:pPr>
              <w:widowControl/>
              <w:snapToGrid w:val="0"/>
              <w:spacing w:line="520" w:lineRule="exact"/>
              <w:jc w:val="center"/>
              <w:rPr>
                <w:rFonts w:eastAsia="仿宋_GB2312"/>
                <w:sz w:val="28"/>
                <w:szCs w:val="28"/>
              </w:rPr>
            </w:pPr>
            <w:r>
              <w:rPr>
                <w:rFonts w:hint="eastAsia" w:eastAsia="仿宋_GB2312"/>
                <w:sz w:val="28"/>
                <w:szCs w:val="28"/>
              </w:rPr>
              <w:t>未对使用者进行培训或者使用者未阅读说明书</w:t>
            </w:r>
          </w:p>
        </w:tc>
        <w:tc>
          <w:tcPr>
            <w:tcW w:w="2336" w:type="dxa"/>
            <w:vAlign w:val="center"/>
          </w:tcPr>
          <w:p w14:paraId="4573AE72">
            <w:pPr>
              <w:widowControl/>
              <w:snapToGrid w:val="0"/>
              <w:spacing w:line="520" w:lineRule="exact"/>
              <w:jc w:val="center"/>
              <w:rPr>
                <w:rFonts w:eastAsia="仿宋_GB2312"/>
                <w:sz w:val="28"/>
                <w:szCs w:val="28"/>
              </w:rPr>
            </w:pPr>
            <w:r>
              <w:rPr>
                <w:rFonts w:hint="eastAsia" w:eastAsia="仿宋_GB2312"/>
                <w:sz w:val="28"/>
                <w:szCs w:val="28"/>
              </w:rPr>
              <w:t>仪器无法被正确使用</w:t>
            </w:r>
          </w:p>
        </w:tc>
      </w:tr>
      <w:tr w14:paraId="4360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4" w:type="dxa"/>
            <w:vAlign w:val="center"/>
          </w:tcPr>
          <w:p w14:paraId="0B558FF6">
            <w:pPr>
              <w:widowControl/>
              <w:snapToGrid w:val="0"/>
              <w:spacing w:line="520" w:lineRule="exact"/>
              <w:jc w:val="center"/>
              <w:rPr>
                <w:rFonts w:eastAsia="仿宋_GB2312"/>
                <w:sz w:val="28"/>
                <w:szCs w:val="28"/>
              </w:rPr>
            </w:pPr>
            <w:r>
              <w:rPr>
                <w:rFonts w:hint="eastAsia" w:eastAsia="仿宋_GB2312"/>
                <w:sz w:val="28"/>
                <w:szCs w:val="28"/>
              </w:rPr>
              <w:t>不适当、不合适或过于复杂的使用者接口</w:t>
            </w:r>
          </w:p>
        </w:tc>
        <w:tc>
          <w:tcPr>
            <w:tcW w:w="2186" w:type="dxa"/>
            <w:vAlign w:val="center"/>
          </w:tcPr>
          <w:p w14:paraId="7E0EE072">
            <w:pPr>
              <w:widowControl/>
              <w:snapToGrid w:val="0"/>
              <w:spacing w:line="520" w:lineRule="exact"/>
              <w:jc w:val="center"/>
              <w:rPr>
                <w:rFonts w:eastAsia="仿宋_GB2312"/>
                <w:sz w:val="28"/>
                <w:szCs w:val="28"/>
              </w:rPr>
            </w:pPr>
            <w:r>
              <w:rPr>
                <w:rFonts w:hint="eastAsia" w:eastAsia="仿宋_GB2312"/>
                <w:sz w:val="28"/>
                <w:szCs w:val="28"/>
              </w:rPr>
              <w:t>视觉、听觉或触觉的不充分</w:t>
            </w:r>
          </w:p>
        </w:tc>
        <w:tc>
          <w:tcPr>
            <w:tcW w:w="2336" w:type="dxa"/>
            <w:vAlign w:val="center"/>
          </w:tcPr>
          <w:p w14:paraId="5D7B864F">
            <w:pPr>
              <w:widowControl/>
              <w:snapToGrid w:val="0"/>
              <w:spacing w:line="520" w:lineRule="exact"/>
              <w:jc w:val="center"/>
              <w:rPr>
                <w:rFonts w:eastAsia="仿宋_GB2312"/>
                <w:sz w:val="28"/>
                <w:szCs w:val="28"/>
              </w:rPr>
            </w:pPr>
            <w:r>
              <w:rPr>
                <w:rFonts w:hint="eastAsia" w:eastAsia="仿宋_GB2312"/>
                <w:sz w:val="28"/>
                <w:szCs w:val="28"/>
              </w:rPr>
              <w:t>显示、声音提示不清</w:t>
            </w:r>
          </w:p>
        </w:tc>
        <w:tc>
          <w:tcPr>
            <w:tcW w:w="2336" w:type="dxa"/>
            <w:vAlign w:val="center"/>
          </w:tcPr>
          <w:p w14:paraId="4CF908D9">
            <w:pPr>
              <w:widowControl/>
              <w:snapToGrid w:val="0"/>
              <w:spacing w:line="520" w:lineRule="exact"/>
              <w:jc w:val="center"/>
              <w:rPr>
                <w:rFonts w:eastAsia="仿宋_GB2312"/>
                <w:sz w:val="28"/>
                <w:szCs w:val="28"/>
              </w:rPr>
            </w:pPr>
            <w:r>
              <w:rPr>
                <w:rFonts w:hint="eastAsia" w:eastAsia="仿宋_GB2312"/>
                <w:sz w:val="28"/>
                <w:szCs w:val="28"/>
              </w:rPr>
              <w:t>按键被使用者误读、误按</w:t>
            </w:r>
          </w:p>
        </w:tc>
      </w:tr>
      <w:tr w14:paraId="2E27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4" w:type="dxa"/>
            <w:vMerge w:val="restart"/>
            <w:vAlign w:val="center"/>
          </w:tcPr>
          <w:p w14:paraId="46C0B0AF">
            <w:pPr>
              <w:widowControl/>
              <w:snapToGrid w:val="0"/>
              <w:spacing w:line="520" w:lineRule="exact"/>
              <w:jc w:val="center"/>
              <w:rPr>
                <w:rFonts w:eastAsia="仿宋_GB2312"/>
                <w:sz w:val="28"/>
                <w:szCs w:val="28"/>
              </w:rPr>
            </w:pPr>
            <w:r>
              <w:rPr>
                <w:rFonts w:hint="eastAsia" w:eastAsia="仿宋_GB2312"/>
                <w:sz w:val="28"/>
                <w:szCs w:val="28"/>
              </w:rPr>
              <w:t>功能性失效、维修和老化引起的危险</w:t>
            </w:r>
          </w:p>
        </w:tc>
        <w:tc>
          <w:tcPr>
            <w:tcW w:w="2186" w:type="dxa"/>
            <w:vAlign w:val="center"/>
          </w:tcPr>
          <w:p w14:paraId="03153FFE">
            <w:pPr>
              <w:widowControl/>
              <w:snapToGrid w:val="0"/>
              <w:spacing w:line="520" w:lineRule="exact"/>
              <w:jc w:val="center"/>
              <w:rPr>
                <w:rFonts w:eastAsia="仿宋_GB2312"/>
                <w:sz w:val="28"/>
                <w:szCs w:val="28"/>
              </w:rPr>
            </w:pPr>
            <w:r>
              <w:rPr>
                <w:rFonts w:hint="eastAsia" w:eastAsia="仿宋_GB2312"/>
                <w:sz w:val="28"/>
                <w:szCs w:val="28"/>
              </w:rPr>
              <w:t>维修规范缺少或不适当，包括维修后检查规范不适当</w:t>
            </w:r>
          </w:p>
        </w:tc>
        <w:tc>
          <w:tcPr>
            <w:tcW w:w="2336" w:type="dxa"/>
            <w:vAlign w:val="center"/>
          </w:tcPr>
          <w:p w14:paraId="6E0B858A">
            <w:pPr>
              <w:widowControl/>
              <w:snapToGrid w:val="0"/>
              <w:spacing w:line="520" w:lineRule="exact"/>
              <w:jc w:val="center"/>
              <w:rPr>
                <w:rFonts w:eastAsia="仿宋_GB2312"/>
                <w:sz w:val="28"/>
                <w:szCs w:val="28"/>
              </w:rPr>
            </w:pPr>
            <w:r>
              <w:rPr>
                <w:rFonts w:hint="eastAsia" w:eastAsia="仿宋_GB2312"/>
                <w:sz w:val="28"/>
                <w:szCs w:val="28"/>
              </w:rPr>
              <w:t>未按照规范进行服务和维修</w:t>
            </w:r>
          </w:p>
        </w:tc>
        <w:tc>
          <w:tcPr>
            <w:tcW w:w="2336" w:type="dxa"/>
            <w:vAlign w:val="center"/>
          </w:tcPr>
          <w:p w14:paraId="37030293">
            <w:pPr>
              <w:widowControl/>
              <w:snapToGrid w:val="0"/>
              <w:spacing w:line="520" w:lineRule="exact"/>
              <w:jc w:val="center"/>
              <w:rPr>
                <w:rFonts w:eastAsia="仿宋_GB2312"/>
                <w:sz w:val="28"/>
                <w:szCs w:val="28"/>
              </w:rPr>
            </w:pPr>
            <w:r>
              <w:rPr>
                <w:rFonts w:hint="eastAsia" w:eastAsia="仿宋_GB2312"/>
                <w:sz w:val="28"/>
                <w:szCs w:val="28"/>
              </w:rPr>
              <w:t>仪器未达到修复使用要求</w:t>
            </w:r>
          </w:p>
        </w:tc>
      </w:tr>
      <w:tr w14:paraId="32ED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4" w:type="dxa"/>
            <w:vMerge w:val="continue"/>
            <w:vAlign w:val="center"/>
          </w:tcPr>
          <w:p w14:paraId="20B2F3DA">
            <w:pPr>
              <w:widowControl/>
              <w:snapToGrid w:val="0"/>
              <w:spacing w:line="520" w:lineRule="exact"/>
              <w:ind w:firstLine="560" w:firstLineChars="200"/>
              <w:jc w:val="center"/>
              <w:rPr>
                <w:rFonts w:eastAsia="仿宋_GB2312"/>
                <w:sz w:val="28"/>
                <w:szCs w:val="28"/>
              </w:rPr>
            </w:pPr>
          </w:p>
        </w:tc>
        <w:tc>
          <w:tcPr>
            <w:tcW w:w="2186" w:type="dxa"/>
            <w:vAlign w:val="center"/>
          </w:tcPr>
          <w:p w14:paraId="359B2CB4">
            <w:pPr>
              <w:widowControl/>
              <w:snapToGrid w:val="0"/>
              <w:spacing w:line="520" w:lineRule="exact"/>
              <w:jc w:val="center"/>
              <w:rPr>
                <w:rFonts w:eastAsia="仿宋_GB2312"/>
                <w:sz w:val="28"/>
                <w:szCs w:val="28"/>
              </w:rPr>
            </w:pPr>
            <w:r>
              <w:rPr>
                <w:rFonts w:hint="eastAsia" w:eastAsia="仿宋_GB2312"/>
                <w:sz w:val="28"/>
                <w:szCs w:val="28"/>
              </w:rPr>
              <w:t>维护的不适当</w:t>
            </w:r>
          </w:p>
        </w:tc>
        <w:tc>
          <w:tcPr>
            <w:tcW w:w="2336" w:type="dxa"/>
            <w:vAlign w:val="center"/>
          </w:tcPr>
          <w:p w14:paraId="5ECC4D0C">
            <w:pPr>
              <w:widowControl/>
              <w:snapToGrid w:val="0"/>
              <w:spacing w:line="520" w:lineRule="exact"/>
              <w:jc w:val="center"/>
              <w:rPr>
                <w:rFonts w:eastAsia="仿宋_GB2312"/>
                <w:sz w:val="28"/>
                <w:szCs w:val="28"/>
              </w:rPr>
            </w:pPr>
            <w:r>
              <w:rPr>
                <w:rFonts w:hint="eastAsia" w:eastAsia="仿宋_GB2312"/>
                <w:sz w:val="28"/>
                <w:szCs w:val="28"/>
              </w:rPr>
              <w:t>未按要求进行维护</w:t>
            </w:r>
          </w:p>
        </w:tc>
        <w:tc>
          <w:tcPr>
            <w:tcW w:w="2336" w:type="dxa"/>
            <w:vAlign w:val="center"/>
          </w:tcPr>
          <w:p w14:paraId="27E865BF">
            <w:pPr>
              <w:widowControl/>
              <w:snapToGrid w:val="0"/>
              <w:spacing w:line="520" w:lineRule="exact"/>
              <w:jc w:val="center"/>
              <w:rPr>
                <w:rFonts w:eastAsia="仿宋_GB2312"/>
                <w:sz w:val="28"/>
                <w:szCs w:val="28"/>
              </w:rPr>
            </w:pPr>
            <w:r>
              <w:rPr>
                <w:rFonts w:hint="eastAsia" w:eastAsia="仿宋_GB2312"/>
                <w:sz w:val="28"/>
                <w:szCs w:val="28"/>
              </w:rPr>
              <w:t>仪器无法被正确维护</w:t>
            </w:r>
          </w:p>
        </w:tc>
      </w:tr>
      <w:tr w14:paraId="4458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4" w:type="dxa"/>
            <w:vMerge w:val="continue"/>
            <w:vAlign w:val="center"/>
          </w:tcPr>
          <w:p w14:paraId="45A372F3">
            <w:pPr>
              <w:widowControl/>
              <w:snapToGrid w:val="0"/>
              <w:spacing w:line="520" w:lineRule="exact"/>
              <w:ind w:firstLine="560" w:firstLineChars="200"/>
              <w:jc w:val="center"/>
              <w:rPr>
                <w:rFonts w:eastAsia="仿宋_GB2312"/>
                <w:sz w:val="28"/>
                <w:szCs w:val="28"/>
              </w:rPr>
            </w:pPr>
          </w:p>
        </w:tc>
        <w:tc>
          <w:tcPr>
            <w:tcW w:w="2186" w:type="dxa"/>
            <w:vAlign w:val="center"/>
          </w:tcPr>
          <w:p w14:paraId="105689F5">
            <w:pPr>
              <w:widowControl/>
              <w:snapToGrid w:val="0"/>
              <w:spacing w:line="520" w:lineRule="exact"/>
              <w:jc w:val="center"/>
              <w:rPr>
                <w:rFonts w:eastAsia="仿宋_GB2312"/>
                <w:sz w:val="28"/>
                <w:szCs w:val="28"/>
              </w:rPr>
            </w:pPr>
            <w:r>
              <w:rPr>
                <w:rFonts w:hint="eastAsia" w:eastAsia="仿宋_GB2312"/>
                <w:sz w:val="28"/>
                <w:szCs w:val="28"/>
              </w:rPr>
              <w:t>不适当的包装</w:t>
            </w:r>
          </w:p>
        </w:tc>
        <w:tc>
          <w:tcPr>
            <w:tcW w:w="2336" w:type="dxa"/>
            <w:vAlign w:val="center"/>
          </w:tcPr>
          <w:p w14:paraId="1F9B32E2">
            <w:pPr>
              <w:widowControl/>
              <w:snapToGrid w:val="0"/>
              <w:spacing w:line="520" w:lineRule="exact"/>
              <w:jc w:val="center"/>
              <w:rPr>
                <w:rFonts w:eastAsia="仿宋_GB2312"/>
                <w:sz w:val="28"/>
                <w:szCs w:val="28"/>
              </w:rPr>
            </w:pPr>
            <w:r>
              <w:rPr>
                <w:rFonts w:hint="eastAsia" w:eastAsia="仿宋_GB2312"/>
                <w:sz w:val="28"/>
                <w:szCs w:val="28"/>
              </w:rPr>
              <w:t>未保存原包装</w:t>
            </w:r>
          </w:p>
        </w:tc>
        <w:tc>
          <w:tcPr>
            <w:tcW w:w="2336" w:type="dxa"/>
            <w:vAlign w:val="center"/>
          </w:tcPr>
          <w:p w14:paraId="535A4FD2">
            <w:pPr>
              <w:widowControl/>
              <w:snapToGrid w:val="0"/>
              <w:spacing w:line="520" w:lineRule="exact"/>
              <w:jc w:val="center"/>
              <w:rPr>
                <w:rFonts w:eastAsia="仿宋_GB2312"/>
                <w:sz w:val="28"/>
                <w:szCs w:val="28"/>
              </w:rPr>
            </w:pPr>
            <w:r>
              <w:rPr>
                <w:rFonts w:hint="eastAsia" w:eastAsia="仿宋_GB2312"/>
                <w:sz w:val="28"/>
                <w:szCs w:val="28"/>
              </w:rPr>
              <w:t>仪器送修运输中受损</w:t>
            </w:r>
          </w:p>
        </w:tc>
      </w:tr>
      <w:tr w14:paraId="2667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4" w:type="dxa"/>
            <w:vMerge w:val="continue"/>
            <w:vAlign w:val="center"/>
          </w:tcPr>
          <w:p w14:paraId="790949E1">
            <w:pPr>
              <w:widowControl/>
              <w:snapToGrid w:val="0"/>
              <w:spacing w:line="520" w:lineRule="exact"/>
              <w:ind w:firstLine="560" w:firstLineChars="200"/>
              <w:jc w:val="center"/>
              <w:rPr>
                <w:rFonts w:eastAsia="仿宋_GB2312"/>
                <w:sz w:val="28"/>
                <w:szCs w:val="28"/>
              </w:rPr>
            </w:pPr>
          </w:p>
        </w:tc>
        <w:tc>
          <w:tcPr>
            <w:tcW w:w="2186" w:type="dxa"/>
            <w:vAlign w:val="center"/>
          </w:tcPr>
          <w:p w14:paraId="33450A6F">
            <w:pPr>
              <w:widowControl/>
              <w:snapToGrid w:val="0"/>
              <w:spacing w:line="520" w:lineRule="exact"/>
              <w:jc w:val="center"/>
              <w:rPr>
                <w:rFonts w:eastAsia="仿宋_GB2312"/>
                <w:sz w:val="28"/>
                <w:szCs w:val="28"/>
              </w:rPr>
            </w:pPr>
            <w:r>
              <w:rPr>
                <w:rFonts w:hint="eastAsia" w:eastAsia="仿宋_GB2312"/>
                <w:sz w:val="28"/>
                <w:szCs w:val="28"/>
              </w:rPr>
              <w:t>软件失效</w:t>
            </w:r>
          </w:p>
        </w:tc>
        <w:tc>
          <w:tcPr>
            <w:tcW w:w="2336" w:type="dxa"/>
            <w:vAlign w:val="center"/>
          </w:tcPr>
          <w:p w14:paraId="21AF90EE">
            <w:pPr>
              <w:widowControl/>
              <w:snapToGrid w:val="0"/>
              <w:spacing w:line="520" w:lineRule="exact"/>
              <w:jc w:val="center"/>
              <w:rPr>
                <w:rFonts w:eastAsia="仿宋_GB2312"/>
                <w:sz w:val="28"/>
                <w:szCs w:val="28"/>
              </w:rPr>
            </w:pPr>
            <w:r>
              <w:rPr>
                <w:rFonts w:hint="eastAsia" w:eastAsia="仿宋_GB2312"/>
                <w:sz w:val="28"/>
                <w:szCs w:val="28"/>
              </w:rPr>
              <w:t>软件设计缺陷</w:t>
            </w:r>
          </w:p>
        </w:tc>
        <w:tc>
          <w:tcPr>
            <w:tcW w:w="2336" w:type="dxa"/>
            <w:vAlign w:val="center"/>
          </w:tcPr>
          <w:p w14:paraId="3A6733C0">
            <w:pPr>
              <w:widowControl/>
              <w:snapToGrid w:val="0"/>
              <w:spacing w:line="520" w:lineRule="exact"/>
              <w:jc w:val="center"/>
              <w:rPr>
                <w:rFonts w:eastAsia="仿宋_GB2312"/>
                <w:sz w:val="28"/>
                <w:szCs w:val="28"/>
              </w:rPr>
            </w:pPr>
            <w:r>
              <w:rPr>
                <w:rFonts w:hint="eastAsia" w:eastAsia="仿宋_GB2312"/>
                <w:sz w:val="28"/>
                <w:szCs w:val="28"/>
              </w:rPr>
              <w:t>仪器无法正常使用</w:t>
            </w:r>
          </w:p>
        </w:tc>
      </w:tr>
    </w:tbl>
    <w:p w14:paraId="10B575A7">
      <w:pPr>
        <w:pStyle w:val="5"/>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2.产品技术要求及检验报告</w:t>
      </w:r>
    </w:p>
    <w:p w14:paraId="7B350D28">
      <w:pPr>
        <w:pStyle w:val="5"/>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2.1产品技术要求</w:t>
      </w:r>
    </w:p>
    <w:p w14:paraId="1BFFB51B">
      <w:pPr>
        <w:widowControl/>
        <w:spacing w:line="520" w:lineRule="exact"/>
        <w:ind w:firstLine="640" w:firstLineChars="200"/>
        <w:rPr>
          <w:rFonts w:eastAsia="仿宋_GB2312"/>
          <w:szCs w:val="32"/>
        </w:rPr>
      </w:pPr>
      <w:r>
        <w:rPr>
          <w:rFonts w:hint="eastAsia" w:eastAsia="仿宋_GB2312"/>
          <w:szCs w:val="32"/>
        </w:rPr>
        <w:t>根据《医疗器械产品技术要求编写指导原则》的要求，产品技术要求应包含产品名称、产品型号/规格及其划分说明、性能指标和检验方法。</w:t>
      </w:r>
    </w:p>
    <w:p w14:paraId="01C5DACC">
      <w:pPr>
        <w:widowControl/>
        <w:snapToGrid w:val="0"/>
        <w:spacing w:line="520" w:lineRule="exact"/>
        <w:ind w:firstLine="640" w:firstLineChars="200"/>
        <w:rPr>
          <w:rFonts w:hint="eastAsia" w:eastAsia="仿宋_GB2312"/>
          <w:szCs w:val="32"/>
        </w:rPr>
      </w:pPr>
      <w:r>
        <w:rPr>
          <w:rFonts w:hint="eastAsia" w:eastAsia="仿宋_GB2312"/>
          <w:szCs w:val="32"/>
        </w:rPr>
        <w:t>2.1.1产品型号/规格及其划分说明</w:t>
      </w:r>
    </w:p>
    <w:p w14:paraId="5EA30C33">
      <w:pPr>
        <w:spacing w:line="520" w:lineRule="exact"/>
        <w:ind w:firstLine="641"/>
        <w:rPr>
          <w:rFonts w:eastAsia="仿宋_GB2312"/>
          <w:szCs w:val="32"/>
        </w:rPr>
      </w:pPr>
      <w:r>
        <w:rPr>
          <w:rFonts w:hint="eastAsia" w:eastAsia="仿宋_GB2312"/>
          <w:szCs w:val="32"/>
        </w:rPr>
        <w:t>说明产品的型号、规格，明确产品型号、规格的划分说明，明确不同型号间产品差异。</w:t>
      </w:r>
    </w:p>
    <w:p w14:paraId="1D607F29">
      <w:pPr>
        <w:spacing w:line="520" w:lineRule="exact"/>
        <w:ind w:firstLine="641"/>
        <w:rPr>
          <w:rFonts w:eastAsia="仿宋_GB2312"/>
          <w:szCs w:val="32"/>
        </w:rPr>
      </w:pPr>
      <w:r>
        <w:rPr>
          <w:rFonts w:hint="eastAsia" w:eastAsia="仿宋_GB2312"/>
          <w:szCs w:val="32"/>
        </w:rPr>
        <w:t>产品中包含软件组件，应明确软件的名称、型号规格（若适用）、发布版本、版本命名规则，软件模块若有单独的版本、版本命名规则均需说明。</w:t>
      </w:r>
    </w:p>
    <w:p w14:paraId="7E1AED6C">
      <w:pPr>
        <w:widowControl/>
        <w:snapToGrid w:val="0"/>
        <w:spacing w:line="520" w:lineRule="exact"/>
        <w:ind w:firstLine="640" w:firstLineChars="200"/>
        <w:rPr>
          <w:rFonts w:hint="eastAsia" w:eastAsia="仿宋_GB2312"/>
          <w:szCs w:val="32"/>
        </w:rPr>
      </w:pPr>
      <w:r>
        <w:rPr>
          <w:rFonts w:hint="eastAsia" w:eastAsia="仿宋_GB2312"/>
          <w:szCs w:val="32"/>
        </w:rPr>
        <w:t>2.1.2性能指标</w:t>
      </w:r>
    </w:p>
    <w:p w14:paraId="747AB0A3">
      <w:pPr>
        <w:pStyle w:val="2"/>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1、凝胶法：性能指标至少包括：温度、时间。</w:t>
      </w:r>
    </w:p>
    <w:p w14:paraId="4EAEB714">
      <w:pPr>
        <w:pStyle w:val="2"/>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2、光度法</w:t>
      </w:r>
    </w:p>
    <w:p w14:paraId="5FF9C517">
      <w:pPr>
        <w:widowControl/>
        <w:spacing w:line="520" w:lineRule="exact"/>
        <w:ind w:firstLine="640" w:firstLineChars="200"/>
        <w:rPr>
          <w:rFonts w:ascii="仿宋_GB2312" w:hAnsi="仿宋_GB2312" w:eastAsia="仿宋_GB2312" w:cs="仿宋_GB2312"/>
          <w:kern w:val="0"/>
          <w:szCs w:val="32"/>
        </w:rPr>
      </w:pPr>
      <w:r>
        <w:rPr>
          <w:rFonts w:hint="eastAsia" w:eastAsia="仿宋_GB2312"/>
          <w:szCs w:val="32"/>
        </w:rPr>
        <w:t>性能指标包括功能性指标、安全性指标，具体至少包括正常工作条件、外观、检测项目、功能、温度准确度和波动度、吸光度或透光率的准确度和精密度、仪器稳定性、临床项目（准确度、重复性）、反应时间一致性（如适用参照JJ/F 1529-2015 （多光源）细菌内毒素分析仪校准规范、JB/T 20184-2017 细菌内毒素测定仪标准要求）、携带污染（如适用）、加样量准确度和重复性（全自动仪器适用）、孔间一致性、连续工作时间、异常报警功能（如超温、反应孔检测异常）、开机自检功能等要求。性</w:t>
      </w:r>
      <w:r>
        <w:rPr>
          <w:rFonts w:hint="eastAsia" w:ascii="仿宋_GB2312" w:hAnsi="仿宋_GB2312" w:eastAsia="仿宋_GB2312" w:cs="仿宋_GB2312"/>
          <w:kern w:val="0"/>
          <w:szCs w:val="32"/>
        </w:rPr>
        <w:t>能指标项目的具体要求应与性能研究资料保持一致，并具有确定的研究资料依据。</w:t>
      </w:r>
    </w:p>
    <w:p w14:paraId="37AB37E3">
      <w:pPr>
        <w:widowControl/>
        <w:spacing w:line="520" w:lineRule="exact"/>
        <w:ind w:firstLine="640" w:firstLineChars="200"/>
        <w:rPr>
          <w:rFonts w:ascii="仿宋_GB2312" w:hAnsi="仿宋_GB2312" w:eastAsia="仿宋_GB2312" w:cs="仿宋_GB2312"/>
          <w:kern w:val="0"/>
          <w:szCs w:val="32"/>
        </w:rPr>
      </w:pPr>
      <w:r>
        <w:rPr>
          <w:rFonts w:hint="eastAsia" w:ascii="仿宋_GB2312" w:hAnsi="仿宋_GB2312" w:eastAsia="仿宋_GB2312" w:cs="仿宋_GB2312"/>
          <w:kern w:val="0"/>
          <w:szCs w:val="32"/>
        </w:rPr>
        <w:t>如产品有额外模块实现额外功能，应增加相应评价指标要求。</w:t>
      </w:r>
    </w:p>
    <w:p w14:paraId="03DE8689">
      <w:pPr>
        <w:widowControl/>
        <w:spacing w:line="520" w:lineRule="exact"/>
        <w:ind w:firstLine="640" w:firstLineChars="200"/>
        <w:rPr>
          <w:rFonts w:eastAsia="仿宋_GB2312"/>
          <w:szCs w:val="32"/>
        </w:rPr>
      </w:pPr>
      <w:r>
        <w:rPr>
          <w:rFonts w:hint="eastAsia" w:eastAsia="仿宋_GB2312"/>
          <w:szCs w:val="32"/>
        </w:rPr>
        <w:t>2</w:t>
      </w:r>
      <w:r>
        <w:rPr>
          <w:rFonts w:eastAsia="仿宋_GB2312"/>
          <w:szCs w:val="32"/>
        </w:rPr>
        <w:t>.1.3安全要求</w:t>
      </w:r>
    </w:p>
    <w:p w14:paraId="22CC33D0">
      <w:pPr>
        <w:widowControl/>
        <w:spacing w:line="520" w:lineRule="exact"/>
        <w:ind w:firstLine="640" w:firstLineChars="200"/>
        <w:rPr>
          <w:rFonts w:eastAsia="仿宋_GB2312"/>
          <w:szCs w:val="32"/>
        </w:rPr>
      </w:pPr>
      <w:r>
        <w:rPr>
          <w:rFonts w:eastAsia="仿宋_GB2312"/>
          <w:szCs w:val="32"/>
        </w:rPr>
        <w:t>符合GB 4793</w:t>
      </w:r>
      <w:r>
        <w:rPr>
          <w:rFonts w:hint="eastAsia" w:eastAsia="仿宋_GB2312"/>
          <w:szCs w:val="32"/>
        </w:rPr>
        <w:t>、GB/T 42125.1</w:t>
      </w:r>
      <w:r>
        <w:rPr>
          <w:rFonts w:eastAsia="仿宋_GB2312"/>
          <w:szCs w:val="32"/>
        </w:rPr>
        <w:t>、</w:t>
      </w:r>
      <w:r>
        <w:rPr>
          <w:rFonts w:hint="eastAsia" w:eastAsia="仿宋_GB2312"/>
          <w:szCs w:val="32"/>
        </w:rPr>
        <w:t>GB/T 42125.2</w:t>
      </w:r>
      <w:r>
        <w:rPr>
          <w:rFonts w:eastAsia="仿宋_GB2312"/>
          <w:szCs w:val="32"/>
        </w:rPr>
        <w:t>、YY</w:t>
      </w:r>
      <w:r>
        <w:rPr>
          <w:rFonts w:hint="eastAsia" w:eastAsia="仿宋_GB2312"/>
          <w:szCs w:val="32"/>
        </w:rPr>
        <w:t>/T</w:t>
      </w:r>
      <w:r>
        <w:rPr>
          <w:rFonts w:eastAsia="仿宋_GB2312"/>
          <w:szCs w:val="32"/>
        </w:rPr>
        <w:t xml:space="preserve"> 0648中适用条款的要求。</w:t>
      </w:r>
    </w:p>
    <w:p w14:paraId="43B14CDC">
      <w:pPr>
        <w:widowControl/>
        <w:spacing w:line="520" w:lineRule="exact"/>
        <w:ind w:firstLine="640" w:firstLineChars="200"/>
        <w:rPr>
          <w:rFonts w:eastAsia="仿宋_GB2312"/>
          <w:szCs w:val="32"/>
        </w:rPr>
      </w:pPr>
      <w:r>
        <w:rPr>
          <w:rFonts w:hint="eastAsia" w:eastAsia="仿宋_GB2312"/>
          <w:szCs w:val="32"/>
        </w:rPr>
        <w:t>2</w:t>
      </w:r>
      <w:r>
        <w:rPr>
          <w:rFonts w:eastAsia="仿宋_GB2312"/>
          <w:szCs w:val="32"/>
        </w:rPr>
        <w:t>.1.4电磁兼容要求</w:t>
      </w:r>
    </w:p>
    <w:p w14:paraId="5BEFF825">
      <w:pPr>
        <w:widowControl/>
        <w:spacing w:line="520" w:lineRule="exact"/>
        <w:ind w:firstLine="640" w:firstLineChars="200"/>
        <w:rPr>
          <w:rFonts w:eastAsia="仿宋_GB2312"/>
          <w:szCs w:val="32"/>
        </w:rPr>
      </w:pPr>
      <w:r>
        <w:rPr>
          <w:rFonts w:eastAsia="仿宋_GB2312"/>
          <w:szCs w:val="32"/>
        </w:rPr>
        <w:t>符合GB/T 18268.1、GB/T 18268.26中适用条款的要求。</w:t>
      </w:r>
    </w:p>
    <w:p w14:paraId="7482C2C2">
      <w:pPr>
        <w:widowControl/>
        <w:snapToGrid w:val="0"/>
        <w:spacing w:line="520" w:lineRule="exact"/>
        <w:ind w:firstLine="640" w:firstLineChars="200"/>
        <w:rPr>
          <w:rFonts w:hint="eastAsia" w:eastAsia="仿宋_GB2312"/>
          <w:szCs w:val="32"/>
        </w:rPr>
      </w:pPr>
      <w:r>
        <w:rPr>
          <w:rFonts w:hint="eastAsia" w:eastAsia="仿宋_GB2312"/>
          <w:szCs w:val="32"/>
        </w:rPr>
        <w:t>2.1.5软件功能要求</w:t>
      </w:r>
    </w:p>
    <w:p w14:paraId="6993EA53">
      <w:pPr>
        <w:widowControl/>
        <w:spacing w:line="520" w:lineRule="exact"/>
        <w:ind w:firstLine="640" w:firstLineChars="200"/>
        <w:rPr>
          <w:rFonts w:eastAsia="仿宋_GB2312"/>
          <w:szCs w:val="32"/>
        </w:rPr>
      </w:pPr>
      <w:r>
        <w:rPr>
          <w:rFonts w:eastAsia="仿宋_GB2312"/>
          <w:szCs w:val="32"/>
        </w:rPr>
        <w:t>参照《医疗器械软件注册审查指导原则（2022年修订版）》的要求，性能指标应明确软件的功能、使用限制、接口、访问控制、运行环境（若适用）等要求。软件的功能应明确软件的全部核心功能（含安全功能）纲要。</w:t>
      </w:r>
    </w:p>
    <w:p w14:paraId="58D7DDDB">
      <w:pPr>
        <w:pStyle w:val="5"/>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2.2产品检验报告</w:t>
      </w:r>
    </w:p>
    <w:p w14:paraId="5D1FEE18">
      <w:pPr>
        <w:tabs>
          <w:tab w:val="left" w:pos="8040"/>
        </w:tabs>
        <w:spacing w:line="520" w:lineRule="exact"/>
        <w:ind w:firstLine="640" w:firstLineChars="200"/>
        <w:rPr>
          <w:rFonts w:ascii="仿宋_GB2312" w:hAnsi="仿宋_GB2312" w:eastAsia="仿宋_GB2312" w:cs="仿宋_GB2312"/>
          <w:szCs w:val="32"/>
        </w:rPr>
      </w:pPr>
      <w:r>
        <w:rPr>
          <w:rFonts w:hint="eastAsia" w:eastAsia="仿宋_GB2312"/>
          <w:szCs w:val="32"/>
        </w:rPr>
        <w:t>2.2.1</w:t>
      </w:r>
      <w:r>
        <w:rPr>
          <w:rFonts w:eastAsia="仿宋_GB2312"/>
          <w:szCs w:val="32"/>
        </w:rPr>
        <w:t>注册申请人应提供产品检验报告，</w:t>
      </w:r>
      <w:r>
        <w:rPr>
          <w:rFonts w:hint="eastAsia" w:ascii="仿宋_GB2312" w:hAnsi="仿宋_GB2312" w:eastAsia="仿宋_GB2312" w:cs="仿宋_GB2312"/>
          <w:color w:val="000000"/>
          <w:szCs w:val="32"/>
        </w:rPr>
        <w:t>可提交申请人出具的自检报告或委托有资质的医疗器械检验机构出具的检验报告</w:t>
      </w:r>
      <w:r>
        <w:rPr>
          <w:rFonts w:hint="eastAsia" w:ascii="仿宋_GB2312" w:hAnsi="仿宋_GB2312" w:eastAsia="仿宋_GB2312" w:cs="仿宋_GB2312"/>
          <w:bCs/>
          <w:color w:val="000000"/>
          <w:szCs w:val="32"/>
        </w:rPr>
        <w:t>。提交自检报告需满足《医疗器械注册自检管理规定》的要求。提交委托检验报告的，委托检验机构应具有相应检验资质，按照《医疗器械检验工作规范》进行检验。</w:t>
      </w:r>
    </w:p>
    <w:p w14:paraId="4F3CDE70">
      <w:pPr>
        <w:spacing w:line="520" w:lineRule="exact"/>
        <w:ind w:firstLine="640" w:firstLineChars="200"/>
        <w:rPr>
          <w:rFonts w:eastAsia="仿宋_GB2312"/>
          <w:szCs w:val="32"/>
        </w:rPr>
      </w:pPr>
      <w:r>
        <w:rPr>
          <w:rFonts w:hint="eastAsia" w:eastAsia="仿宋_GB2312"/>
          <w:szCs w:val="32"/>
        </w:rPr>
        <w:t>2.2.2同一注册单元内所检验的产品应当能够代表本注册单元内其他产品的安全性和有效性。对同一注册单元内代表产品的选取应考虑产品适用范围、性能指标、安全指标、结构组成等，具体原则如下：</w:t>
      </w:r>
    </w:p>
    <w:p w14:paraId="6CF8CDC7">
      <w:pPr>
        <w:spacing w:line="520" w:lineRule="exact"/>
        <w:ind w:firstLine="640" w:firstLineChars="200"/>
        <w:rPr>
          <w:rFonts w:eastAsia="仿宋_GB2312"/>
          <w:szCs w:val="32"/>
        </w:rPr>
      </w:pPr>
      <w:r>
        <w:rPr>
          <w:rFonts w:hint="eastAsia" w:eastAsia="仿宋_GB2312"/>
          <w:szCs w:val="32"/>
        </w:rPr>
        <w:t>2.2.2.1覆盖应按照最不利的原则确定，不能覆盖的差异性应分别进行检测。</w:t>
      </w:r>
    </w:p>
    <w:p w14:paraId="3C36F751">
      <w:pPr>
        <w:spacing w:line="520" w:lineRule="exact"/>
        <w:ind w:firstLine="640" w:firstLineChars="200"/>
        <w:rPr>
          <w:rFonts w:eastAsia="仿宋_GB2312"/>
          <w:szCs w:val="32"/>
        </w:rPr>
      </w:pPr>
      <w:r>
        <w:rPr>
          <w:rFonts w:hint="eastAsia" w:eastAsia="仿宋_GB2312"/>
          <w:szCs w:val="32"/>
        </w:rPr>
        <w:t>2.2.2.2若涉及关键元器件不一致，申请人则应当考虑关键元器件不一致对电气安全性能以及电磁兼容要求的影响。</w:t>
      </w:r>
    </w:p>
    <w:p w14:paraId="0D5A7B3F">
      <w:pPr>
        <w:widowControl/>
        <w:spacing w:line="520" w:lineRule="exact"/>
        <w:ind w:firstLine="640" w:firstLineChars="200"/>
        <w:rPr>
          <w:rFonts w:eastAsia="仿宋_GB2312"/>
          <w:szCs w:val="32"/>
        </w:rPr>
      </w:pPr>
      <w:r>
        <w:rPr>
          <w:rFonts w:hint="eastAsia" w:eastAsia="仿宋_GB2312"/>
          <w:szCs w:val="32"/>
        </w:rPr>
        <w:t>2.2.2.3当没有充足证据能够证明同一注册单元内不同型号规格产品之间电磁兼容性可以覆盖时，应选取每一型号规格产品进行电磁兼容项目检测。</w:t>
      </w:r>
    </w:p>
    <w:p w14:paraId="6D81D6E4">
      <w:pPr>
        <w:widowControl/>
        <w:spacing w:line="520" w:lineRule="exact"/>
        <w:ind w:left="640" w:leftChars="200"/>
      </w:pPr>
      <w:r>
        <w:rPr>
          <w:rFonts w:hint="eastAsia" w:eastAsia="仿宋_GB2312"/>
          <w:szCs w:val="32"/>
        </w:rPr>
        <w:t>对于代表产品的选择，申请人应当提供相关资料予以证明</w:t>
      </w:r>
      <w:r>
        <w:rPr>
          <w:rFonts w:hint="eastAsia" w:ascii="仿宋_GB2312" w:hAnsi="仿宋_GB2312" w:eastAsia="仿宋_GB2312" w:cs="仿宋_GB2312"/>
          <w:kern w:val="0"/>
          <w:szCs w:val="32"/>
        </w:rPr>
        <w:t>。</w:t>
      </w:r>
      <w:r>
        <w:rPr>
          <w:rFonts w:hint="eastAsia" w:eastAsia="仿宋_GB2312"/>
          <w:szCs w:val="32"/>
        </w:rPr>
        <w:t>3.研究资料</w:t>
      </w:r>
    </w:p>
    <w:p w14:paraId="6B845FAC">
      <w:pPr>
        <w:widowControl/>
        <w:snapToGrid w:val="0"/>
        <w:spacing w:line="520" w:lineRule="exact"/>
        <w:ind w:firstLine="640" w:firstLineChars="200"/>
        <w:rPr>
          <w:rFonts w:hint="eastAsia" w:eastAsia="仿宋_GB2312"/>
          <w:szCs w:val="32"/>
        </w:rPr>
      </w:pPr>
      <w:r>
        <w:rPr>
          <w:rFonts w:hint="eastAsia" w:eastAsia="仿宋_GB2312"/>
          <w:szCs w:val="32"/>
        </w:rPr>
        <w:t>3.1产品性能研究资料</w:t>
      </w:r>
    </w:p>
    <w:p w14:paraId="57481451">
      <w:pPr>
        <w:widowControl/>
        <w:snapToGrid w:val="0"/>
        <w:spacing w:line="520" w:lineRule="exact"/>
        <w:ind w:firstLine="640" w:firstLineChars="200"/>
        <w:rPr>
          <w:rFonts w:hint="eastAsia" w:eastAsia="仿宋_GB2312"/>
          <w:szCs w:val="32"/>
        </w:rPr>
      </w:pPr>
      <w:r>
        <w:rPr>
          <w:rFonts w:hint="eastAsia" w:eastAsia="仿宋_GB2312"/>
          <w:szCs w:val="32"/>
        </w:rPr>
        <w:t>3.1.1功能性指标研究资料</w:t>
      </w:r>
    </w:p>
    <w:p w14:paraId="770824FE">
      <w:pPr>
        <w:widowControl/>
        <w:spacing w:line="520" w:lineRule="exact"/>
        <w:ind w:firstLine="320" w:firstLineChars="100"/>
        <w:rPr>
          <w:rFonts w:eastAsia="仿宋_GB2312"/>
          <w:szCs w:val="32"/>
        </w:rPr>
      </w:pPr>
      <w:r>
        <w:rPr>
          <w:rFonts w:hint="eastAsia" w:eastAsia="仿宋_GB2312"/>
          <w:color w:val="00B0F0"/>
          <w:szCs w:val="32"/>
        </w:rPr>
        <w:t xml:space="preserve">  </w:t>
      </w:r>
      <w:r>
        <w:rPr>
          <w:rFonts w:hint="eastAsia" w:eastAsia="仿宋_GB2312"/>
          <w:szCs w:val="32"/>
        </w:rPr>
        <w:t>应根据综述资料中有关申报产品结构组成和各主要组成模块的情况，提供详细的研究资料。至少应包括对加样模块（如有）、</w:t>
      </w:r>
      <w:r>
        <w:rPr>
          <w:rFonts w:hint="eastAsia" w:eastAsia="仿宋_GB2312"/>
          <w:spacing w:val="-6"/>
          <w:szCs w:val="32"/>
        </w:rPr>
        <w:t>光道模块、自动恒温器模块、控温模</w:t>
      </w:r>
      <w:r>
        <w:rPr>
          <w:rFonts w:hint="eastAsia" w:eastAsia="仿宋_GB2312"/>
          <w:szCs w:val="32"/>
        </w:rPr>
        <w:t>块的功能性指标或者模块中主要元器件功能性指标的研究资料。如适用，产品控温模块应至少进行温度准确度和波动度指标、孔间温度差异的研究；光道模块应至少进行吸光度或透光率一致性和零点漂移的研究，建议进行波长准确度和半峰宽度的研究；建议进行反应时间一致性的研究。全自动仪器应至少进行对加样装置的功能性指标的研究，如加样准确度和重复性等。</w:t>
      </w:r>
    </w:p>
    <w:p w14:paraId="6538A981">
      <w:pPr>
        <w:widowControl/>
        <w:snapToGrid w:val="0"/>
        <w:spacing w:line="520" w:lineRule="exact"/>
        <w:ind w:firstLine="640" w:firstLineChars="200"/>
        <w:rPr>
          <w:rFonts w:hint="eastAsia" w:eastAsia="仿宋_GB2312"/>
          <w:szCs w:val="32"/>
        </w:rPr>
      </w:pPr>
      <w:r>
        <w:rPr>
          <w:rFonts w:hint="eastAsia" w:eastAsia="仿宋_GB2312"/>
          <w:szCs w:val="32"/>
        </w:rPr>
        <w:t>3.1.2临床项目分析性能研究资料</w:t>
      </w:r>
    </w:p>
    <w:p w14:paraId="638E2CC3">
      <w:pPr>
        <w:widowControl/>
        <w:spacing w:line="520" w:lineRule="exact"/>
        <w:ind w:firstLine="640" w:firstLineChars="200"/>
        <w:rPr>
          <w:rFonts w:eastAsia="仿宋_GB2312"/>
          <w:szCs w:val="32"/>
          <w:highlight w:val="yellow"/>
        </w:rPr>
      </w:pPr>
      <w:r>
        <w:rPr>
          <w:rFonts w:hint="eastAsia" w:eastAsia="仿宋_GB2312"/>
          <w:szCs w:val="32"/>
        </w:rPr>
        <w:t>建议申请人综合考虑申报产品的适用范围、可检测临床样本类型和可检测的项目，选择检测项目最全的型号，对产品可检测的所有临床样本类型进行研究。研究资料应结合配套试剂，对主要性能进行系统性评估，包括但不限于重复性、准确度、线性、分析灵敏度、最低检测限等。</w:t>
      </w:r>
    </w:p>
    <w:p w14:paraId="51E440A5">
      <w:pPr>
        <w:widowControl/>
        <w:snapToGrid w:val="0"/>
        <w:spacing w:line="520" w:lineRule="exact"/>
        <w:ind w:firstLine="640" w:firstLineChars="200"/>
        <w:rPr>
          <w:rFonts w:hint="eastAsia" w:eastAsia="仿宋_GB2312"/>
          <w:szCs w:val="32"/>
        </w:rPr>
      </w:pPr>
      <w:r>
        <w:rPr>
          <w:rFonts w:hint="eastAsia" w:eastAsia="仿宋_GB2312"/>
          <w:szCs w:val="32"/>
        </w:rPr>
        <w:t>3.1.3安全性指标研究资料</w:t>
      </w:r>
    </w:p>
    <w:p w14:paraId="5C742036">
      <w:pPr>
        <w:widowControl/>
        <w:spacing w:line="520" w:lineRule="exact"/>
        <w:ind w:firstLine="640" w:firstLineChars="200"/>
        <w:rPr>
          <w:rFonts w:eastAsia="仿宋_GB2312"/>
          <w:szCs w:val="32"/>
        </w:rPr>
      </w:pPr>
      <w:r>
        <w:rPr>
          <w:rFonts w:hint="eastAsia"/>
        </w:rPr>
        <w:t>包括电气安全指标和电磁兼容指标两大类。电气安全指标</w:t>
      </w:r>
      <w:r>
        <w:rPr>
          <w:rFonts w:hint="eastAsia" w:eastAsia="仿宋_GB2312"/>
          <w:szCs w:val="32"/>
        </w:rPr>
        <w:t>应当包括</w:t>
      </w:r>
      <w:r>
        <w:rPr>
          <w:rFonts w:eastAsia="仿宋_GB2312"/>
          <w:szCs w:val="32"/>
        </w:rPr>
        <w:t>GB 4793</w:t>
      </w:r>
      <w:r>
        <w:rPr>
          <w:rFonts w:hint="eastAsia" w:eastAsia="仿宋_GB2312"/>
          <w:szCs w:val="32"/>
        </w:rPr>
        <w:t>、GB/T 42125.1</w:t>
      </w:r>
      <w:r>
        <w:rPr>
          <w:rFonts w:eastAsia="仿宋_GB2312"/>
          <w:szCs w:val="32"/>
        </w:rPr>
        <w:t>、</w:t>
      </w:r>
      <w:r>
        <w:rPr>
          <w:rFonts w:hint="eastAsia" w:eastAsia="仿宋_GB2312"/>
          <w:szCs w:val="32"/>
        </w:rPr>
        <w:t>GB/T 42125.2、YY/T 0648及其他适用的国家标准和行业标准中的所有指标，电磁兼容指标应当包括GB/T 18268.1和GB/T 18268.26及其他适用的国家标准和行业标准中的所有指标，应提交对上述项目的研究和验证资料。</w:t>
      </w:r>
    </w:p>
    <w:p w14:paraId="3E182D55">
      <w:pPr>
        <w:spacing w:line="500" w:lineRule="exact"/>
        <w:ind w:right="-102" w:rightChars="-32" w:firstLine="640" w:firstLineChars="200"/>
        <w:rPr>
          <w:rFonts w:eastAsia="仿宋_GB2312"/>
          <w:szCs w:val="32"/>
        </w:rPr>
      </w:pPr>
      <w:r>
        <w:rPr>
          <w:rFonts w:hint="eastAsia" w:eastAsia="仿宋_GB2312"/>
          <w:szCs w:val="32"/>
        </w:rPr>
        <w:t>3.1.4环境条件对产品性能指标无显著影响的研究资料</w:t>
      </w:r>
    </w:p>
    <w:p w14:paraId="5A818CDD">
      <w:pPr>
        <w:spacing w:line="500" w:lineRule="exact"/>
        <w:ind w:right="-102" w:rightChars="-32" w:firstLine="640" w:firstLineChars="200"/>
        <w:rPr>
          <w:rFonts w:eastAsia="仿宋_GB2312"/>
          <w:szCs w:val="32"/>
        </w:rPr>
      </w:pPr>
      <w:r>
        <w:rPr>
          <w:rFonts w:hint="eastAsia" w:eastAsia="仿宋_GB2312"/>
          <w:szCs w:val="32"/>
        </w:rPr>
        <w:t>主要包括气候环境条件、机械环境条件、运输条件等，可参考GB/T 14710《医用电器环境要求及试验方法》及其他适用的标准。申请人应对上述项目进行研究，并提交相应的研究报告。</w:t>
      </w:r>
    </w:p>
    <w:p w14:paraId="67828262">
      <w:pPr>
        <w:spacing w:line="500" w:lineRule="exact"/>
        <w:ind w:right="-102" w:rightChars="-32" w:firstLine="640" w:firstLineChars="200"/>
        <w:rPr>
          <w:rFonts w:eastAsia="仿宋_GB2312"/>
          <w:szCs w:val="32"/>
        </w:rPr>
      </w:pPr>
      <w:r>
        <w:rPr>
          <w:rFonts w:hint="eastAsia" w:eastAsia="仿宋_GB2312"/>
          <w:szCs w:val="32"/>
        </w:rPr>
        <w:t>正常工作环境以产品标称为准，但需经相应环境试验验证。明确标识供电类型、电压。</w:t>
      </w:r>
    </w:p>
    <w:p w14:paraId="42730D51">
      <w:pPr>
        <w:widowControl/>
        <w:snapToGrid w:val="0"/>
        <w:spacing w:line="520" w:lineRule="exact"/>
        <w:ind w:firstLine="640" w:firstLineChars="200"/>
        <w:rPr>
          <w:rFonts w:hint="eastAsia" w:eastAsia="仿宋_GB2312"/>
          <w:szCs w:val="32"/>
        </w:rPr>
      </w:pPr>
      <w:r>
        <w:rPr>
          <w:rFonts w:hint="eastAsia" w:eastAsia="仿宋_GB2312"/>
          <w:szCs w:val="32"/>
        </w:rPr>
        <w:t>3.2软件研究</w:t>
      </w:r>
    </w:p>
    <w:p w14:paraId="5C60FB49">
      <w:pPr>
        <w:spacing w:line="520" w:lineRule="exact"/>
        <w:ind w:firstLine="640" w:firstLineChars="200"/>
        <w:rPr>
          <w:rFonts w:eastAsia="仿宋_GB2312"/>
          <w:szCs w:val="32"/>
        </w:rPr>
      </w:pPr>
      <w:r>
        <w:rPr>
          <w:rFonts w:hint="eastAsia" w:eastAsia="仿宋_GB2312"/>
          <w:szCs w:val="32"/>
        </w:rPr>
        <w:t>应按照《医疗器械软件注册审查指导原则（2022年修订版）》要求提供软件研究资料、外部软件环境评估报告（若适用）以及GB/T 25000.51自测报告</w:t>
      </w:r>
      <w:r>
        <w:rPr>
          <w:rFonts w:eastAsia="仿宋_GB2312"/>
          <w:szCs w:val="32"/>
        </w:rPr>
        <w:t>。</w:t>
      </w:r>
      <w:r>
        <w:rPr>
          <w:rFonts w:hint="eastAsia" w:eastAsia="仿宋_GB2312"/>
          <w:szCs w:val="32"/>
        </w:rPr>
        <w:t>软件研究资料的内容包括基本信息、实现过程、核心功能、结论等内容，详尽程度取决于软件安全性级别（严重、中等、轻微）。</w:t>
      </w:r>
    </w:p>
    <w:p w14:paraId="0F4A55C2">
      <w:pPr>
        <w:pStyle w:val="5"/>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3.3网络安全研究</w:t>
      </w:r>
    </w:p>
    <w:p w14:paraId="6650526C">
      <w:pPr>
        <w:widowControl/>
        <w:spacing w:line="520" w:lineRule="exact"/>
        <w:ind w:firstLine="640" w:firstLineChars="200"/>
        <w:rPr>
          <w:rFonts w:eastAsia="仿宋_GB2312"/>
          <w:szCs w:val="32"/>
        </w:rPr>
      </w:pPr>
      <w:r>
        <w:rPr>
          <w:rFonts w:hint="eastAsia" w:eastAsia="仿宋_GB2312"/>
          <w:szCs w:val="32"/>
        </w:rPr>
        <w:t>应参照《医疗器械网络安全注册审查指导原则（2022年修订版）》的相关要求。具备电子数据交换、远程控制或用户访问功能的含有软件组件的产品，应当提供网络安全研究资料，包括基本信息、实现过程、漏洞评估、结论等内容，详尽程度取决于软件安全性级别。</w:t>
      </w:r>
    </w:p>
    <w:p w14:paraId="17F802E9">
      <w:pPr>
        <w:widowControl/>
        <w:snapToGrid w:val="0"/>
        <w:spacing w:line="520" w:lineRule="exact"/>
        <w:ind w:firstLine="640" w:firstLineChars="200"/>
        <w:rPr>
          <w:rFonts w:hint="eastAsia" w:eastAsia="仿宋_GB2312"/>
          <w:szCs w:val="32"/>
        </w:rPr>
      </w:pPr>
      <w:r>
        <w:rPr>
          <w:rFonts w:hint="eastAsia" w:eastAsia="仿宋_GB2312"/>
          <w:szCs w:val="32"/>
        </w:rPr>
        <w:t>3.4清洁、消毒研究</w:t>
      </w:r>
    </w:p>
    <w:p w14:paraId="14C92B65">
      <w:pPr>
        <w:widowControl/>
        <w:spacing w:line="520" w:lineRule="exact"/>
        <w:ind w:firstLine="640" w:firstLineChars="200"/>
        <w:rPr>
          <w:rFonts w:eastAsia="仿宋_GB2312"/>
          <w:szCs w:val="32"/>
        </w:rPr>
      </w:pPr>
      <w:r>
        <w:rPr>
          <w:rFonts w:hint="eastAsia" w:eastAsia="仿宋_GB2312"/>
          <w:szCs w:val="32"/>
        </w:rPr>
        <w:t>应当明确推荐的清洁和消毒方法及确定依据，并提交验证的相关研究资料。</w:t>
      </w:r>
    </w:p>
    <w:p w14:paraId="25283D17">
      <w:pPr>
        <w:pStyle w:val="5"/>
      </w:pPr>
      <w:r>
        <w:rPr>
          <w:rFonts w:hint="eastAsia"/>
        </w:rPr>
        <w:t>3.5稳定性研究</w:t>
      </w:r>
    </w:p>
    <w:p w14:paraId="66189D29">
      <w:pPr>
        <w:spacing w:line="520" w:lineRule="exact"/>
        <w:ind w:firstLine="640" w:firstLineChars="200"/>
        <w:rPr>
          <w:rFonts w:eastAsia="仿宋_GB2312"/>
          <w:szCs w:val="32"/>
        </w:rPr>
      </w:pPr>
      <w:r>
        <w:rPr>
          <w:rFonts w:hint="eastAsia" w:eastAsia="仿宋_GB2312"/>
          <w:szCs w:val="32"/>
        </w:rPr>
        <w:t>3.5.1使用稳定性</w:t>
      </w:r>
    </w:p>
    <w:p w14:paraId="63B5C22C">
      <w:pPr>
        <w:spacing w:line="520" w:lineRule="exact"/>
        <w:ind w:firstLine="640" w:firstLineChars="200"/>
        <w:rPr>
          <w:rFonts w:eastAsia="仿宋_GB2312"/>
          <w:szCs w:val="32"/>
        </w:rPr>
      </w:pPr>
      <w:r>
        <w:rPr>
          <w:rFonts w:eastAsia="仿宋_GB2312"/>
          <w:szCs w:val="32"/>
        </w:rPr>
        <w:t>应参照《有源医疗器械使用期限注册技术审查指导原则》的相关要求。</w:t>
      </w:r>
    </w:p>
    <w:p w14:paraId="05828EB7">
      <w:pPr>
        <w:spacing w:line="520" w:lineRule="exact"/>
        <w:ind w:firstLine="640"/>
        <w:rPr>
          <w:rFonts w:eastAsia="仿宋_GB2312"/>
          <w:szCs w:val="32"/>
        </w:rPr>
      </w:pPr>
      <w:r>
        <w:rPr>
          <w:rFonts w:hint="eastAsia" w:eastAsia="仿宋_GB2312"/>
          <w:szCs w:val="32"/>
        </w:rPr>
        <w:t>应对申报产品中包含的易耗、易损、需定期更换或者具有固定使用寿命的主要元器件的情况进行详细描述。详述确定产品使用期限的具体理由和相关验证数据，给出产品使用期限。主要元器件一般包括信号采集装置、熔断器、电源变压器、电机、光源等部件。</w:t>
      </w:r>
    </w:p>
    <w:p w14:paraId="202890D4">
      <w:pPr>
        <w:widowControl/>
        <w:snapToGrid w:val="0"/>
        <w:spacing w:line="520" w:lineRule="exact"/>
        <w:ind w:firstLine="640" w:firstLineChars="200"/>
        <w:rPr>
          <w:rFonts w:hint="eastAsia" w:eastAsia="仿宋_GB2312"/>
          <w:szCs w:val="32"/>
        </w:rPr>
      </w:pPr>
      <w:r>
        <w:rPr>
          <w:rFonts w:hint="eastAsia" w:eastAsia="仿宋_GB2312"/>
          <w:szCs w:val="32"/>
        </w:rPr>
        <w:t>3.5.2运输稳定性</w:t>
      </w:r>
    </w:p>
    <w:p w14:paraId="62AD7B76">
      <w:pPr>
        <w:spacing w:line="520" w:lineRule="exact"/>
        <w:ind w:firstLine="640" w:firstLineChars="200"/>
        <w:rPr>
          <w:rFonts w:eastAsia="仿宋_GB2312"/>
          <w:szCs w:val="32"/>
        </w:rPr>
      </w:pPr>
      <w:r>
        <w:rPr>
          <w:rFonts w:eastAsia="仿宋_GB2312"/>
          <w:szCs w:val="32"/>
        </w:rPr>
        <w:t>需提交运输稳定性验证资料，证明在规定的运输条件下，运输过程中环境条件（例如：</w:t>
      </w:r>
      <w:r>
        <w:rPr>
          <w:rFonts w:hint="eastAsia" w:eastAsia="仿宋_GB2312"/>
          <w:szCs w:val="32"/>
        </w:rPr>
        <w:t>振动</w:t>
      </w:r>
      <w:r>
        <w:rPr>
          <w:rFonts w:eastAsia="仿宋_GB2312"/>
          <w:szCs w:val="32"/>
        </w:rPr>
        <w:t>、温度和湿度的波动）不会对医疗器械的特性和性能，包括完整性和清洁度，造成不利影响。可参考GB/T 14710的要求进行研究。注册申请人应结合声称的储运条件开展包装和环境试验研究，并论述研究设置的合理性。应在申请人所声称的储运条件下进行性能测试，证明运输和环境测试后产品能够保持其完整性和功能性。</w:t>
      </w:r>
    </w:p>
    <w:p w14:paraId="69C9A04E">
      <w:pPr>
        <w:pStyle w:val="5"/>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3.6可用性工程</w:t>
      </w:r>
    </w:p>
    <w:p w14:paraId="107FA97A">
      <w:pPr>
        <w:spacing w:line="520" w:lineRule="exact"/>
        <w:ind w:firstLine="640" w:firstLineChars="200"/>
        <w:rPr>
          <w:rFonts w:eastAsia="仿宋_GB2312"/>
          <w:szCs w:val="32"/>
        </w:rPr>
      </w:pPr>
      <w:r>
        <w:rPr>
          <w:rFonts w:hint="eastAsia" w:eastAsia="仿宋_GB2312"/>
          <w:szCs w:val="32"/>
        </w:rPr>
        <w:t>细菌内毒素检测仪器</w:t>
      </w:r>
      <w:r>
        <w:rPr>
          <w:rFonts w:eastAsia="仿宋_GB2312"/>
          <w:szCs w:val="32"/>
        </w:rPr>
        <w:t>属于中、低使用风险医疗器械，建议参考《医疗器械可用性</w:t>
      </w:r>
      <w:r>
        <w:rPr>
          <w:rFonts w:hint="eastAsia" w:eastAsia="仿宋_GB2312"/>
          <w:szCs w:val="32"/>
        </w:rPr>
        <w:t>工程</w:t>
      </w:r>
      <w:r>
        <w:rPr>
          <w:rFonts w:eastAsia="仿宋_GB2312"/>
          <w:szCs w:val="32"/>
        </w:rPr>
        <w:t>注册审查指导原则》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14:paraId="507B89B2">
      <w:pPr>
        <w:pStyle w:val="5"/>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3.7其他资料</w:t>
      </w:r>
    </w:p>
    <w:p w14:paraId="20FDA182">
      <w:pPr>
        <w:spacing w:line="520" w:lineRule="exact"/>
        <w:ind w:firstLine="640" w:firstLineChars="200"/>
        <w:rPr>
          <w:rFonts w:eastAsia="仿宋_GB2312"/>
          <w:szCs w:val="32"/>
        </w:rPr>
      </w:pPr>
      <w:r>
        <w:rPr>
          <w:rFonts w:hint="eastAsia" w:eastAsia="仿宋_GB2312"/>
          <w:szCs w:val="32"/>
        </w:rPr>
        <w:t>细菌内毒素检测仪器属于列入《免于进行临床评价的医疗器械目录》（以下简称“目录”）中的产品，应按照《列入免于临床评价医疗器械目录产品对比说明技术指导原则》的要求，从基本原理、结构组成、性能、安全性、适用范围等方面，证明产品的安全有效性。</w:t>
      </w:r>
    </w:p>
    <w:p w14:paraId="3C1A74C5">
      <w:pPr>
        <w:pStyle w:val="4"/>
      </w:pPr>
      <w:r>
        <w:t>（四）临床评价资料</w:t>
      </w:r>
    </w:p>
    <w:p w14:paraId="1D3BBB7B">
      <w:pPr>
        <w:spacing w:line="520" w:lineRule="exact"/>
        <w:ind w:firstLine="640" w:firstLineChars="200"/>
        <w:rPr>
          <w:rFonts w:eastAsia="仿宋_GB2312"/>
          <w:szCs w:val="32"/>
        </w:rPr>
      </w:pPr>
      <w:r>
        <w:rPr>
          <w:rFonts w:eastAsia="仿宋_GB2312"/>
          <w:szCs w:val="32"/>
        </w:rPr>
        <w:t>该产品列入《免于临床评价医疗器械目录》，申请人无需提交临床评价资料。若无法证明申报产品与</w:t>
      </w:r>
      <w:r>
        <w:rPr>
          <w:rFonts w:hint="eastAsia" w:eastAsia="仿宋_GB2312"/>
          <w:szCs w:val="32"/>
        </w:rPr>
        <w:t>“目录”</w:t>
      </w:r>
      <w:r>
        <w:rPr>
          <w:rFonts w:eastAsia="仿宋_GB2312"/>
          <w:szCs w:val="32"/>
        </w:rPr>
        <w:t>所述的产品具有等同性，则应按照《医疗器械临床评价技术指导原则》提交临床评价资料。</w:t>
      </w:r>
    </w:p>
    <w:p w14:paraId="79F5145A">
      <w:pPr>
        <w:pStyle w:val="4"/>
      </w:pPr>
      <w:r>
        <w:rPr>
          <w:rFonts w:hint="eastAsia"/>
        </w:rPr>
        <w:t>（五）产品说明书和标签样稿</w:t>
      </w:r>
    </w:p>
    <w:p w14:paraId="668DD89C">
      <w:pPr>
        <w:widowControl/>
        <w:snapToGrid w:val="0"/>
        <w:spacing w:line="520" w:lineRule="exact"/>
        <w:ind w:firstLine="640" w:firstLineChars="200"/>
        <w:rPr>
          <w:rFonts w:eastAsia="仿宋_GB2312"/>
          <w:szCs w:val="32"/>
        </w:rPr>
      </w:pPr>
      <w:r>
        <w:rPr>
          <w:rFonts w:hint="eastAsia" w:eastAsia="仿宋_GB2312"/>
          <w:szCs w:val="32"/>
        </w:rPr>
        <w:t>1.产品说明书</w:t>
      </w:r>
    </w:p>
    <w:p w14:paraId="2FA1E3E8">
      <w:pPr>
        <w:spacing w:line="520" w:lineRule="exact"/>
        <w:ind w:firstLine="640" w:firstLineChars="200"/>
        <w:rPr>
          <w:rFonts w:ascii="仿宋_GB2312" w:hAnsi="仿宋_GB2312" w:eastAsia="仿宋_GB2312" w:cs="仿宋_GB2312"/>
          <w:kern w:val="0"/>
          <w:szCs w:val="32"/>
        </w:rPr>
      </w:pPr>
      <w:r>
        <w:rPr>
          <w:rFonts w:hint="eastAsia" w:eastAsia="仿宋_GB2312"/>
          <w:szCs w:val="32"/>
        </w:rPr>
        <w:t>产品说明书应符合《医疗器械说明书和标签管理规定》</w:t>
      </w:r>
      <w:r>
        <w:rPr>
          <w:rFonts w:eastAsia="仿宋_GB2312"/>
          <w:szCs w:val="32"/>
        </w:rPr>
        <w:t>和YY/T 0466.1中的相关要求</w:t>
      </w:r>
      <w:r>
        <w:rPr>
          <w:rFonts w:hint="eastAsia" w:eastAsia="仿宋_GB2312"/>
          <w:szCs w:val="32"/>
        </w:rPr>
        <w:t>。</w:t>
      </w:r>
      <w:r>
        <w:rPr>
          <w:rFonts w:hint="eastAsia" w:ascii="仿宋_GB2312" w:hAnsi="仿宋_GB2312" w:eastAsia="仿宋_GB2312" w:cs="仿宋_GB2312"/>
          <w:kern w:val="0"/>
          <w:szCs w:val="32"/>
        </w:rPr>
        <w:t>产品说明书的内容均应有明确的来源，与综述资料、研究资料等注册申报资料的内容保持一致。结合产品特点重点关注以下内容：</w:t>
      </w:r>
    </w:p>
    <w:p w14:paraId="545C3BD5">
      <w:pPr>
        <w:spacing w:line="520" w:lineRule="exact"/>
        <w:ind w:firstLine="640" w:firstLineChars="200"/>
        <w:rPr>
          <w:rFonts w:ascii="仿宋_GB2312" w:hAnsi="仿宋_GB2312" w:eastAsia="仿宋_GB2312" w:cs="仿宋_GB2312"/>
          <w:kern w:val="0"/>
          <w:szCs w:val="32"/>
        </w:rPr>
      </w:pPr>
      <w:r>
        <w:rPr>
          <w:rFonts w:hint="eastAsia" w:ascii="仿宋_GB2312" w:hAnsi="仿宋_GB2312" w:eastAsia="仿宋_GB2312" w:cs="仿宋_GB2312"/>
          <w:kern w:val="0"/>
          <w:szCs w:val="32"/>
        </w:rPr>
        <w:t>主要结构组成：建议以实物照片/示意图加文字的形式对申报产品的整体结构进行描述，标明各主要模块的名称（应包含软件组件，并注明软件组件的名称、型号规格和发布版本）。建议以实物照片/透视图/俯视图/剖面图加文字的形式对各主要模块逐一进行描述，标明每一主要模块的主要组成结构和主要元器件的名称，对于重要元器件或功能零部件，建议单独进行描述。</w:t>
      </w:r>
    </w:p>
    <w:p w14:paraId="7D4C068C">
      <w:pPr>
        <w:spacing w:line="520" w:lineRule="exact"/>
        <w:ind w:firstLine="640" w:firstLineChars="200"/>
        <w:rPr>
          <w:rFonts w:ascii="仿宋_GB2312" w:hAnsi="仿宋_GB2312" w:eastAsia="仿宋_GB2312" w:cs="仿宋_GB2312"/>
          <w:kern w:val="0"/>
          <w:szCs w:val="32"/>
        </w:rPr>
      </w:pPr>
      <w:r>
        <w:rPr>
          <w:rFonts w:hint="eastAsia" w:ascii="仿宋_GB2312" w:hAnsi="仿宋_GB2312" w:eastAsia="仿宋_GB2312" w:cs="仿宋_GB2312"/>
          <w:kern w:val="0"/>
          <w:szCs w:val="32"/>
        </w:rPr>
        <w:t>性能指标建议写明以下内容：产品基本参数（主机尺寸、整机重量等）、正常工作条件（温度、湿度、大气压力、电源要求）、电气安全（瞬态过压类别、污染等级）、电磁兼容信息（分组、分类）、</w:t>
      </w:r>
      <w:r>
        <w:rPr>
          <w:rFonts w:hint="eastAsia" w:eastAsia="仿宋_GB2312"/>
          <w:szCs w:val="32"/>
        </w:rPr>
        <w:t>检测项目、功能、温度准确度和波动度、透光度、精密度（光度法适用）、临床项目（准确度、重复性、稳定性）、反应时间一致性、样本携带污染、加样量准确度和重复性（全自动仪器适用）、孔间一致性、连续工作时间、</w:t>
      </w:r>
      <w:r>
        <w:rPr>
          <w:rFonts w:hint="eastAsia" w:ascii="仿宋_GB2312" w:hAnsi="仿宋_GB2312" w:eastAsia="仿宋_GB2312" w:cs="仿宋_GB2312"/>
          <w:kern w:val="0"/>
          <w:szCs w:val="32"/>
        </w:rPr>
        <w:t>产品功能、软件等。</w:t>
      </w:r>
    </w:p>
    <w:p w14:paraId="757AF951">
      <w:pPr>
        <w:spacing w:line="52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根据《医疗器械软件注册审查指导原则（2022年修订版）》，说明书需体现软件的功能、使用限制、输入输出数据类型、必备软硬件、最大并发数、接口、访问控制、运行环境（若适用）、性能效率（若适用）等信息，明确软件发布版本。</w:t>
      </w:r>
    </w:p>
    <w:p w14:paraId="4A9BA208">
      <w:pPr>
        <w:spacing w:line="52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根据《医疗器械网络安全注册审查指导原则（2022年修订版）》，说明书需提供网络安全</w:t>
      </w:r>
      <w:r>
        <w:rPr>
          <w:rFonts w:hint="eastAsia" w:ascii="仿宋_GB2312" w:hAnsi="仿宋_GB2312" w:eastAsia="仿宋_GB2312" w:cs="仿宋_GB2312"/>
          <w:szCs w:val="32"/>
          <w:lang w:val="en-AU"/>
        </w:rPr>
        <w:t>说明</w:t>
      </w:r>
      <w:r>
        <w:rPr>
          <w:rFonts w:hint="eastAsia" w:ascii="仿宋_GB2312" w:hAnsi="仿宋_GB2312" w:eastAsia="仿宋_GB2312" w:cs="仿宋_GB2312"/>
          <w:szCs w:val="32"/>
        </w:rPr>
        <w:t>和使用指导，明确用户访问控制机制、电子接口（含网络接口、电子数据交换接口）及其数据类型和技术特征、网络安全特征配置、数据备份与灾难恢复、运行环境（含硬件配置、外部软件环境、网络环境，若适用）、安全软件兼容性列表（若适用）、外部软件环境与安全软件更新（若适用）、现成软件清单（SBOM，若适用）等要求。</w:t>
      </w:r>
    </w:p>
    <w:p w14:paraId="14E7E64D">
      <w:pPr>
        <w:widowControl/>
        <w:snapToGrid w:val="0"/>
        <w:spacing w:line="520" w:lineRule="exact"/>
        <w:ind w:firstLine="640" w:firstLineChars="200"/>
        <w:rPr>
          <w:rFonts w:eastAsia="仿宋_GB2312"/>
          <w:szCs w:val="32"/>
        </w:rPr>
      </w:pPr>
      <w:r>
        <w:rPr>
          <w:rFonts w:hint="eastAsia" w:eastAsia="仿宋_GB2312"/>
          <w:szCs w:val="32"/>
        </w:rPr>
        <w:t>2.标签样稿</w:t>
      </w:r>
    </w:p>
    <w:p w14:paraId="427ACEE1">
      <w:pPr>
        <w:spacing w:line="520" w:lineRule="exact"/>
        <w:ind w:firstLine="640" w:firstLineChars="200"/>
        <w:rPr>
          <w:rFonts w:eastAsia="仿宋_GB2312"/>
          <w:szCs w:val="32"/>
        </w:rPr>
      </w:pPr>
      <w:r>
        <w:rPr>
          <w:rFonts w:hint="eastAsia" w:ascii="仿宋_GB2312" w:hAnsi="仿宋_GB2312" w:eastAsia="仿宋_GB2312" w:cs="仿宋_GB2312"/>
          <w:kern w:val="0"/>
          <w:szCs w:val="32"/>
        </w:rPr>
        <w:t>应当符合《医疗器械说明书和标签管理规定》的要求，其内容应当至少包括第十</w:t>
      </w:r>
      <w:bookmarkStart w:id="1" w:name="参3"/>
      <w:bookmarkEnd w:id="1"/>
      <w:bookmarkStart w:id="2" w:name="参5"/>
      <w:bookmarkEnd w:id="2"/>
      <w:bookmarkStart w:id="3" w:name="参2"/>
      <w:bookmarkEnd w:id="3"/>
      <w:bookmarkStart w:id="4" w:name="GongKaiShuXingΩ1"/>
      <w:bookmarkEnd w:id="4"/>
      <w:bookmarkStart w:id="5" w:name="参6"/>
      <w:bookmarkEnd w:id="5"/>
      <w:bookmarkStart w:id="6" w:name="参1"/>
      <w:bookmarkEnd w:id="6"/>
      <w:bookmarkStart w:id="7" w:name="参4"/>
      <w:bookmarkEnd w:id="7"/>
      <w:bookmarkStart w:id="8" w:name="YinFaRiQiΩ1"/>
      <w:bookmarkEnd w:id="8"/>
      <w:bookmarkStart w:id="9" w:name="QianFaShiJianΩ1"/>
      <w:bookmarkEnd w:id="9"/>
      <w:r>
        <w:rPr>
          <w:rFonts w:hint="eastAsia" w:ascii="仿宋_GB2312" w:hAnsi="仿宋_GB2312" w:eastAsia="仿宋_GB2312" w:cs="仿宋_GB2312"/>
          <w:kern w:val="0"/>
          <w:szCs w:val="32"/>
        </w:rPr>
        <w:t>三条规定的所有适用内容。</w:t>
      </w:r>
    </w:p>
    <w:p w14:paraId="0DBC2EB6">
      <w:pPr>
        <w:pStyle w:val="4"/>
      </w:pPr>
      <w:r>
        <w:rPr>
          <w:rFonts w:hint="eastAsia"/>
        </w:rPr>
        <w:t>（六）质量管理体系文件</w:t>
      </w:r>
    </w:p>
    <w:p w14:paraId="01E9C353">
      <w:pPr>
        <w:spacing w:line="520" w:lineRule="exact"/>
        <w:ind w:firstLine="640" w:firstLineChars="200"/>
        <w:rPr>
          <w:rFonts w:eastAsia="仿宋_GB2312"/>
          <w:szCs w:val="32"/>
        </w:rPr>
      </w:pPr>
      <w:r>
        <w:rPr>
          <w:rFonts w:hint="eastAsia" w:eastAsia="仿宋_GB2312"/>
          <w:szCs w:val="32"/>
        </w:rPr>
        <w:t>应依据《关于公布医疗器械注册申报资料要求和批准证明文件格式的公告》要求提供质量管理体系核查文件。若产品有多个研制、生产场地，应概述每个研制、生产场地的实际情况。</w:t>
      </w:r>
    </w:p>
    <w:p w14:paraId="07BEDA76">
      <w:pPr>
        <w:spacing w:line="520" w:lineRule="exact"/>
        <w:ind w:firstLine="640" w:firstLineChars="200"/>
        <w:outlineLvl w:val="1"/>
        <w:rPr>
          <w:rFonts w:eastAsia="仿宋_GB2312"/>
          <w:szCs w:val="32"/>
        </w:rPr>
      </w:pPr>
      <w:r>
        <w:rPr>
          <w:rFonts w:eastAsia="仿宋_GB2312"/>
          <w:szCs w:val="32"/>
        </w:rPr>
        <w:t>1.</w:t>
      </w:r>
      <w:r>
        <w:rPr>
          <w:rFonts w:hint="eastAsia" w:eastAsia="仿宋_GB2312"/>
          <w:szCs w:val="32"/>
        </w:rPr>
        <w:t>应当明确产品生产工艺过程</w:t>
      </w:r>
    </w:p>
    <w:p w14:paraId="460B4022">
      <w:pPr>
        <w:spacing w:line="520" w:lineRule="exact"/>
        <w:ind w:firstLine="640" w:firstLineChars="200"/>
        <w:rPr>
          <w:rFonts w:eastAsia="仿宋_GB2312"/>
          <w:szCs w:val="32"/>
        </w:rPr>
      </w:pPr>
      <w:r>
        <w:rPr>
          <w:rFonts w:hint="eastAsia" w:eastAsia="仿宋_GB2312"/>
          <w:szCs w:val="32"/>
        </w:rPr>
        <w:t>工艺过程可采用流程图的形式，并说明其每道工序的操作说明及接收和放行标准，同时对过程控制要点进行详细说明。</w:t>
      </w:r>
    </w:p>
    <w:p w14:paraId="306C9E61">
      <w:pPr>
        <w:spacing w:line="520" w:lineRule="exact"/>
        <w:ind w:firstLine="640" w:firstLineChars="200"/>
        <w:outlineLvl w:val="1"/>
        <w:rPr>
          <w:rFonts w:eastAsia="仿宋_GB2312"/>
          <w:szCs w:val="32"/>
        </w:rPr>
      </w:pPr>
      <w:r>
        <w:rPr>
          <w:rFonts w:eastAsia="仿宋_GB2312"/>
          <w:szCs w:val="32"/>
        </w:rPr>
        <w:t>2.</w:t>
      </w:r>
      <w:r>
        <w:rPr>
          <w:rFonts w:hint="eastAsia" w:eastAsia="仿宋_GB2312"/>
          <w:szCs w:val="32"/>
        </w:rPr>
        <w:t>生产场地</w:t>
      </w:r>
    </w:p>
    <w:p w14:paraId="52E5B1A5">
      <w:pPr>
        <w:spacing w:line="520" w:lineRule="exact"/>
        <w:ind w:firstLine="640" w:firstLineChars="200"/>
        <w:rPr>
          <w:rFonts w:eastAsia="仿宋_GB2312"/>
          <w:szCs w:val="32"/>
        </w:rPr>
      </w:pPr>
      <w:r>
        <w:rPr>
          <w:rFonts w:hint="eastAsia" w:eastAsia="仿宋_GB2312"/>
          <w:szCs w:val="32"/>
        </w:rPr>
        <w:t>应详细说明产品生产场地地址、生产工艺布局、生产环境要求及周边情况。有多个研制、生产场地，应当概述每个研制、生产场地的实际情况。</w:t>
      </w:r>
    </w:p>
    <w:p w14:paraId="734DF35D">
      <w:pPr>
        <w:pStyle w:val="3"/>
      </w:pPr>
      <w:r>
        <w:t>三、参考文献</w:t>
      </w:r>
    </w:p>
    <w:p w14:paraId="5ADB0F45">
      <w:pPr>
        <w:kinsoku w:val="0"/>
        <w:spacing w:line="520" w:lineRule="exact"/>
        <w:ind w:firstLine="640" w:firstLineChars="200"/>
        <w:rPr>
          <w:rFonts w:eastAsia="仿宋_GB2312"/>
          <w:szCs w:val="32"/>
        </w:rPr>
      </w:pPr>
      <w:r>
        <w:rPr>
          <w:rFonts w:hint="eastAsia" w:eastAsia="仿宋_GB2312"/>
          <w:szCs w:val="32"/>
        </w:rPr>
        <w:t>[1]</w:t>
      </w:r>
      <w:r>
        <w:rPr>
          <w:rFonts w:eastAsia="仿宋_GB2312"/>
          <w:szCs w:val="32"/>
        </w:rPr>
        <w:t>中华人民共和国国务院.医疗器械监督管理条例:中华人民共和国国务院令第739号[Z].</w:t>
      </w:r>
    </w:p>
    <w:p w14:paraId="191E53D4">
      <w:pPr>
        <w:kinsoku w:val="0"/>
        <w:spacing w:line="520" w:lineRule="exact"/>
        <w:ind w:firstLine="640" w:firstLineChars="200"/>
        <w:rPr>
          <w:rFonts w:eastAsia="仿宋_GB2312"/>
          <w:szCs w:val="32"/>
        </w:rPr>
      </w:pPr>
      <w:r>
        <w:rPr>
          <w:rFonts w:hint="eastAsia" w:eastAsia="仿宋_GB2312"/>
          <w:szCs w:val="32"/>
        </w:rPr>
        <w:t>[2]</w:t>
      </w:r>
      <w:r>
        <w:rPr>
          <w:rFonts w:eastAsia="仿宋_GB2312"/>
          <w:szCs w:val="32"/>
        </w:rPr>
        <w:t>国家市场</w:t>
      </w:r>
      <w:r>
        <w:rPr>
          <w:rFonts w:hint="eastAsia" w:eastAsia="仿宋_GB2312"/>
          <w:szCs w:val="32"/>
        </w:rPr>
        <w:t>监督管理</w:t>
      </w:r>
      <w:r>
        <w:rPr>
          <w:rFonts w:eastAsia="仿宋_GB2312"/>
          <w:szCs w:val="32"/>
        </w:rPr>
        <w:t>总局.医疗器械注册与备案管理办法：</w:t>
      </w:r>
      <w:r>
        <w:rPr>
          <w:rFonts w:hint="eastAsia" w:eastAsia="仿宋_GB2312"/>
          <w:szCs w:val="32"/>
          <w:lang w:eastAsia="zh-CN"/>
        </w:rPr>
        <w:t>国家市场监督管理总局</w:t>
      </w:r>
      <w:r>
        <w:rPr>
          <w:rFonts w:eastAsia="仿宋_GB2312"/>
          <w:szCs w:val="32"/>
        </w:rPr>
        <w:t>令第47号[Z].</w:t>
      </w:r>
    </w:p>
    <w:p w14:paraId="28C3EC12">
      <w:pPr>
        <w:kinsoku w:val="0"/>
        <w:spacing w:line="520" w:lineRule="exact"/>
        <w:ind w:firstLine="640" w:firstLineChars="200"/>
        <w:rPr>
          <w:rFonts w:eastAsia="仿宋_GB2312"/>
          <w:szCs w:val="32"/>
        </w:rPr>
      </w:pPr>
      <w:r>
        <w:rPr>
          <w:rFonts w:hint="eastAsia" w:eastAsia="仿宋_GB2312"/>
          <w:szCs w:val="32"/>
        </w:rPr>
        <w:t>[3]</w:t>
      </w:r>
      <w:r>
        <w:rPr>
          <w:rFonts w:eastAsia="仿宋_GB2312"/>
          <w:szCs w:val="32"/>
        </w:rPr>
        <w:t>国家食品药品监督管理总局.医疗器械说明书和标签管理规定:国家食品药品监督管理总局令第6号[Z].</w:t>
      </w:r>
    </w:p>
    <w:p w14:paraId="26B22F98">
      <w:pPr>
        <w:kinsoku w:val="0"/>
        <w:spacing w:line="520" w:lineRule="exact"/>
        <w:ind w:firstLine="640" w:firstLineChars="200"/>
        <w:rPr>
          <w:rFonts w:eastAsia="仿宋_GB2312"/>
          <w:szCs w:val="32"/>
        </w:rPr>
      </w:pPr>
      <w:r>
        <w:rPr>
          <w:rFonts w:hint="eastAsia" w:eastAsia="仿宋_GB2312"/>
          <w:szCs w:val="32"/>
        </w:rPr>
        <w:t>[4]国家药品监督管理局.医疗器械通用名称命名规则：国家食品药品监督管理总局令第19号[Z].</w:t>
      </w:r>
    </w:p>
    <w:p w14:paraId="5ABD33EE">
      <w:pPr>
        <w:kinsoku w:val="0"/>
        <w:spacing w:line="520" w:lineRule="exact"/>
        <w:ind w:firstLine="640" w:firstLineChars="200"/>
        <w:rPr>
          <w:rFonts w:eastAsia="仿宋_GB2312"/>
          <w:szCs w:val="32"/>
        </w:rPr>
      </w:pPr>
      <w:r>
        <w:rPr>
          <w:rFonts w:hint="eastAsia" w:eastAsia="仿宋_GB2312"/>
          <w:szCs w:val="32"/>
        </w:rPr>
        <w:t>[5]国家药品监督管理局.医疗器械产品技术要求编写指导原则:国家药监局通告2022年第8号[Z].</w:t>
      </w:r>
    </w:p>
    <w:p w14:paraId="7689E3AD">
      <w:pPr>
        <w:kinsoku w:val="0"/>
        <w:spacing w:line="520" w:lineRule="exact"/>
        <w:ind w:firstLine="640" w:firstLineChars="200"/>
        <w:rPr>
          <w:rFonts w:eastAsia="仿宋_GB2312"/>
          <w:szCs w:val="20"/>
        </w:rPr>
      </w:pPr>
      <w:r>
        <w:rPr>
          <w:rFonts w:hint="eastAsia" w:eastAsia="仿宋_GB2312"/>
          <w:szCs w:val="32"/>
        </w:rPr>
        <w:t>[6]</w:t>
      </w:r>
      <w:r>
        <w:rPr>
          <w:rFonts w:eastAsia="仿宋_GB2312"/>
          <w:szCs w:val="32"/>
        </w:rPr>
        <w:t>国家药品监督管理局.关于公布医疗器械注册申报资料要求和批准证明文件格式的公告：国家药品监督管理局公告2021年第121号[Z]</w:t>
      </w:r>
      <w:r>
        <w:rPr>
          <w:rFonts w:eastAsia="仿宋_GB2312"/>
          <w:kern w:val="0"/>
          <w:szCs w:val="32"/>
        </w:rPr>
        <w:t>.</w:t>
      </w:r>
    </w:p>
    <w:p w14:paraId="407E2AF3">
      <w:pPr>
        <w:kinsoku w:val="0"/>
        <w:spacing w:line="520" w:lineRule="exact"/>
        <w:ind w:firstLine="640" w:firstLineChars="200"/>
        <w:rPr>
          <w:rFonts w:eastAsia="微软雅黑"/>
          <w:szCs w:val="20"/>
        </w:rPr>
      </w:pPr>
      <w:r>
        <w:rPr>
          <w:rFonts w:hint="eastAsia" w:eastAsia="仿宋_GB2312"/>
          <w:kern w:val="0"/>
          <w:szCs w:val="32"/>
        </w:rPr>
        <w:t>[7]国家</w:t>
      </w:r>
      <w:r>
        <w:rPr>
          <w:rFonts w:hint="eastAsia" w:eastAsia="仿宋_GB2312"/>
          <w:kern w:val="0"/>
          <w:szCs w:val="32"/>
          <w:lang w:eastAsia="zh-CN"/>
        </w:rPr>
        <w:t>药品监督管理局</w:t>
      </w:r>
      <w:r>
        <w:rPr>
          <w:rFonts w:hint="eastAsia" w:eastAsia="仿宋_GB2312"/>
          <w:kern w:val="0"/>
          <w:szCs w:val="32"/>
        </w:rPr>
        <w:t>.医疗器械注册单元划分指导原则:总局通告2017年第187号[Z].</w:t>
      </w:r>
    </w:p>
    <w:p w14:paraId="633BA5B9">
      <w:pPr>
        <w:kinsoku w:val="0"/>
        <w:spacing w:line="520" w:lineRule="exact"/>
        <w:ind w:firstLine="640" w:firstLineChars="200"/>
        <w:rPr>
          <w:rFonts w:eastAsia="仿宋_GB2312"/>
          <w:kern w:val="0"/>
          <w:szCs w:val="32"/>
        </w:rPr>
      </w:pPr>
      <w:r>
        <w:rPr>
          <w:rFonts w:hint="eastAsia" w:eastAsia="仿宋_GB2312"/>
          <w:kern w:val="0"/>
          <w:szCs w:val="32"/>
        </w:rPr>
        <w:t>[8]国家药品监督管理局.有源医疗器械使用期限注册技术审查指导原则:国家药品监督管理局通告2019年第23号[Z].</w:t>
      </w:r>
    </w:p>
    <w:p w14:paraId="0286C005">
      <w:pPr>
        <w:kinsoku w:val="0"/>
        <w:spacing w:line="520" w:lineRule="exact"/>
        <w:ind w:firstLine="640" w:firstLineChars="200"/>
        <w:rPr>
          <w:rFonts w:eastAsia="仿宋_GB2312"/>
          <w:kern w:val="0"/>
          <w:szCs w:val="32"/>
        </w:rPr>
      </w:pPr>
      <w:r>
        <w:rPr>
          <w:rFonts w:hint="eastAsia" w:eastAsia="仿宋_GB2312"/>
          <w:kern w:val="0"/>
          <w:szCs w:val="32"/>
        </w:rPr>
        <w:t>[10]国家药品监督管理局.列入免于临床评价医疗器械目录产品对比说明技术指导原则:国家药监局通告2021年第73号[Z].</w:t>
      </w:r>
    </w:p>
    <w:p w14:paraId="290DB43F">
      <w:pPr>
        <w:kinsoku w:val="0"/>
        <w:spacing w:line="520" w:lineRule="exact"/>
        <w:ind w:firstLine="640" w:firstLineChars="200"/>
        <w:rPr>
          <w:rFonts w:eastAsia="仿宋_GB2312"/>
          <w:kern w:val="0"/>
          <w:szCs w:val="32"/>
        </w:rPr>
      </w:pPr>
      <w:r>
        <w:rPr>
          <w:rFonts w:hint="eastAsia" w:eastAsia="仿宋_GB2312"/>
          <w:kern w:val="0"/>
          <w:szCs w:val="32"/>
        </w:rPr>
        <w:t>[11]国家药品监督管理局.免于临床评价医疗器械目录：国家药监局通告2023年第33号[Z].</w:t>
      </w:r>
    </w:p>
    <w:p w14:paraId="461B51F5">
      <w:pPr>
        <w:kinsoku w:val="0"/>
        <w:adjustRightInd w:val="0"/>
        <w:snapToGrid w:val="0"/>
        <w:spacing w:line="520" w:lineRule="exact"/>
        <w:rPr>
          <w:rFonts w:eastAsia="黑体"/>
          <w:szCs w:val="32"/>
        </w:rPr>
      </w:pPr>
      <w:r>
        <w:rPr>
          <w:rFonts w:hint="eastAsia" w:eastAsia="微软雅黑"/>
          <w:sz w:val="22"/>
          <w:szCs w:val="22"/>
        </w:rPr>
        <w:t xml:space="preserve">    </w:t>
      </w:r>
      <w:r>
        <w:rPr>
          <w:rFonts w:hint="eastAsia" w:eastAsia="仿宋_GB2312"/>
          <w:szCs w:val="32"/>
        </w:rPr>
        <w:t xml:space="preserve"> [12]</w:t>
      </w:r>
      <w:r>
        <w:rPr>
          <w:rFonts w:hint="eastAsia" w:eastAsia="仿宋_GB2312"/>
          <w:szCs w:val="28"/>
        </w:rPr>
        <w:t>国家药品监督管理局.医疗器械临床评价技术指导原则:国家药监局通告2021年第73号[Z].</w:t>
      </w:r>
    </w:p>
    <w:p w14:paraId="0B2E73A1">
      <w:pPr>
        <w:kinsoku w:val="0"/>
        <w:adjustRightInd w:val="0"/>
        <w:snapToGrid w:val="0"/>
        <w:spacing w:line="520" w:lineRule="exact"/>
        <w:ind w:firstLine="640" w:firstLineChars="200"/>
        <w:rPr>
          <w:rFonts w:eastAsia="仿宋_GB2312"/>
          <w:szCs w:val="32"/>
        </w:rPr>
      </w:pPr>
      <w:r>
        <w:rPr>
          <w:rFonts w:hint="eastAsia" w:eastAsia="仿宋_GB2312"/>
          <w:szCs w:val="32"/>
        </w:rPr>
        <w:t>[13]国家药品监督管理局医疗器械审评中心.医疗器械软件注册审查指导原则(2022年修订版):国家药监局器审中心通告2022年第9号[Z].</w:t>
      </w:r>
    </w:p>
    <w:p w14:paraId="7DA56A0C">
      <w:pPr>
        <w:spacing w:line="520" w:lineRule="exact"/>
        <w:ind w:firstLine="640" w:firstLineChars="200"/>
        <w:rPr>
          <w:rFonts w:eastAsia="仿宋_GB2312"/>
          <w:szCs w:val="32"/>
        </w:rPr>
      </w:pPr>
      <w:r>
        <w:rPr>
          <w:rFonts w:hint="eastAsia" w:eastAsia="仿宋_GB2312"/>
          <w:szCs w:val="32"/>
        </w:rPr>
        <w:t>[14]国家药品监督管理局医疗器械审评中心.医疗器械网络安全注册审查指导原则(2022年修订版):国家药监局器审中心通告2022年第7号[Z]</w:t>
      </w:r>
    </w:p>
    <w:p w14:paraId="3ADDC9A4">
      <w:pPr>
        <w:widowControl/>
        <w:spacing w:line="520" w:lineRule="exact"/>
        <w:ind w:firstLine="640" w:firstLineChars="200"/>
        <w:rPr>
          <w:rFonts w:eastAsia="仿宋_GB2312"/>
          <w:szCs w:val="32"/>
        </w:rPr>
      </w:pPr>
      <w:r>
        <w:rPr>
          <w:rFonts w:hint="eastAsia" w:eastAsia="仿宋_GB2312"/>
          <w:szCs w:val="32"/>
        </w:rPr>
        <w:t>[15]国家药典委员会.中华人民共和国药典(2025版).</w:t>
      </w:r>
    </w:p>
    <w:p w14:paraId="3BBB6DB1">
      <w:pPr>
        <w:spacing w:line="520" w:lineRule="exact"/>
        <w:ind w:right="-102" w:rightChars="-32" w:firstLine="640" w:firstLineChars="200"/>
        <w:rPr>
          <w:rFonts w:eastAsia="仿宋_GB2312"/>
          <w:szCs w:val="32"/>
        </w:rPr>
      </w:pPr>
      <w:r>
        <w:rPr>
          <w:rFonts w:eastAsia="仿宋_GB2312"/>
          <w:szCs w:val="32"/>
        </w:rPr>
        <w:t>[1</w:t>
      </w:r>
      <w:r>
        <w:rPr>
          <w:rFonts w:hint="eastAsia" w:eastAsia="仿宋_GB2312"/>
          <w:szCs w:val="32"/>
        </w:rPr>
        <w:t>6</w:t>
      </w:r>
      <w:r>
        <w:rPr>
          <w:rFonts w:eastAsia="仿宋_GB2312"/>
          <w:szCs w:val="32"/>
        </w:rPr>
        <w:t>]GB/T 42062-2022,医疗器械 风险管理对医疗器械的应用[S].</w:t>
      </w:r>
    </w:p>
    <w:p w14:paraId="75F62F96">
      <w:pPr>
        <w:overflowPunct w:val="0"/>
        <w:spacing w:line="520" w:lineRule="exact"/>
        <w:ind w:firstLine="640"/>
        <w:rPr>
          <w:rFonts w:eastAsia="仿宋_GB2312"/>
          <w:szCs w:val="28"/>
        </w:rPr>
      </w:pPr>
      <w:r>
        <w:rPr>
          <w:rFonts w:eastAsia="仿宋_GB2312"/>
          <w:szCs w:val="32"/>
        </w:rPr>
        <w:t>[1</w:t>
      </w:r>
      <w:r>
        <w:rPr>
          <w:rFonts w:hint="eastAsia" w:eastAsia="仿宋_GB2312"/>
          <w:szCs w:val="32"/>
        </w:rPr>
        <w:t>7</w:t>
      </w:r>
      <w:r>
        <w:rPr>
          <w:rFonts w:eastAsia="仿宋_GB2312"/>
          <w:szCs w:val="32"/>
        </w:rPr>
        <w:t>]</w:t>
      </w:r>
      <w:r>
        <w:rPr>
          <w:rFonts w:eastAsia="仿宋_GB2312"/>
          <w:szCs w:val="28"/>
        </w:rPr>
        <w:t>GB 4793-20</w:t>
      </w:r>
      <w:r>
        <w:rPr>
          <w:rFonts w:hint="eastAsia" w:eastAsia="仿宋_GB2312"/>
          <w:szCs w:val="28"/>
        </w:rPr>
        <w:t>24</w:t>
      </w:r>
      <w:r>
        <w:rPr>
          <w:rFonts w:eastAsia="仿宋_GB2312"/>
          <w:szCs w:val="28"/>
        </w:rPr>
        <w:t>,测量、控制和实验室用电气设备</w:t>
      </w:r>
      <w:r>
        <w:rPr>
          <w:rFonts w:hint="eastAsia" w:eastAsia="仿宋_GB2312"/>
          <w:szCs w:val="28"/>
        </w:rPr>
        <w:t>安全技术规范</w:t>
      </w:r>
      <w:r>
        <w:rPr>
          <w:rFonts w:eastAsia="仿宋_GB2312"/>
          <w:szCs w:val="28"/>
        </w:rPr>
        <w:t>[S].</w:t>
      </w:r>
    </w:p>
    <w:p w14:paraId="665FA863">
      <w:pPr>
        <w:spacing w:line="520" w:lineRule="exact"/>
        <w:ind w:firstLine="640" w:firstLineChars="200"/>
        <w:rPr>
          <w:rFonts w:eastAsia="仿宋_GB2312"/>
          <w:szCs w:val="28"/>
        </w:rPr>
      </w:pPr>
      <w:r>
        <w:rPr>
          <w:rFonts w:eastAsia="仿宋_GB2312"/>
          <w:szCs w:val="32"/>
        </w:rPr>
        <w:t>[1</w:t>
      </w:r>
      <w:r>
        <w:rPr>
          <w:rFonts w:hint="eastAsia" w:eastAsia="仿宋_GB2312"/>
          <w:szCs w:val="32"/>
        </w:rPr>
        <w:t>8</w:t>
      </w:r>
      <w:r>
        <w:rPr>
          <w:rFonts w:eastAsia="仿宋_GB2312"/>
          <w:szCs w:val="32"/>
        </w:rPr>
        <w:t>]</w:t>
      </w:r>
      <w:r>
        <w:rPr>
          <w:rFonts w:eastAsia="仿宋_GB2312"/>
          <w:szCs w:val="28"/>
        </w:rPr>
        <w:t>GB/T 14710-2009,医用电器环境要求及试验方法[S].</w:t>
      </w:r>
    </w:p>
    <w:p w14:paraId="03F26D3F">
      <w:pPr>
        <w:spacing w:line="520" w:lineRule="exact"/>
        <w:ind w:firstLine="640" w:firstLineChars="200"/>
        <w:rPr>
          <w:rFonts w:eastAsia="仿宋_GB2312"/>
          <w:szCs w:val="28"/>
        </w:rPr>
      </w:pPr>
      <w:r>
        <w:rPr>
          <w:rFonts w:eastAsia="仿宋_GB2312"/>
          <w:szCs w:val="32"/>
        </w:rPr>
        <w:t>[1</w:t>
      </w:r>
      <w:r>
        <w:rPr>
          <w:rFonts w:hint="eastAsia" w:eastAsia="仿宋_GB2312"/>
          <w:szCs w:val="32"/>
        </w:rPr>
        <w:t>9</w:t>
      </w:r>
      <w:r>
        <w:rPr>
          <w:rFonts w:eastAsia="仿宋_GB2312"/>
          <w:szCs w:val="32"/>
        </w:rPr>
        <w:t>]</w:t>
      </w:r>
      <w:r>
        <w:rPr>
          <w:rFonts w:eastAsia="仿宋_GB2312"/>
          <w:szCs w:val="28"/>
        </w:rPr>
        <w:t>GB/T 18268.1-2010,测量、控制和实验室用电设备 电磁兼容性要求 第1部分：通用要求[S].</w:t>
      </w:r>
    </w:p>
    <w:p w14:paraId="7FB2AF57">
      <w:pPr>
        <w:spacing w:line="520" w:lineRule="exact"/>
        <w:ind w:firstLine="640" w:firstLineChars="200"/>
        <w:rPr>
          <w:rFonts w:eastAsia="仿宋_GB2312"/>
          <w:szCs w:val="28"/>
        </w:rPr>
      </w:pPr>
      <w:r>
        <w:rPr>
          <w:rFonts w:eastAsia="仿宋_GB2312"/>
          <w:szCs w:val="32"/>
        </w:rPr>
        <w:t>[</w:t>
      </w:r>
      <w:r>
        <w:rPr>
          <w:rFonts w:hint="eastAsia" w:eastAsia="仿宋_GB2312"/>
          <w:szCs w:val="32"/>
        </w:rPr>
        <w:t>20</w:t>
      </w:r>
      <w:r>
        <w:rPr>
          <w:rFonts w:eastAsia="仿宋_GB2312"/>
          <w:szCs w:val="32"/>
        </w:rPr>
        <w:t>]</w:t>
      </w:r>
      <w:r>
        <w:rPr>
          <w:rFonts w:eastAsia="仿宋_GB2312"/>
          <w:szCs w:val="28"/>
        </w:rPr>
        <w:t>GB/T 18268.26-2010,测量、控制和实验室用电设备 电磁兼容性要求 第26部分：特殊要求 体外诊断（IVD）医疗设备[S].</w:t>
      </w:r>
    </w:p>
    <w:p w14:paraId="42383B52">
      <w:pPr>
        <w:overflowPunct w:val="0"/>
        <w:spacing w:line="520" w:lineRule="exact"/>
        <w:ind w:firstLine="640"/>
        <w:rPr>
          <w:rFonts w:eastAsia="仿宋_GB2312"/>
          <w:szCs w:val="28"/>
        </w:rPr>
      </w:pPr>
      <w:r>
        <w:rPr>
          <w:rFonts w:eastAsia="仿宋_GB2312"/>
          <w:szCs w:val="28"/>
        </w:rPr>
        <w:t>[</w:t>
      </w:r>
      <w:r>
        <w:rPr>
          <w:rFonts w:hint="eastAsia" w:eastAsia="仿宋_GB2312"/>
          <w:szCs w:val="28"/>
        </w:rPr>
        <w:t>21</w:t>
      </w:r>
      <w:r>
        <w:rPr>
          <w:rFonts w:eastAsia="仿宋_GB2312"/>
          <w:szCs w:val="28"/>
        </w:rPr>
        <w:t xml:space="preserve">]GB/T </w:t>
      </w:r>
      <w:r>
        <w:rPr>
          <w:rFonts w:hint="eastAsia" w:eastAsia="仿宋_GB2312"/>
          <w:szCs w:val="28"/>
        </w:rPr>
        <w:t>42125.1-2024</w:t>
      </w:r>
      <w:r>
        <w:rPr>
          <w:rFonts w:eastAsia="仿宋_GB2312"/>
          <w:szCs w:val="28"/>
        </w:rPr>
        <w:t>,测量、控制和实验室用电气设备的安全要求 第</w:t>
      </w:r>
      <w:r>
        <w:rPr>
          <w:rFonts w:hint="eastAsia" w:eastAsia="仿宋_GB2312"/>
          <w:szCs w:val="28"/>
        </w:rPr>
        <w:t>1</w:t>
      </w:r>
      <w:r>
        <w:rPr>
          <w:rFonts w:eastAsia="仿宋_GB2312"/>
          <w:szCs w:val="28"/>
        </w:rPr>
        <w:t>部分：</w:t>
      </w:r>
      <w:r>
        <w:rPr>
          <w:rFonts w:hint="eastAsia" w:eastAsia="仿宋_GB2312"/>
          <w:szCs w:val="28"/>
        </w:rPr>
        <w:t>通用要求</w:t>
      </w:r>
      <w:r>
        <w:rPr>
          <w:rFonts w:eastAsia="仿宋_GB2312"/>
          <w:szCs w:val="28"/>
        </w:rPr>
        <w:t>[S].</w:t>
      </w:r>
    </w:p>
    <w:p w14:paraId="5AFCF919">
      <w:pPr>
        <w:overflowPunct w:val="0"/>
        <w:spacing w:line="520" w:lineRule="exact"/>
        <w:ind w:firstLine="640"/>
        <w:rPr>
          <w:rFonts w:eastAsia="仿宋_GB2312"/>
          <w:szCs w:val="28"/>
        </w:rPr>
      </w:pPr>
      <w:r>
        <w:rPr>
          <w:rFonts w:eastAsia="仿宋_GB2312"/>
          <w:szCs w:val="28"/>
        </w:rPr>
        <w:t>[</w:t>
      </w:r>
      <w:r>
        <w:rPr>
          <w:rFonts w:hint="eastAsia" w:eastAsia="仿宋_GB2312"/>
          <w:szCs w:val="28"/>
        </w:rPr>
        <w:t>22</w:t>
      </w:r>
      <w:r>
        <w:rPr>
          <w:rFonts w:eastAsia="仿宋_GB2312"/>
          <w:szCs w:val="28"/>
        </w:rPr>
        <w:t xml:space="preserve">]GB/T </w:t>
      </w:r>
      <w:r>
        <w:rPr>
          <w:rFonts w:hint="eastAsia" w:eastAsia="仿宋_GB2312"/>
          <w:szCs w:val="28"/>
        </w:rPr>
        <w:t>42125.2-2024</w:t>
      </w:r>
      <w:r>
        <w:rPr>
          <w:rFonts w:eastAsia="仿宋_GB2312"/>
          <w:szCs w:val="28"/>
        </w:rPr>
        <w:t>,测量、控制和实验室用电气设备的安全要求 第</w:t>
      </w:r>
      <w:r>
        <w:rPr>
          <w:rFonts w:hint="eastAsia" w:eastAsia="仿宋_GB2312"/>
          <w:szCs w:val="28"/>
        </w:rPr>
        <w:t>2</w:t>
      </w:r>
      <w:r>
        <w:rPr>
          <w:rFonts w:eastAsia="仿宋_GB2312"/>
          <w:szCs w:val="28"/>
        </w:rPr>
        <w:t>部分：</w:t>
      </w:r>
      <w:r>
        <w:rPr>
          <w:rFonts w:hint="eastAsia" w:eastAsia="仿宋_GB2312"/>
          <w:szCs w:val="28"/>
        </w:rPr>
        <w:t>材料加热用实验室设备的特殊要求</w:t>
      </w:r>
      <w:r>
        <w:rPr>
          <w:rFonts w:eastAsia="仿宋_GB2312"/>
          <w:szCs w:val="28"/>
        </w:rPr>
        <w:t>[S].</w:t>
      </w:r>
    </w:p>
    <w:p w14:paraId="6E73424C">
      <w:pPr>
        <w:spacing w:line="520" w:lineRule="exact"/>
        <w:ind w:firstLine="640" w:firstLineChars="200"/>
        <w:rPr>
          <w:rFonts w:eastAsia="仿宋_GB2312"/>
          <w:szCs w:val="28"/>
        </w:rPr>
      </w:pPr>
      <w:r>
        <w:rPr>
          <w:rFonts w:eastAsia="仿宋_GB2312"/>
          <w:szCs w:val="28"/>
        </w:rPr>
        <w:t>[</w:t>
      </w:r>
      <w:r>
        <w:rPr>
          <w:rFonts w:hint="eastAsia" w:eastAsia="仿宋_GB2312"/>
          <w:szCs w:val="28"/>
        </w:rPr>
        <w:t>23</w:t>
      </w:r>
      <w:r>
        <w:rPr>
          <w:rFonts w:eastAsia="仿宋_GB2312"/>
          <w:szCs w:val="28"/>
        </w:rPr>
        <w:t>]YY/T 0466.1-20</w:t>
      </w:r>
      <w:r>
        <w:rPr>
          <w:rFonts w:hint="eastAsia" w:eastAsia="仿宋_GB2312"/>
          <w:szCs w:val="28"/>
        </w:rPr>
        <w:t>23</w:t>
      </w:r>
      <w:r>
        <w:rPr>
          <w:rFonts w:eastAsia="仿宋_GB2312"/>
          <w:szCs w:val="28"/>
        </w:rPr>
        <w:t>,医疗器械 用于</w:t>
      </w:r>
      <w:r>
        <w:rPr>
          <w:rFonts w:hint="eastAsia" w:eastAsia="仿宋_GB2312"/>
          <w:szCs w:val="28"/>
        </w:rPr>
        <w:t>制造商</w:t>
      </w:r>
      <w:r>
        <w:rPr>
          <w:rFonts w:eastAsia="仿宋_GB2312"/>
          <w:szCs w:val="28"/>
        </w:rPr>
        <w:t>提供信息的符号 第1部分：通用要求[S].</w:t>
      </w:r>
    </w:p>
    <w:p w14:paraId="2B5EA8ED">
      <w:pPr>
        <w:spacing w:line="520" w:lineRule="exact"/>
        <w:ind w:firstLine="640" w:firstLineChars="200"/>
        <w:rPr>
          <w:rFonts w:eastAsia="仿宋_GB2312"/>
          <w:szCs w:val="28"/>
        </w:rPr>
      </w:pPr>
      <w:r>
        <w:rPr>
          <w:rFonts w:eastAsia="仿宋_GB2312"/>
          <w:szCs w:val="28"/>
        </w:rPr>
        <w:t>[</w:t>
      </w:r>
      <w:r>
        <w:rPr>
          <w:rFonts w:hint="eastAsia" w:eastAsia="仿宋_GB2312"/>
          <w:szCs w:val="28"/>
        </w:rPr>
        <w:t>24</w:t>
      </w:r>
      <w:r>
        <w:rPr>
          <w:rFonts w:eastAsia="仿宋_GB2312"/>
          <w:szCs w:val="28"/>
        </w:rPr>
        <w:t>]YY</w:t>
      </w:r>
      <w:r>
        <w:rPr>
          <w:rFonts w:hint="eastAsia" w:eastAsia="仿宋_GB2312"/>
          <w:szCs w:val="28"/>
        </w:rPr>
        <w:t>/T</w:t>
      </w:r>
      <w:r>
        <w:rPr>
          <w:rFonts w:eastAsia="仿宋_GB2312"/>
          <w:szCs w:val="28"/>
        </w:rPr>
        <w:t xml:space="preserve"> 0648-20</w:t>
      </w:r>
      <w:r>
        <w:rPr>
          <w:rFonts w:hint="eastAsia" w:eastAsia="仿宋_GB2312"/>
          <w:szCs w:val="28"/>
        </w:rPr>
        <w:t>25</w:t>
      </w:r>
      <w:r>
        <w:rPr>
          <w:rFonts w:eastAsia="仿宋_GB2312"/>
          <w:szCs w:val="28"/>
        </w:rPr>
        <w:t>,测量、控制和实验室用电气设备的安全要求 第2-101部分：体外诊断（IVD）医用设备的专用要求[S].</w:t>
      </w:r>
    </w:p>
    <w:p w14:paraId="6BA73EF4">
      <w:pPr>
        <w:widowControl/>
        <w:spacing w:line="520" w:lineRule="exact"/>
        <w:ind w:firstLine="640"/>
        <w:rPr>
          <w:rFonts w:eastAsia="仿宋_GB2312"/>
          <w:szCs w:val="28"/>
        </w:rPr>
      </w:pPr>
      <w:r>
        <w:rPr>
          <w:rFonts w:eastAsia="仿宋_GB2312"/>
          <w:szCs w:val="28"/>
        </w:rPr>
        <w:t>[</w:t>
      </w:r>
      <w:r>
        <w:rPr>
          <w:rFonts w:hint="eastAsia" w:eastAsia="仿宋_GB2312"/>
          <w:szCs w:val="28"/>
        </w:rPr>
        <w:t>25</w:t>
      </w:r>
      <w:r>
        <w:rPr>
          <w:rFonts w:eastAsia="仿宋_GB2312"/>
          <w:szCs w:val="28"/>
        </w:rPr>
        <w:t>]</w:t>
      </w:r>
      <w:r>
        <w:rPr>
          <w:rFonts w:hint="eastAsia" w:eastAsia="仿宋_GB2312"/>
          <w:szCs w:val="28"/>
        </w:rPr>
        <w:t>YY/T 1437-2023医疗器械 GB/T 42062应用指南</w:t>
      </w:r>
      <w:r>
        <w:rPr>
          <w:rFonts w:eastAsia="仿宋_GB2312"/>
          <w:szCs w:val="28"/>
        </w:rPr>
        <w:t>[S].</w:t>
      </w:r>
    </w:p>
    <w:p w14:paraId="00494641">
      <w:pPr>
        <w:pStyle w:val="2"/>
        <w:ind w:firstLine="640" w:firstLineChars="200"/>
        <w:rPr>
          <w:rFonts w:ascii="Times New Roman" w:hAnsi="Times New Roman" w:eastAsia="仿宋_GB2312"/>
          <w:kern w:val="2"/>
          <w:sz w:val="32"/>
          <w:szCs w:val="28"/>
        </w:rPr>
      </w:pPr>
      <w:r>
        <w:rPr>
          <w:rFonts w:hint="eastAsia" w:ascii="Times New Roman" w:hAnsi="Times New Roman" w:eastAsia="仿宋_GB2312"/>
          <w:kern w:val="2"/>
          <w:sz w:val="32"/>
          <w:szCs w:val="28"/>
        </w:rPr>
        <w:t>[26]JJ/F 1529-2015（多光源）细菌内毒素分析仪校准规范[S].</w:t>
      </w:r>
    </w:p>
    <w:sectPr>
      <w:footerReference r:id="rId3" w:type="default"/>
      <w:footerReference r:id="rId4" w:type="even"/>
      <w:pgSz w:w="11906" w:h="16838"/>
      <w:pgMar w:top="2098" w:right="1588" w:bottom="2098" w:left="1588" w:header="851" w:footer="992" w:gutter="0"/>
      <w:lnNumType w:countBy="1" w:restart="continuous"/>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4F1604-34FF-4BC6-982F-DF376B32D0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panose1 w:val="02020400000000000000"/>
    <w:charset w:val="86"/>
    <w:family w:val="roman"/>
    <w:pitch w:val="default"/>
    <w:sig w:usb0="00000001" w:usb1="0A0F1810" w:usb2="00000016" w:usb3="00000000" w:csb0="00060007" w:csb1="00000000"/>
  </w:font>
  <w:font w:name="楷体">
    <w:panose1 w:val="02010609060101010101"/>
    <w:charset w:val="86"/>
    <w:family w:val="modern"/>
    <w:pitch w:val="default"/>
    <w:sig w:usb0="800002BF" w:usb1="38CF7CFA" w:usb2="00000016" w:usb3="00000000" w:csb0="00040001" w:csb1="00000000"/>
    <w:embedRegular r:id="rId2" w:fontKey="{9E9BCA50-FEDD-45FC-9DD7-6FD0C7DAD56A}"/>
  </w:font>
  <w:font w:name="仿宋">
    <w:panose1 w:val="02010609060101010101"/>
    <w:charset w:val="86"/>
    <w:family w:val="modern"/>
    <w:pitch w:val="default"/>
    <w:sig w:usb0="800002BF" w:usb1="38CF7CFA" w:usb2="00000016" w:usb3="00000000" w:csb0="00040001" w:csb1="00000000"/>
    <w:embedRegular r:id="rId3" w:fontKey="{2FEB1E27-4911-49C6-8C3B-0136776D4102}"/>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4" w:fontKey="{579C6595-3FBD-4529-9DB7-051309C3A323}"/>
  </w:font>
  <w:font w:name="DejaVu Sans">
    <w:altName w:val="Times New Roman"/>
    <w:panose1 w:val="00000000000000000000"/>
    <w:charset w:val="00"/>
    <w:family w:val="roman"/>
    <w:pitch w:val="default"/>
    <w:sig w:usb0="00000000" w:usb1="00000000" w:usb2="00000008" w:usb3="00000000" w:csb0="000001FF" w:csb1="00000000"/>
  </w:font>
  <w:font w:name="方正小标宋简体">
    <w:panose1 w:val="03000509000000000000"/>
    <w:charset w:val="86"/>
    <w:family w:val="script"/>
    <w:pitch w:val="default"/>
    <w:sig w:usb0="00000001" w:usb1="080E0000" w:usb2="00000000" w:usb3="00000000" w:csb0="00040000" w:csb1="00000000"/>
    <w:embedRegular r:id="rId5" w:fontKey="{34B53120-B313-4336-AE9E-3F6EDCE79771}"/>
  </w:font>
  <w:font w:name="仿宋_GB2312">
    <w:altName w:val="仿宋"/>
    <w:panose1 w:val="02010609030101010101"/>
    <w:charset w:val="86"/>
    <w:family w:val="modern"/>
    <w:pitch w:val="default"/>
    <w:sig w:usb0="00000001" w:usb1="080E0000" w:usb2="00000000" w:usb3="00000000" w:csb0="00040000" w:csb1="00000000"/>
    <w:embedRegular r:id="rId6" w:fontKey="{1DF28435-676D-4D4E-9F14-56F0283C4F86}"/>
  </w:font>
  <w:font w:name="楷体_GB2312">
    <w:altName w:val="楷体"/>
    <w:panose1 w:val="02010609030101010101"/>
    <w:charset w:val="86"/>
    <w:family w:val="modern"/>
    <w:pitch w:val="default"/>
    <w:sig w:usb0="00000001" w:usb1="080E0000" w:usb2="00000000" w:usb3="00000000" w:csb0="00040000" w:csb1="00000000"/>
    <w:embedRegular r:id="rId7" w:fontKey="{2BC1AC96-FC72-4FD6-B64A-074EE452AB95}"/>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15D8A">
    <w:pPr>
      <w:pStyle w:val="8"/>
      <w:jc w:val="right"/>
      <w:rPr>
        <w:sz w:val="28"/>
        <w:szCs w:val="28"/>
      </w:rPr>
    </w:pPr>
    <w:r>
      <w:rPr>
        <w:sz w:val="28"/>
        <w:szCs w:val="28"/>
      </w:rPr>
      <w:t xml:space="preserve">— </w:t>
    </w:r>
    <w:sdt>
      <w:sdtPr>
        <w:rPr>
          <w:sz w:val="28"/>
          <w:szCs w:val="28"/>
        </w:rPr>
        <w:id w:val="90280837"/>
      </w:sdtPr>
      <w:sdtEndPr>
        <w:rPr>
          <w:sz w:val="28"/>
          <w:szCs w:val="28"/>
        </w:rPr>
      </w:sdtEnd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280849"/>
    </w:sdtPr>
    <w:sdtContent>
      <w:p w14:paraId="4930083D">
        <w:pPr>
          <w:pStyle w:val="8"/>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10</w:t>
        </w:r>
        <w:r>
          <w:rPr>
            <w:sz w:val="28"/>
            <w:szCs w:val="28"/>
          </w:rPr>
          <w:fldChar w:fldCharType="end"/>
        </w:r>
        <w:r>
          <w:rPr>
            <w:sz w:val="28"/>
            <w:szCs w:val="28"/>
          </w:rPr>
          <w:t xml:space="preserve"> —</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25605E"/>
    <w:multiLevelType w:val="singleLevel"/>
    <w:tmpl w:val="B925605E"/>
    <w:lvl w:ilvl="0" w:tentative="0">
      <w:start w:val="3"/>
      <w:numFmt w:val="decimal"/>
      <w:suff w:val="space"/>
      <w:lvlText w:val="%1."/>
      <w:lvlJc w:val="left"/>
    </w:lvl>
  </w:abstractNum>
  <w:abstractNum w:abstractNumId="1">
    <w:nsid w:val="E724739C"/>
    <w:multiLevelType w:val="singleLevel"/>
    <w:tmpl w:val="E724739C"/>
    <w:lvl w:ilvl="0" w:tentative="0">
      <w:start w:val="1"/>
      <w:numFmt w:val="decimal"/>
      <w:suff w:val="space"/>
      <w:lvlText w:val="%1."/>
      <w:lvlJc w:val="left"/>
    </w:lvl>
  </w:abstractNum>
  <w:abstractNum w:abstractNumId="2">
    <w:nsid w:val="7B5F07A7"/>
    <w:multiLevelType w:val="singleLevel"/>
    <w:tmpl w:val="7B5F07A7"/>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TrueTypeFonts/>
  <w:saveSubsetFonts/>
  <w:bordersDoNotSurroundHeader w:val="1"/>
  <w:bordersDoNotSurroundFooter w:val="1"/>
  <w:documentProtection w:enforcement="0"/>
  <w:defaultTabStop w:val="420"/>
  <w:evenAndOddHeaders w:val="1"/>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hhODA5MGMxMjI1ZTg3YTVkMGIzMmUwMzhmZDM3NGIifQ=="/>
  </w:docVars>
  <w:rsids>
    <w:rsidRoot w:val="00787F7E"/>
    <w:rsid w:val="00020162"/>
    <w:rsid w:val="00021955"/>
    <w:rsid w:val="000309BB"/>
    <w:rsid w:val="00056A28"/>
    <w:rsid w:val="00060C10"/>
    <w:rsid w:val="0007686E"/>
    <w:rsid w:val="0008512B"/>
    <w:rsid w:val="0009278E"/>
    <w:rsid w:val="000B4C9B"/>
    <w:rsid w:val="000C2653"/>
    <w:rsid w:val="000C48A1"/>
    <w:rsid w:val="000D16E9"/>
    <w:rsid w:val="000D5032"/>
    <w:rsid w:val="000E5335"/>
    <w:rsid w:val="00107813"/>
    <w:rsid w:val="00145167"/>
    <w:rsid w:val="0015622E"/>
    <w:rsid w:val="00172C7E"/>
    <w:rsid w:val="001C3A87"/>
    <w:rsid w:val="001E0961"/>
    <w:rsid w:val="0020521D"/>
    <w:rsid w:val="0020738F"/>
    <w:rsid w:val="00241E57"/>
    <w:rsid w:val="00242375"/>
    <w:rsid w:val="00244DF7"/>
    <w:rsid w:val="00246390"/>
    <w:rsid w:val="0026293F"/>
    <w:rsid w:val="00275A48"/>
    <w:rsid w:val="00277473"/>
    <w:rsid w:val="00291759"/>
    <w:rsid w:val="00294D2B"/>
    <w:rsid w:val="00295369"/>
    <w:rsid w:val="002A1DAB"/>
    <w:rsid w:val="002B2048"/>
    <w:rsid w:val="002B24A0"/>
    <w:rsid w:val="002D3B6C"/>
    <w:rsid w:val="002E1C19"/>
    <w:rsid w:val="002F2978"/>
    <w:rsid w:val="0030368E"/>
    <w:rsid w:val="003137C1"/>
    <w:rsid w:val="00332DE8"/>
    <w:rsid w:val="003450A4"/>
    <w:rsid w:val="003549E8"/>
    <w:rsid w:val="00355421"/>
    <w:rsid w:val="00365AB2"/>
    <w:rsid w:val="0037408E"/>
    <w:rsid w:val="003A245F"/>
    <w:rsid w:val="003B057C"/>
    <w:rsid w:val="003C0ABB"/>
    <w:rsid w:val="00410598"/>
    <w:rsid w:val="0041581E"/>
    <w:rsid w:val="00422D3A"/>
    <w:rsid w:val="00435AC6"/>
    <w:rsid w:val="00440708"/>
    <w:rsid w:val="00440AA4"/>
    <w:rsid w:val="004410B9"/>
    <w:rsid w:val="004459D4"/>
    <w:rsid w:val="0045151A"/>
    <w:rsid w:val="00456A74"/>
    <w:rsid w:val="00483A83"/>
    <w:rsid w:val="004B2F13"/>
    <w:rsid w:val="004C4DBC"/>
    <w:rsid w:val="004D450F"/>
    <w:rsid w:val="004E39ED"/>
    <w:rsid w:val="004F0151"/>
    <w:rsid w:val="005041BA"/>
    <w:rsid w:val="005277E2"/>
    <w:rsid w:val="00530384"/>
    <w:rsid w:val="00534F4C"/>
    <w:rsid w:val="005609D1"/>
    <w:rsid w:val="00586D9F"/>
    <w:rsid w:val="005A1410"/>
    <w:rsid w:val="005A204F"/>
    <w:rsid w:val="005A7136"/>
    <w:rsid w:val="005D1959"/>
    <w:rsid w:val="006014D4"/>
    <w:rsid w:val="00667C1A"/>
    <w:rsid w:val="00670933"/>
    <w:rsid w:val="006876EB"/>
    <w:rsid w:val="006A1165"/>
    <w:rsid w:val="006A354D"/>
    <w:rsid w:val="006C00CB"/>
    <w:rsid w:val="006E68A9"/>
    <w:rsid w:val="006E7148"/>
    <w:rsid w:val="00716619"/>
    <w:rsid w:val="00725E46"/>
    <w:rsid w:val="007428BE"/>
    <w:rsid w:val="00745098"/>
    <w:rsid w:val="007516AD"/>
    <w:rsid w:val="007646FC"/>
    <w:rsid w:val="007834EE"/>
    <w:rsid w:val="00787F7E"/>
    <w:rsid w:val="007904F6"/>
    <w:rsid w:val="007D341A"/>
    <w:rsid w:val="007F6803"/>
    <w:rsid w:val="008079BE"/>
    <w:rsid w:val="00815364"/>
    <w:rsid w:val="00821079"/>
    <w:rsid w:val="0082215F"/>
    <w:rsid w:val="0083192A"/>
    <w:rsid w:val="00845C30"/>
    <w:rsid w:val="00880860"/>
    <w:rsid w:val="008961B3"/>
    <w:rsid w:val="00897EDC"/>
    <w:rsid w:val="00920A47"/>
    <w:rsid w:val="00937F0E"/>
    <w:rsid w:val="009429D9"/>
    <w:rsid w:val="0098100B"/>
    <w:rsid w:val="00995404"/>
    <w:rsid w:val="009C41FF"/>
    <w:rsid w:val="009E2514"/>
    <w:rsid w:val="009F209D"/>
    <w:rsid w:val="00A23EC2"/>
    <w:rsid w:val="00A25C1A"/>
    <w:rsid w:val="00A30D1E"/>
    <w:rsid w:val="00A73BFE"/>
    <w:rsid w:val="00A779D7"/>
    <w:rsid w:val="00A90028"/>
    <w:rsid w:val="00A950F2"/>
    <w:rsid w:val="00AA2728"/>
    <w:rsid w:val="00AA4FCB"/>
    <w:rsid w:val="00AB660B"/>
    <w:rsid w:val="00AB7E5C"/>
    <w:rsid w:val="00AC161B"/>
    <w:rsid w:val="00AD08D9"/>
    <w:rsid w:val="00AF3558"/>
    <w:rsid w:val="00AF5D76"/>
    <w:rsid w:val="00B25163"/>
    <w:rsid w:val="00B41578"/>
    <w:rsid w:val="00B47CA3"/>
    <w:rsid w:val="00B64E83"/>
    <w:rsid w:val="00B66355"/>
    <w:rsid w:val="00B83BFA"/>
    <w:rsid w:val="00B9118A"/>
    <w:rsid w:val="00BC2983"/>
    <w:rsid w:val="00BC7C84"/>
    <w:rsid w:val="00BD300F"/>
    <w:rsid w:val="00BE669C"/>
    <w:rsid w:val="00BE7E51"/>
    <w:rsid w:val="00BF7EAA"/>
    <w:rsid w:val="00C0562D"/>
    <w:rsid w:val="00C151FE"/>
    <w:rsid w:val="00C25F69"/>
    <w:rsid w:val="00C40950"/>
    <w:rsid w:val="00C55908"/>
    <w:rsid w:val="00C55C2E"/>
    <w:rsid w:val="00CA0BE6"/>
    <w:rsid w:val="00CB0949"/>
    <w:rsid w:val="00CB4CCD"/>
    <w:rsid w:val="00CD1907"/>
    <w:rsid w:val="00CE24E2"/>
    <w:rsid w:val="00D076F0"/>
    <w:rsid w:val="00D200B5"/>
    <w:rsid w:val="00D256A9"/>
    <w:rsid w:val="00D277BD"/>
    <w:rsid w:val="00D323A8"/>
    <w:rsid w:val="00D32614"/>
    <w:rsid w:val="00D36F91"/>
    <w:rsid w:val="00D4450D"/>
    <w:rsid w:val="00D62CFB"/>
    <w:rsid w:val="00D6685B"/>
    <w:rsid w:val="00D73732"/>
    <w:rsid w:val="00D865D6"/>
    <w:rsid w:val="00DB1CED"/>
    <w:rsid w:val="00DC26FC"/>
    <w:rsid w:val="00DC3951"/>
    <w:rsid w:val="00DD73FD"/>
    <w:rsid w:val="00DD740E"/>
    <w:rsid w:val="00E07E6A"/>
    <w:rsid w:val="00E113E4"/>
    <w:rsid w:val="00E11D78"/>
    <w:rsid w:val="00E32C29"/>
    <w:rsid w:val="00E343F9"/>
    <w:rsid w:val="00E71D01"/>
    <w:rsid w:val="00E72EF4"/>
    <w:rsid w:val="00E7330F"/>
    <w:rsid w:val="00E771F1"/>
    <w:rsid w:val="00EA2DB1"/>
    <w:rsid w:val="00EB1A04"/>
    <w:rsid w:val="00EB6463"/>
    <w:rsid w:val="00EC523A"/>
    <w:rsid w:val="00ED0226"/>
    <w:rsid w:val="00EE1269"/>
    <w:rsid w:val="00EE261B"/>
    <w:rsid w:val="00EE3620"/>
    <w:rsid w:val="00EE4EBB"/>
    <w:rsid w:val="00EF4607"/>
    <w:rsid w:val="00F2350E"/>
    <w:rsid w:val="00F31CB3"/>
    <w:rsid w:val="00F45E55"/>
    <w:rsid w:val="00F73440"/>
    <w:rsid w:val="00F801A1"/>
    <w:rsid w:val="00F80E2B"/>
    <w:rsid w:val="00F81D1A"/>
    <w:rsid w:val="00F85257"/>
    <w:rsid w:val="00F85B67"/>
    <w:rsid w:val="00F90809"/>
    <w:rsid w:val="00FA36EA"/>
    <w:rsid w:val="00FB46B2"/>
    <w:rsid w:val="00FC6BE6"/>
    <w:rsid w:val="00FF0F38"/>
    <w:rsid w:val="012049CF"/>
    <w:rsid w:val="012C126C"/>
    <w:rsid w:val="0160084E"/>
    <w:rsid w:val="019E2973"/>
    <w:rsid w:val="01AE1383"/>
    <w:rsid w:val="02145218"/>
    <w:rsid w:val="02A66735"/>
    <w:rsid w:val="02CF3FB8"/>
    <w:rsid w:val="032F04D8"/>
    <w:rsid w:val="03450AEA"/>
    <w:rsid w:val="0365214C"/>
    <w:rsid w:val="040C0819"/>
    <w:rsid w:val="04123AC7"/>
    <w:rsid w:val="05305791"/>
    <w:rsid w:val="05B13178"/>
    <w:rsid w:val="06AE5BB8"/>
    <w:rsid w:val="072C642D"/>
    <w:rsid w:val="072D086C"/>
    <w:rsid w:val="074B5AF9"/>
    <w:rsid w:val="07560368"/>
    <w:rsid w:val="07EB3BFC"/>
    <w:rsid w:val="09B05462"/>
    <w:rsid w:val="09E65669"/>
    <w:rsid w:val="0AD156CF"/>
    <w:rsid w:val="0AD32091"/>
    <w:rsid w:val="0BAB6B6A"/>
    <w:rsid w:val="0C6E3AE6"/>
    <w:rsid w:val="0C866748"/>
    <w:rsid w:val="0CE75980"/>
    <w:rsid w:val="0CFF7B5C"/>
    <w:rsid w:val="0D1418BD"/>
    <w:rsid w:val="0D93200B"/>
    <w:rsid w:val="0DA9532B"/>
    <w:rsid w:val="0E2E5ADF"/>
    <w:rsid w:val="0E6A40E8"/>
    <w:rsid w:val="0EB672AD"/>
    <w:rsid w:val="10A70026"/>
    <w:rsid w:val="115A0E16"/>
    <w:rsid w:val="118C6F67"/>
    <w:rsid w:val="121A0B3B"/>
    <w:rsid w:val="13714D3B"/>
    <w:rsid w:val="15612E9D"/>
    <w:rsid w:val="164E4CC1"/>
    <w:rsid w:val="17935082"/>
    <w:rsid w:val="181F7E9C"/>
    <w:rsid w:val="187D188E"/>
    <w:rsid w:val="18B36492"/>
    <w:rsid w:val="19486C5B"/>
    <w:rsid w:val="196F5CF1"/>
    <w:rsid w:val="19DC4392"/>
    <w:rsid w:val="1A6631F3"/>
    <w:rsid w:val="1AD11A1D"/>
    <w:rsid w:val="1AEE25CF"/>
    <w:rsid w:val="1BBE01F3"/>
    <w:rsid w:val="1BD14BDE"/>
    <w:rsid w:val="1C13118C"/>
    <w:rsid w:val="1C362480"/>
    <w:rsid w:val="1C533032"/>
    <w:rsid w:val="1CCD2A88"/>
    <w:rsid w:val="1DDC1F50"/>
    <w:rsid w:val="1DE47200"/>
    <w:rsid w:val="1E594193"/>
    <w:rsid w:val="1F8D21E7"/>
    <w:rsid w:val="1FAB0A8F"/>
    <w:rsid w:val="1FB7220A"/>
    <w:rsid w:val="203B0212"/>
    <w:rsid w:val="2047772C"/>
    <w:rsid w:val="208219BC"/>
    <w:rsid w:val="210012CE"/>
    <w:rsid w:val="211641D5"/>
    <w:rsid w:val="21240AF9"/>
    <w:rsid w:val="21592057"/>
    <w:rsid w:val="215F61EB"/>
    <w:rsid w:val="217C70D1"/>
    <w:rsid w:val="2245341D"/>
    <w:rsid w:val="227A3683"/>
    <w:rsid w:val="22B17640"/>
    <w:rsid w:val="22EC1AEA"/>
    <w:rsid w:val="22F02F4C"/>
    <w:rsid w:val="231D6147"/>
    <w:rsid w:val="234D65E4"/>
    <w:rsid w:val="235E5C65"/>
    <w:rsid w:val="24D855D5"/>
    <w:rsid w:val="25853B30"/>
    <w:rsid w:val="258D1BE3"/>
    <w:rsid w:val="25A154F4"/>
    <w:rsid w:val="261E16F9"/>
    <w:rsid w:val="26485289"/>
    <w:rsid w:val="26C9009A"/>
    <w:rsid w:val="26DB6A10"/>
    <w:rsid w:val="2724211A"/>
    <w:rsid w:val="272C6959"/>
    <w:rsid w:val="28EB74B7"/>
    <w:rsid w:val="29485BC7"/>
    <w:rsid w:val="297D72EB"/>
    <w:rsid w:val="2987431B"/>
    <w:rsid w:val="2A1262DA"/>
    <w:rsid w:val="2A9F38E6"/>
    <w:rsid w:val="2AAA6513"/>
    <w:rsid w:val="2B0C2F93"/>
    <w:rsid w:val="2B3627B5"/>
    <w:rsid w:val="2C9A030D"/>
    <w:rsid w:val="2CA174A1"/>
    <w:rsid w:val="2CA23219"/>
    <w:rsid w:val="2D4E517E"/>
    <w:rsid w:val="2D584158"/>
    <w:rsid w:val="2E935F8A"/>
    <w:rsid w:val="2E937A09"/>
    <w:rsid w:val="2FD41AF9"/>
    <w:rsid w:val="2FED31AB"/>
    <w:rsid w:val="305D26DE"/>
    <w:rsid w:val="30847806"/>
    <w:rsid w:val="314E571E"/>
    <w:rsid w:val="31AF2660"/>
    <w:rsid w:val="31C00377"/>
    <w:rsid w:val="32FC7B27"/>
    <w:rsid w:val="338E397C"/>
    <w:rsid w:val="33C400F4"/>
    <w:rsid w:val="34A246FE"/>
    <w:rsid w:val="34C03F8C"/>
    <w:rsid w:val="356167E5"/>
    <w:rsid w:val="358A1B18"/>
    <w:rsid w:val="35F47A0B"/>
    <w:rsid w:val="37237F6E"/>
    <w:rsid w:val="37B7226F"/>
    <w:rsid w:val="392A081F"/>
    <w:rsid w:val="3AF85078"/>
    <w:rsid w:val="3B79633E"/>
    <w:rsid w:val="3B7F30A4"/>
    <w:rsid w:val="3BAB3E99"/>
    <w:rsid w:val="3C9E5315"/>
    <w:rsid w:val="3CBE77DC"/>
    <w:rsid w:val="3CC044ED"/>
    <w:rsid w:val="3D0715A3"/>
    <w:rsid w:val="3D6562C9"/>
    <w:rsid w:val="3E1A3557"/>
    <w:rsid w:val="3E386198"/>
    <w:rsid w:val="3F312907"/>
    <w:rsid w:val="3F7768AD"/>
    <w:rsid w:val="410858E9"/>
    <w:rsid w:val="416F3BBA"/>
    <w:rsid w:val="41807B75"/>
    <w:rsid w:val="41B219DA"/>
    <w:rsid w:val="427F7E2D"/>
    <w:rsid w:val="42883A40"/>
    <w:rsid w:val="429E1005"/>
    <w:rsid w:val="43F565F9"/>
    <w:rsid w:val="445826E4"/>
    <w:rsid w:val="44D621C8"/>
    <w:rsid w:val="450B4C3A"/>
    <w:rsid w:val="45190605"/>
    <w:rsid w:val="457E617A"/>
    <w:rsid w:val="45FC1265"/>
    <w:rsid w:val="46284338"/>
    <w:rsid w:val="475573AE"/>
    <w:rsid w:val="47D227AD"/>
    <w:rsid w:val="483457FD"/>
    <w:rsid w:val="48755B39"/>
    <w:rsid w:val="48F86243"/>
    <w:rsid w:val="49667E23"/>
    <w:rsid w:val="49757894"/>
    <w:rsid w:val="49DB003F"/>
    <w:rsid w:val="49DC7913"/>
    <w:rsid w:val="4B2A3C56"/>
    <w:rsid w:val="4CD16BB0"/>
    <w:rsid w:val="4D072507"/>
    <w:rsid w:val="4D0F5EC5"/>
    <w:rsid w:val="4DA234FC"/>
    <w:rsid w:val="4DA846DC"/>
    <w:rsid w:val="4DC64B62"/>
    <w:rsid w:val="4E447F77"/>
    <w:rsid w:val="4E4A12EF"/>
    <w:rsid w:val="4F0155BC"/>
    <w:rsid w:val="4F5A1A06"/>
    <w:rsid w:val="506F7C6C"/>
    <w:rsid w:val="50A218B6"/>
    <w:rsid w:val="51040A98"/>
    <w:rsid w:val="515B7CB7"/>
    <w:rsid w:val="51A76A58"/>
    <w:rsid w:val="52030683"/>
    <w:rsid w:val="53165C44"/>
    <w:rsid w:val="53D11E6D"/>
    <w:rsid w:val="548B2661"/>
    <w:rsid w:val="54C067AF"/>
    <w:rsid w:val="559D12C5"/>
    <w:rsid w:val="56177707"/>
    <w:rsid w:val="563B08DF"/>
    <w:rsid w:val="56AD0617"/>
    <w:rsid w:val="56FC5F10"/>
    <w:rsid w:val="58CB627E"/>
    <w:rsid w:val="59476AE4"/>
    <w:rsid w:val="59592707"/>
    <w:rsid w:val="59B254EA"/>
    <w:rsid w:val="5A0F50C2"/>
    <w:rsid w:val="5A9C169C"/>
    <w:rsid w:val="5B667653"/>
    <w:rsid w:val="5BFE196B"/>
    <w:rsid w:val="5C2F1A5B"/>
    <w:rsid w:val="5C5E0AD5"/>
    <w:rsid w:val="5DB6074F"/>
    <w:rsid w:val="5DC12E14"/>
    <w:rsid w:val="5DEB6B40"/>
    <w:rsid w:val="5E3353BB"/>
    <w:rsid w:val="5EBC4145"/>
    <w:rsid w:val="5EF92C91"/>
    <w:rsid w:val="5FAA6092"/>
    <w:rsid w:val="604D0DD3"/>
    <w:rsid w:val="610D2314"/>
    <w:rsid w:val="615472BD"/>
    <w:rsid w:val="61DC40B4"/>
    <w:rsid w:val="62A31E2A"/>
    <w:rsid w:val="63387E58"/>
    <w:rsid w:val="63F022AB"/>
    <w:rsid w:val="64C51278"/>
    <w:rsid w:val="64DB4F3F"/>
    <w:rsid w:val="64FD67C6"/>
    <w:rsid w:val="65501489"/>
    <w:rsid w:val="65F938CF"/>
    <w:rsid w:val="66636DAA"/>
    <w:rsid w:val="66AB2086"/>
    <w:rsid w:val="66BA6DDF"/>
    <w:rsid w:val="66CD6AAD"/>
    <w:rsid w:val="68866F70"/>
    <w:rsid w:val="68A36A6C"/>
    <w:rsid w:val="68C048DA"/>
    <w:rsid w:val="69256789"/>
    <w:rsid w:val="695D23C7"/>
    <w:rsid w:val="69F10D61"/>
    <w:rsid w:val="6A4E3ABD"/>
    <w:rsid w:val="6A585D0E"/>
    <w:rsid w:val="6B737129"/>
    <w:rsid w:val="6BD06A51"/>
    <w:rsid w:val="6BFC53F2"/>
    <w:rsid w:val="6C575F06"/>
    <w:rsid w:val="6D8F2D6B"/>
    <w:rsid w:val="6D945FE1"/>
    <w:rsid w:val="6DE977D6"/>
    <w:rsid w:val="6DFA6436"/>
    <w:rsid w:val="6FF24BF2"/>
    <w:rsid w:val="700D7F77"/>
    <w:rsid w:val="70ED79FD"/>
    <w:rsid w:val="71775FF0"/>
    <w:rsid w:val="71DC40A5"/>
    <w:rsid w:val="72D21B2C"/>
    <w:rsid w:val="731F2B02"/>
    <w:rsid w:val="73AB3D2F"/>
    <w:rsid w:val="73E34752"/>
    <w:rsid w:val="742E1423"/>
    <w:rsid w:val="748F3B91"/>
    <w:rsid w:val="74AC6D07"/>
    <w:rsid w:val="755E1AAA"/>
    <w:rsid w:val="7606581A"/>
    <w:rsid w:val="76151B07"/>
    <w:rsid w:val="769B452E"/>
    <w:rsid w:val="76FF4830"/>
    <w:rsid w:val="770562E1"/>
    <w:rsid w:val="77115978"/>
    <w:rsid w:val="77170059"/>
    <w:rsid w:val="77253DF8"/>
    <w:rsid w:val="77462108"/>
    <w:rsid w:val="77613082"/>
    <w:rsid w:val="77804950"/>
    <w:rsid w:val="778C1A27"/>
    <w:rsid w:val="77B22141"/>
    <w:rsid w:val="78CD4EBB"/>
    <w:rsid w:val="790740FD"/>
    <w:rsid w:val="797A48CF"/>
    <w:rsid w:val="799E3D57"/>
    <w:rsid w:val="79BD47BC"/>
    <w:rsid w:val="7C0A79C7"/>
    <w:rsid w:val="7CAF351E"/>
    <w:rsid w:val="7CCD260B"/>
    <w:rsid w:val="7CFE1373"/>
    <w:rsid w:val="7D162B61"/>
    <w:rsid w:val="7DAF0ABD"/>
    <w:rsid w:val="7DBA3FA6"/>
    <w:rsid w:val="7DDC4471"/>
    <w:rsid w:val="7E1721CC"/>
    <w:rsid w:val="7E857F9E"/>
    <w:rsid w:val="7EB4618D"/>
    <w:rsid w:val="7EC923FE"/>
    <w:rsid w:val="7F650DC4"/>
    <w:rsid w:val="7FF07699"/>
    <w:rsid w:val="DEF70035"/>
    <w:rsid w:val="DFFFE17D"/>
    <w:rsid w:val="ED776AC6"/>
    <w:rsid w:val="EF9F915E"/>
    <w:rsid w:val="FBB7C68F"/>
    <w:rsid w:val="FDF752B8"/>
    <w:rsid w:val="FF7F9E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Adobe 仿宋 Std R" w:cs="Times New Roman"/>
      <w:kern w:val="2"/>
      <w:sz w:val="32"/>
      <w:szCs w:val="24"/>
      <w:lang w:val="en-US" w:eastAsia="zh-CN" w:bidi="ar-SA"/>
    </w:rPr>
  </w:style>
  <w:style w:type="paragraph" w:styleId="3">
    <w:name w:val="heading 1"/>
    <w:basedOn w:val="1"/>
    <w:next w:val="1"/>
    <w:link w:val="20"/>
    <w:qFormat/>
    <w:uiPriority w:val="9"/>
    <w:pPr>
      <w:spacing w:line="360" w:lineRule="auto"/>
      <w:ind w:firstLine="640" w:firstLineChars="200"/>
      <w:jc w:val="left"/>
      <w:outlineLvl w:val="0"/>
    </w:pPr>
    <w:rPr>
      <w:rFonts w:ascii="Calibri" w:hAnsi="Calibri" w:eastAsia="黑体"/>
      <w:szCs w:val="22"/>
    </w:rPr>
  </w:style>
  <w:style w:type="paragraph" w:styleId="4">
    <w:name w:val="heading 2"/>
    <w:basedOn w:val="1"/>
    <w:next w:val="1"/>
    <w:link w:val="21"/>
    <w:unhideWhenUsed/>
    <w:qFormat/>
    <w:uiPriority w:val="9"/>
    <w:pPr>
      <w:keepNext/>
      <w:keepLines/>
      <w:spacing w:line="360" w:lineRule="auto"/>
      <w:ind w:firstLine="640" w:firstLineChars="200"/>
      <w:jc w:val="left"/>
      <w:outlineLvl w:val="1"/>
    </w:pPr>
    <w:rPr>
      <w:rFonts w:eastAsia="楷体" w:cstheme="minorBidi"/>
    </w:rPr>
  </w:style>
  <w:style w:type="paragraph" w:styleId="5">
    <w:name w:val="heading 3"/>
    <w:basedOn w:val="1"/>
    <w:next w:val="1"/>
    <w:link w:val="22"/>
    <w:unhideWhenUsed/>
    <w:qFormat/>
    <w:uiPriority w:val="9"/>
    <w:pPr>
      <w:keepNext/>
      <w:keepLines/>
      <w:spacing w:line="360" w:lineRule="auto"/>
      <w:ind w:firstLine="640" w:firstLineChars="200"/>
      <w:jc w:val="left"/>
      <w:outlineLvl w:val="2"/>
    </w:pPr>
    <w:rPr>
      <w:rFonts w:eastAsia="仿宋"/>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 Spacing"/>
    <w:qFormat/>
    <w:uiPriority w:val="0"/>
    <w:pPr>
      <w:adjustRightInd w:val="0"/>
      <w:snapToGrid w:val="0"/>
    </w:pPr>
    <w:rPr>
      <w:rFonts w:ascii="Tahoma" w:hAnsi="Tahoma" w:eastAsia="微软雅黑" w:cs="Times New Roman"/>
      <w:sz w:val="22"/>
      <w:szCs w:val="22"/>
      <w:lang w:val="en-US" w:eastAsia="zh-CN" w:bidi="ar-SA"/>
    </w:rPr>
  </w:style>
  <w:style w:type="paragraph" w:styleId="6">
    <w:name w:val="annotation text"/>
    <w:basedOn w:val="1"/>
    <w:link w:val="16"/>
    <w:semiHidden/>
    <w:unhideWhenUsed/>
    <w:qFormat/>
    <w:uiPriority w:val="99"/>
    <w:pPr>
      <w:jc w:val="left"/>
    </w:pPr>
    <w:rPr>
      <w:rFonts w:eastAsia="宋体"/>
      <w:sz w:val="30"/>
    </w:rPr>
  </w:style>
  <w:style w:type="paragraph" w:styleId="7">
    <w:name w:val="Balloon Text"/>
    <w:basedOn w:val="1"/>
    <w:link w:val="17"/>
    <w:semiHidden/>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rPr>
  </w:style>
  <w:style w:type="paragraph" w:styleId="9">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paragraph" w:styleId="10">
    <w:name w:val="Normal (Web)"/>
    <w:basedOn w:val="1"/>
    <w:semiHidden/>
    <w:unhideWhenUsed/>
    <w:qFormat/>
    <w:uiPriority w:val="99"/>
    <w:pPr>
      <w:spacing w:beforeAutospacing="1" w:afterAutospacing="1"/>
      <w:jc w:val="left"/>
    </w:pPr>
    <w:rPr>
      <w:kern w:val="0"/>
      <w:sz w:val="24"/>
    </w:rPr>
  </w:style>
  <w:style w:type="paragraph" w:styleId="11">
    <w:name w:val="annotation subject"/>
    <w:basedOn w:val="6"/>
    <w:next w:val="6"/>
    <w:link w:val="18"/>
    <w:semiHidden/>
    <w:unhideWhenUsed/>
    <w:qFormat/>
    <w:uiPriority w:val="99"/>
    <w:rPr>
      <w:b/>
      <w:bCs/>
    </w:rPr>
  </w:style>
  <w:style w:type="character" w:styleId="14">
    <w:name w:val="line number"/>
    <w:basedOn w:val="13"/>
    <w:semiHidden/>
    <w:unhideWhenUsed/>
    <w:qFormat/>
    <w:uiPriority w:val="99"/>
  </w:style>
  <w:style w:type="character" w:styleId="15">
    <w:name w:val="annotation reference"/>
    <w:basedOn w:val="13"/>
    <w:semiHidden/>
    <w:unhideWhenUsed/>
    <w:qFormat/>
    <w:uiPriority w:val="99"/>
    <w:rPr>
      <w:sz w:val="21"/>
      <w:szCs w:val="21"/>
    </w:rPr>
  </w:style>
  <w:style w:type="character" w:customStyle="1" w:styleId="16">
    <w:name w:val="批注文字 字符"/>
    <w:basedOn w:val="13"/>
    <w:link w:val="6"/>
    <w:semiHidden/>
    <w:qFormat/>
    <w:uiPriority w:val="99"/>
    <w:rPr>
      <w:rFonts w:ascii="Times New Roman" w:hAnsi="Times New Roman" w:eastAsia="宋体" w:cs="Times New Roman"/>
      <w:kern w:val="2"/>
      <w:sz w:val="30"/>
      <w:szCs w:val="24"/>
    </w:rPr>
  </w:style>
  <w:style w:type="character" w:customStyle="1" w:styleId="17">
    <w:name w:val="批注框文本 字符"/>
    <w:basedOn w:val="13"/>
    <w:link w:val="7"/>
    <w:semiHidden/>
    <w:qFormat/>
    <w:uiPriority w:val="99"/>
    <w:rPr>
      <w:rFonts w:ascii="Times New Roman" w:hAnsi="Times New Roman" w:eastAsia="Adobe 仿宋 Std R" w:cs="Times New Roman"/>
      <w:kern w:val="2"/>
      <w:sz w:val="18"/>
      <w:szCs w:val="18"/>
    </w:rPr>
  </w:style>
  <w:style w:type="character" w:customStyle="1" w:styleId="18">
    <w:name w:val="批注主题 字符"/>
    <w:basedOn w:val="16"/>
    <w:link w:val="11"/>
    <w:semiHidden/>
    <w:qFormat/>
    <w:uiPriority w:val="99"/>
    <w:rPr>
      <w:rFonts w:ascii="Times New Roman" w:hAnsi="Times New Roman" w:eastAsia="Adobe 仿宋 Std R" w:cs="Times New Roman"/>
      <w:b/>
      <w:bCs/>
      <w:kern w:val="2"/>
      <w:sz w:val="32"/>
      <w:szCs w:val="24"/>
    </w:rPr>
  </w:style>
  <w:style w:type="character" w:customStyle="1" w:styleId="19">
    <w:name w:val="页脚 字符"/>
    <w:basedOn w:val="13"/>
    <w:link w:val="8"/>
    <w:qFormat/>
    <w:uiPriority w:val="99"/>
    <w:rPr>
      <w:rFonts w:ascii="Times New Roman" w:hAnsi="Times New Roman" w:eastAsia="Adobe 仿宋 Std R" w:cs="Times New Roman"/>
      <w:kern w:val="2"/>
      <w:sz w:val="18"/>
      <w:szCs w:val="24"/>
    </w:rPr>
  </w:style>
  <w:style w:type="character" w:customStyle="1" w:styleId="20">
    <w:name w:val="标题 1 字符"/>
    <w:basedOn w:val="13"/>
    <w:link w:val="3"/>
    <w:qFormat/>
    <w:uiPriority w:val="9"/>
    <w:rPr>
      <w:rFonts w:ascii="Calibri" w:hAnsi="Calibri" w:eastAsia="黑体" w:cs="Times New Roman"/>
      <w:kern w:val="2"/>
      <w:sz w:val="32"/>
      <w:szCs w:val="22"/>
    </w:rPr>
  </w:style>
  <w:style w:type="character" w:customStyle="1" w:styleId="21">
    <w:name w:val="标题 2 字符"/>
    <w:link w:val="4"/>
    <w:qFormat/>
    <w:uiPriority w:val="0"/>
    <w:rPr>
      <w:rFonts w:ascii="Times New Roman" w:hAnsi="Times New Roman" w:eastAsia="楷体" w:cstheme="minorBidi"/>
    </w:rPr>
  </w:style>
  <w:style w:type="character" w:customStyle="1" w:styleId="22">
    <w:name w:val="标题 3 字符"/>
    <w:link w:val="5"/>
    <w:qFormat/>
    <w:uiPriority w:val="0"/>
    <w:rPr>
      <w:rFonts w:ascii="Times New Roman" w:hAnsi="Times New Roman" w:eastAsia="仿宋"/>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d4dbac69-dd8e-4f7f-b829-871a0ad9e3b8</errorID>
      <errorWord>-</errorWord>
      <group>L1_Format</group>
      <groupName>格式问题</groupName>
      <ability>L2_HalfPunc_CN</ability>
      <abilityName>全半角问题</abilityName>
      <candidateList>
        <item>－</item>
      </candidateList>
      <explain>文本全半角错误。</explain>
      <paraID>4BBF9EF0</paraID>
      <start>33</start>
      <end>34</end>
      <status>ignored</status>
      <modifiedWord/>
      <trackRevisions>false</trackRevisions>
    </reviewItem>
    <reviewItem>
      <errorID>b546d15b-e0b0-471d-8fd1-4a8f1ba1db40</errorID>
      <errorWord>-</errorWord>
      <group>L1_Format</group>
      <groupName>格式问题</groupName>
      <ability>L2_HalfPunc_CN</ability>
      <abilityName>全半角问题</abilityName>
      <candidateList>
        <item>－</item>
      </candidateList>
      <explain>文本全半角错误。</explain>
      <paraID>7F810994</paraID>
      <start>28</start>
      <end>29</end>
      <status>ignored</status>
      <modifiedWord/>
      <trackRevisions>false</trackRevisions>
    </reviewItem>
    <reviewItem>
      <errorID>6967d7bc-9b5d-4dfa-bcea-f922b657858b</errorID>
      <errorWord>-</errorWord>
      <group>L1_Format</group>
      <groupName>格式问题</groupName>
      <ability>L2_HalfPunc_CN</ability>
      <abilityName>全半角问题</abilityName>
      <candidateList>
        <item>－</item>
      </candidateList>
      <explain>文本全半角错误。</explain>
      <paraID>7F810994</paraID>
      <start>53</start>
      <end>54</end>
      <status>ignored</status>
      <modifiedWord/>
      <trackRevisions>false</trackRevisions>
    </reviewItem>
    <reviewItem>
      <errorID>8d7b6917-3cec-451b-96a6-c136bd95562e</errorID>
      <errorWord>革兰阴性菌</errorWord>
      <group>L1_Word</group>
      <groupName>字词问题</groupName>
      <ability>L2_Typo</ability>
      <abilityName>字词错误</abilityName>
      <candidateList>
        <item>革兰氏阴性菌</item>
      </candidateList>
      <explain/>
      <paraID>430AC34A</paraID>
      <start>20</start>
      <end>25</end>
      <status>ignored</status>
      <modifiedWord/>
      <trackRevisions>false</trackRevisions>
    </reviewItem>
    <reviewItem>
      <errorID>5e8db948-9730-4b3f-ba86-9a2e78e4ba52</errorID>
      <errorWord>-</errorWord>
      <group>L1_Format</group>
      <groupName>格式问题</groupName>
      <ability>L2_HalfPunc_CN</ability>
      <abilityName>全半角问题</abilityName>
      <candidateList>
        <item>－</item>
      </candidateList>
      <explain>文本全半角错误。</explain>
      <paraID>1C0CA60C</paraID>
      <start>51</start>
      <end>52</end>
      <status>ignored</status>
      <modifiedWord/>
      <trackRevisions>false</trackRevisions>
    </reviewItem>
    <reviewItem>
      <errorID>d9ceb71c-627e-4627-8cc2-12fc26784cb0</errorID>
      <errorWord>受益</errorWord>
      <group>L1_Word</group>
      <groupName>字词问题</groupName>
      <ability>L2_Typo</ability>
      <abilityName>字词错误</abilityName>
      <candidateList>
        <item>收益</item>
      </candidateList>
      <explain>存在发音相同字词的误用。</explain>
      <paraID>5D62FD4A</paraID>
      <start>128</start>
      <end>130</end>
      <status>ignored</status>
      <modifiedWord/>
      <trackRevisions>false</trackRevisions>
    </reviewItem>
    <reviewItem>
      <errorID>ca2198e8-7252-49a3-ae72-0b4a3695450f</errorID>
      <errorWord>，</errorWord>
      <group>L1_Word</group>
      <groupName>字词问题</groupName>
      <ability>L2_Typo</ability>
      <abilityName>字词错误</abilityName>
      <candidateList>
        <item>，有</item>
      </candidateList>
      <explain/>
      <paraID>6FFF40B7</paraID>
      <start>41</start>
      <end>42</end>
      <status>ignored</status>
      <modifiedWord/>
      <trackRevisions>false</trackRevisions>
    </reviewItem>
    <reviewItem>
      <errorID>f76bc25d-ebe4-49ee-85a5-9219a07e6e83</errorID>
      <errorWord>符合的</errorWord>
      <group>L1_Word</group>
      <groupName>字词问题</groupName>
      <ability>L2_Typo</ability>
      <abilityName>字词错误</abilityName>
      <candidateList>
        <item>符合</item>
      </candidateList>
      <explain/>
      <paraID>119A119E</paraID>
      <start>7</start>
      <end>10</end>
      <status>ignored</status>
      <modifiedWord/>
      <trackRevisions>false</trackRevisions>
    </reviewItem>
    <reviewItem>
      <errorID>3192018c-2eec-4bed-a322-6c59882a3277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747AB0A3</paraID>
      <start>0</start>
      <end>2</end>
      <status>ignored</status>
      <modifiedWord/>
      <trackRevisions>false</trackRevisions>
    </reviewItem>
    <reviewItem>
      <errorID>f58294d4-2f52-4c00-a5b6-9b6497e7bdca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4EAEB714</paraID>
      <start>0</start>
      <end>2</end>
      <status>ignored</status>
      <modifiedWord/>
      <trackRevisions>false</trackRevisions>
    </reviewItem>
    <reviewItem>
      <errorID>89d75fbb-5711-4e9c-af1e-5ecf34187022</errorID>
      <errorWord>（</errorWord>
      <group>L1_Punc</group>
      <groupName>标点问题</groupName>
      <ability>L2_Punc_CN</ability>
      <abilityName>标点符号问题</abilityName>
      <candidateList/>
      <explain>同一形式括号套用。</explain>
      <paraID>5FF9C517</paraID>
      <start>116</start>
      <end>117</end>
      <status>ignored</status>
      <modifiedWord/>
      <trackRevisions>false</trackRevisions>
    </reviewItem>
    <reviewItem>
      <errorID>52aaf8fc-ed63-4cc5-8b66-6f27ff0343a3</errorID>
      <errorWord>）</errorWord>
      <group>L1_Punc</group>
      <groupName>标点问题</groupName>
      <ability>L2_Punc_CN</ability>
      <abilityName>标点符号问题</abilityName>
      <candidateList/>
      <explain>同一形式括号套用。</explain>
      <paraID>5FF9C517</paraID>
      <start>120</start>
      <end>121</end>
      <status>ignored</status>
      <modifiedWord/>
      <trackRevisions>false</trackRevisions>
    </reviewItem>
    <reviewItem>
      <errorID>5e0ac030-1699-4b7c-8433-d3b0227ed348</errorID>
      <errorWord>JB</errorWord>
      <group>L1_Sensitive</group>
      <groupName>敏感问题</groupName>
      <ability>L2_Abuse</ability>
      <abilityName>侮辱言辞</abilityName>
      <candidateList/>
      <explain>【侮辱言辞】句中涉及侮辱性的敏感内容，请注意甄别。</explain>
      <paraID>5FF9C517</paraID>
      <start>134</start>
      <end>136</end>
      <status>ignored</status>
      <modifiedWord/>
      <trackRevisions>false</trackRevisions>
    </reviewItem>
    <reviewItem>
      <errorID>424c30cd-52c7-4d81-a566-eee314d5dc95</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5ADB0F45</paraID>
      <start>14</start>
      <end>24</end>
      <status>ignored</status>
      <modifiedWord/>
      <trackRevisions>false</trackRevisions>
    </reviewItem>
    <reviewItem>
      <errorID>8c14515f-146e-4f29-9a71-2b5d6f4528eb</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28C3EC12</paraID>
      <start>3</start>
      <end>15</end>
      <status>ignored</status>
      <modifiedWord/>
      <trackRevisions>false</trackRevisions>
    </reviewItem>
    <reviewItem>
      <errorID>ceb74c20-d5a7-40a1-89db-5184537b828e</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28C3EC12</paraID>
      <start>31</start>
      <end>43</end>
      <status>ignored</status>
      <modifiedWord/>
      <trackRevisions>false</trackRevisions>
    </reviewItem>
    <reviewItem>
      <errorID>09e5af96-a161-447d-975e-84fe059305c6</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26B22F98</paraID>
      <start>26</start>
      <end>38</end>
      <status>ignored</status>
      <modifiedWord/>
      <trackRevisions>false</trackRevisions>
    </reviewItem>
    <reviewItem>
      <errorID>df0be58e-1fba-48de-a870-d0ace1f3d53c</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407E2AF3</paraID>
      <start>5</start>
      <end>12</end>
      <status>modified</status>
      <modifiedWord>药品监督管理局</modifiedWord>
      <trackRevisions>false</trackRevisions>
    </reviewItem>
    <reviewItem>
      <errorID>36207d29-397c-43cf-a33f-151a66c53bdd</errorID>
      <errorWord>.</errorWord>
      <group>L1_Format</group>
      <groupName>格式问题</groupName>
      <ability>L2_HalfPunc_CN</ability>
      <abilityName>全半角问题</abilityName>
      <candidateList>
        <item>。</item>
      </candidateList>
      <explain>文本全半角错误。</explain>
      <paraID>7DA56A0C</paraID>
      <start>21</start>
      <end>22</end>
      <status>ignored</status>
      <modifiedWord/>
      <trackRevisions>false</trackRevisions>
    </reviewItem>
    <reviewItem>
      <errorID>2701c55b-ae3b-4fa8-8c07-89997c838153</errorID>
      <errorWord>(</errorWord>
      <group>L1_Format</group>
      <groupName>格式问题</groupName>
      <ability>L2_HalfPunc_CN</ability>
      <abilityName>全半角问题</abilityName>
      <candidateList>
        <item>（</item>
      </candidateList>
      <explain>文本全半角错误。</explain>
      <paraID>7DA56A0C</paraID>
      <start>38</start>
      <end>39</end>
      <status>ignored</status>
      <modifiedWord/>
      <trackRevisions>false</trackRevisions>
    </reviewItem>
    <reviewItem>
      <errorID>e977f43b-e947-4668-ab53-ac77ef6ad5ee</errorID>
      <errorWord>):</errorWord>
      <group>L1_Format</group>
      <groupName>格式问题</groupName>
      <ability>L2_HalfPunc_CN</ability>
      <abilityName>全半角问题</abilityName>
      <candidateList>
        <item>）：</item>
      </candidateList>
      <explain>文本全半角错误。</explain>
      <paraID>7DA56A0C</paraID>
      <start>47</start>
      <end>49</end>
      <status>ignored</status>
      <modifiedWord/>
      <trackRevisions>false</trackRevisions>
    </reviewItem>
    <reviewItem>
      <errorID>2747cce8-a16d-4e63-b5ef-e1520b1dda96</errorID>
      <errorWord>.</errorWord>
      <group>L1_Format</group>
      <groupName>格式问题</groupName>
      <ability>L2_HalfPunc_CN</ability>
      <abilityName>全半角问题</abilityName>
      <candidateList>
        <item>。</item>
      </candidateList>
      <explain>文本全半角错误。</explain>
      <paraID>3ADDC9A4</paraID>
      <start>11</start>
      <end>12</end>
      <status>ignored</status>
      <modifiedWord/>
      <trackRevisions>false</trackRevisions>
    </reviewItem>
    <reviewItem>
      <errorID>745d7c47-9751-43e1-8765-fb0f4dca2e7a</errorID>
      <errorWord>(</errorWord>
      <group>L1_Format</group>
      <groupName>格式问题</groupName>
      <ability>L2_HalfPunc_CN</ability>
      <abilityName>全半角问题</abilityName>
      <candidateList>
        <item>（</item>
      </candidateList>
      <explain>文本全半角错误。</explain>
      <paraID>3ADDC9A4</paraID>
      <start>21</start>
      <end>22</end>
      <status>ignored</status>
      <modifiedWord/>
      <trackRevisions>false</trackRevisions>
    </reviewItem>
    <reviewItem>
      <errorID>3a710b46-fdda-44b9-b7d3-0c30db3d7ca6</errorID>
      <errorWord>)</errorWord>
      <group>L1_Format</group>
      <groupName>格式问题</groupName>
      <ability>L2_HalfPunc_CN</ability>
      <abilityName>全半角问题</abilityName>
      <candidateList>
        <item>）</item>
      </candidateList>
      <explain>文本全半角错误。</explain>
      <paraID>3ADDC9A4</paraID>
      <start>27</start>
      <end>28</end>
      <status>ignored</status>
      <modifiedWord/>
      <trackRevisions>false</trackRevisions>
    </reviewItem>
  </reviewItems>
  <config/>
</contractReview>
</file>

<file path=customXml/itemProps1.xml><?xml version="1.0" encoding="utf-8"?>
<ds:datastoreItem xmlns:ds="http://schemas.openxmlformats.org/officeDocument/2006/customXml" ds:itemID="{7E281B2C-C691-4A38-9897-BA8F7A8C91FE}">
  <ds:schemaRefs/>
</ds:datastoreItem>
</file>

<file path=customXml/itemProps2.xml><?xml version="1.0" encoding="utf-8"?>
<ds:datastoreItem xmlns:ds="http://schemas.openxmlformats.org/officeDocument/2006/customXml" ds:itemID="{ec13e5d3-737f-4a89-b7bd-4a785fdd870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7905</Words>
  <Characters>8621</Characters>
  <Lines>63</Lines>
  <Paragraphs>17</Paragraphs>
  <TotalTime>6</TotalTime>
  <ScaleCrop>false</ScaleCrop>
  <LinksUpToDate>false</LinksUpToDate>
  <CharactersWithSpaces>8678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2026-07-09T03:06:00Z</dcterms:created>
  <dc:creator>董利华</dc:creator>
  <cp:lastModifiedBy>Qy</cp:lastModifiedBy>
  <cp:lastPrinted>2026-05-27T09:45:00Z</cp:lastPrinted>
  <dcterms:modified xsi:type="dcterms:W3CDTF">2026-07-24T08:50:55Z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DD7A2FE7AED644158F9DB58ED5964D8A_13</vt:lpwstr>
  </property>
  <property fmtid="{D5CDD505-2E9C-101B-9397-08002B2CF9AE}" pid="4" name="KSOTemplateDocerSaveRecord">
    <vt:lpwstr>eyJoZGlkIjoiZWI2MzdiYWIxOWY1YWQ1ZjM3ZTU5ZDU1NDcwODZlMjAiLCJ1c2VySWQiOiI0NTc5MDYwNDgifQ==</vt:lpwstr>
  </property>
</Properties>
</file>