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8F914A">
      <w:pPr>
        <w:spacing w:line="520" w:lineRule="exact"/>
        <w:ind w:right="-67" w:rightChars="-32"/>
        <w:jc w:val="center"/>
        <w:outlineLvl w:val="0"/>
        <w:rPr>
          <w:rFonts w:hint="eastAsia" w:ascii="方正小标宋简体" w:hAnsi="方正小标宋简体" w:eastAsia="方正小标宋简体" w:cs="方正小标宋简体"/>
          <w:color w:val="000000"/>
          <w:sz w:val="44"/>
          <w:szCs w:val="44"/>
          <w:highlight w:val="none"/>
        </w:rPr>
      </w:pPr>
      <w:r>
        <w:rPr>
          <w:rFonts w:hint="eastAsia" w:ascii="方正小标宋简体" w:hAnsi="方正小标宋简体" w:eastAsia="方正小标宋简体" w:cs="方正小标宋简体"/>
          <w:color w:val="000000"/>
          <w:sz w:val="44"/>
          <w:szCs w:val="44"/>
          <w:highlight w:val="none"/>
        </w:rPr>
        <w:t>微生物培养监测仪注册审查指导原则</w:t>
      </w:r>
    </w:p>
    <w:p w14:paraId="0EC59E1A">
      <w:pPr>
        <w:spacing w:line="520" w:lineRule="exact"/>
        <w:ind w:right="-67" w:rightChars="-32"/>
        <w:jc w:val="center"/>
        <w:outlineLvl w:val="0"/>
        <w:rPr>
          <w:rFonts w:hint="eastAsia" w:ascii="方正小标宋简体" w:hAnsi="方正小标宋简体" w:eastAsia="方正小标宋简体" w:cs="方正小标宋简体"/>
          <w:color w:val="000000"/>
          <w:sz w:val="44"/>
          <w:szCs w:val="44"/>
          <w:highlight w:val="none"/>
        </w:rPr>
      </w:pPr>
      <w:r>
        <w:rPr>
          <w:rFonts w:hint="eastAsia" w:ascii="方正小标宋简体" w:hAnsi="方正小标宋简体" w:eastAsia="方正小标宋简体" w:cs="方正小标宋简体"/>
          <w:color w:val="000000"/>
          <w:sz w:val="44"/>
          <w:szCs w:val="44"/>
          <w:highlight w:val="none"/>
        </w:rPr>
        <w:t>（征求意见稿）</w:t>
      </w:r>
    </w:p>
    <w:p w14:paraId="4E4EF33B">
      <w:pPr>
        <w:spacing w:line="520" w:lineRule="exact"/>
        <w:jc w:val="center"/>
        <w:rPr>
          <w:rFonts w:ascii="宋体" w:hAnsi="宋体" w:eastAsia="宋体" w:cs="宋体"/>
          <w:sz w:val="44"/>
          <w:szCs w:val="44"/>
          <w:highlight w:val="none"/>
        </w:rPr>
      </w:pPr>
    </w:p>
    <w:p w14:paraId="45D60995">
      <w:pPr>
        <w:spacing w:line="52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本指导原则旨在指导注册申请人对微生物培养监测仪注册申报资料的准备及撰写，同时也为技术审评部门审评注册申报资料提供参考。</w:t>
      </w:r>
    </w:p>
    <w:p w14:paraId="3F3A693A">
      <w:pPr>
        <w:spacing w:line="52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本指导原则是对微生物培养监测仪的一般要求，注册申请人应依据产品的具体特性确定其中内容是否适用。若不适用，需具体阐述理由及相应的科学依据，并依据产品的具体特性对注册申报资料的内容进行充实和细化。</w:t>
      </w:r>
    </w:p>
    <w:p w14:paraId="3EE3B694">
      <w:pPr>
        <w:spacing w:line="520" w:lineRule="exact"/>
        <w:ind w:firstLine="640" w:firstLineChars="200"/>
        <w:jc w:val="left"/>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本指导原则是供注册申请人和技术审评人员使用的指导性文件，但不包括审评审批所涉及的行政事项，亦不作为法规强制执行，应在遵循相关法规的前提下使用本指导原则。如果有能够满足相关法规要求的其他方法，也可以采用，但是需要提供详细的研究资料和验证资料。</w:t>
      </w:r>
    </w:p>
    <w:p w14:paraId="40E023CE">
      <w:pPr>
        <w:spacing w:line="52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color w:val="000000"/>
          <w:sz w:val="32"/>
          <w:szCs w:val="32"/>
          <w:highlight w:val="none"/>
        </w:rPr>
        <w:t>本指导原则是在现行法规和标准体系以及当前认知水平下制定，随着法规和标准的不断完善，以及科学技术的不断发展，相关内容也将适时进行调整。</w:t>
      </w:r>
    </w:p>
    <w:p w14:paraId="71CA8015">
      <w:pPr>
        <w:spacing w:line="520" w:lineRule="exact"/>
        <w:ind w:firstLine="640" w:firstLineChars="200"/>
        <w:outlineLvl w:val="0"/>
        <w:rPr>
          <w:rFonts w:ascii="Times New Roman" w:hAnsi="Times New Roman" w:eastAsia="黑体" w:cs="Times New Roman"/>
          <w:sz w:val="32"/>
          <w:szCs w:val="32"/>
          <w:highlight w:val="none"/>
        </w:rPr>
      </w:pPr>
      <w:bookmarkStart w:id="0" w:name="_Hlk69042049"/>
      <w:r>
        <w:rPr>
          <w:rFonts w:hint="eastAsia" w:ascii="Times New Roman" w:hAnsi="Times New Roman" w:eastAsia="黑体" w:cs="Times New Roman"/>
          <w:sz w:val="32"/>
          <w:szCs w:val="32"/>
          <w:highlight w:val="none"/>
        </w:rPr>
        <w:t>一、适用范围</w:t>
      </w:r>
    </w:p>
    <w:bookmarkEnd w:id="0"/>
    <w:p w14:paraId="00A09534">
      <w:pPr>
        <w:spacing w:line="520" w:lineRule="exact"/>
        <w:ind w:firstLine="640" w:firstLineChars="200"/>
        <w:jc w:val="left"/>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sz w:val="32"/>
          <w:szCs w:val="32"/>
          <w:highlight w:val="none"/>
        </w:rPr>
        <w:t>本指导原则适用于微生物培养监测仪</w:t>
      </w:r>
      <w:r>
        <w:rPr>
          <w:rFonts w:hint="eastAsia" w:ascii="Times New Roman" w:hAnsi="Times New Roman" w:eastAsia="仿宋_GB2312" w:cs="仿宋_GB2312"/>
          <w:snapToGrid w:val="0"/>
          <w:kern w:val="0"/>
          <w:sz w:val="32"/>
          <w:szCs w:val="32"/>
          <w:highlight w:val="none"/>
        </w:rPr>
        <w:t>的产品注册。按现行《医疗器械分类目录》，该类产品分类</w:t>
      </w:r>
      <w:r>
        <w:rPr>
          <w:rFonts w:hint="eastAsia" w:ascii="Times New Roman" w:hAnsi="Times New Roman" w:eastAsia="仿宋_GB2312" w:cs="Times New Roman"/>
          <w:color w:val="000000"/>
          <w:sz w:val="32"/>
          <w:szCs w:val="32"/>
          <w:highlight w:val="none"/>
        </w:rPr>
        <w:t>编码为22-06-02，</w:t>
      </w:r>
      <w:r>
        <w:rPr>
          <w:rFonts w:hint="eastAsia" w:ascii="Times New Roman" w:hAnsi="Times New Roman" w:eastAsia="仿宋_GB2312" w:cs="仿宋_GB2312"/>
          <w:snapToGrid w:val="0"/>
          <w:kern w:val="0"/>
          <w:sz w:val="32"/>
          <w:szCs w:val="32"/>
          <w:highlight w:val="none"/>
        </w:rPr>
        <w:t>管理类别为Ⅱ类。</w:t>
      </w:r>
    </w:p>
    <w:p w14:paraId="2B888AD6">
      <w:pPr>
        <w:spacing w:line="520" w:lineRule="exact"/>
        <w:ind w:firstLine="640" w:firstLineChars="200"/>
        <w:outlineLvl w:val="0"/>
        <w:rPr>
          <w:rFonts w:ascii="黑体" w:hAnsi="黑体" w:eastAsia="黑体" w:cs="宋体"/>
          <w:kern w:val="0"/>
          <w:sz w:val="32"/>
          <w:szCs w:val="32"/>
          <w:highlight w:val="none"/>
        </w:rPr>
      </w:pPr>
      <w:r>
        <w:rPr>
          <w:rFonts w:hint="eastAsia" w:ascii="黑体" w:hAnsi="黑体" w:eastAsia="黑体" w:cs="宋体"/>
          <w:kern w:val="0"/>
          <w:sz w:val="32"/>
          <w:szCs w:val="32"/>
          <w:highlight w:val="none"/>
        </w:rPr>
        <w:t>二、注册审查要点</w:t>
      </w:r>
    </w:p>
    <w:p w14:paraId="30430E42">
      <w:pPr>
        <w:spacing w:line="520" w:lineRule="exact"/>
        <w:ind w:firstLine="640" w:firstLineChars="200"/>
        <w:outlineLvl w:val="1"/>
        <w:rPr>
          <w:rFonts w:ascii="Times New Roman" w:hAnsi="Times New Roman" w:eastAsia="楷体_GB2312" w:cs="Times New Roman"/>
          <w:sz w:val="32"/>
          <w:szCs w:val="32"/>
          <w:highlight w:val="none"/>
        </w:rPr>
      </w:pPr>
      <w:r>
        <w:rPr>
          <w:rFonts w:hint="eastAsia" w:ascii="Times New Roman" w:hAnsi="Times New Roman" w:eastAsia="楷体_GB2312" w:cs="Times New Roman"/>
          <w:sz w:val="32"/>
          <w:szCs w:val="32"/>
          <w:highlight w:val="none"/>
        </w:rPr>
        <w:t>（一）监管信息</w:t>
      </w:r>
    </w:p>
    <w:p w14:paraId="1786C924">
      <w:pPr>
        <w:adjustRightInd w:val="0"/>
        <w:snapToGrid w:val="0"/>
        <w:spacing w:line="520" w:lineRule="exact"/>
        <w:ind w:firstLine="640" w:firstLineChars="200"/>
        <w:rPr>
          <w:rFonts w:ascii="Tahoma" w:hAnsi="Tahoma" w:eastAsia="楷体_GB2312" w:cs="Times New Roman"/>
          <w:sz w:val="32"/>
          <w:szCs w:val="32"/>
          <w:highlight w:val="none"/>
        </w:rPr>
      </w:pPr>
      <w:r>
        <w:rPr>
          <w:rFonts w:hint="eastAsia" w:ascii="Tahoma" w:hAnsi="Tahoma" w:eastAsia="仿宋_GB2312" w:cs="Times New Roman"/>
          <w:color w:val="000000"/>
          <w:sz w:val="32"/>
          <w:szCs w:val="32"/>
          <w:highlight w:val="none"/>
        </w:rPr>
        <w:t>明确申请表中</w:t>
      </w:r>
      <w:r>
        <w:rPr>
          <w:rFonts w:ascii="Tahoma" w:hAnsi="Tahoma" w:eastAsia="仿宋_GB2312" w:cs="Times New Roman"/>
          <w:snapToGrid w:val="0"/>
          <w:color w:val="000000"/>
          <w:kern w:val="0"/>
          <w:sz w:val="32"/>
          <w:szCs w:val="32"/>
          <w:highlight w:val="none"/>
        </w:rPr>
        <w:t>产品名称</w:t>
      </w:r>
      <w:r>
        <w:rPr>
          <w:rFonts w:hint="eastAsia" w:ascii="Tahoma" w:hAnsi="Tahoma" w:eastAsia="仿宋_GB2312" w:cs="Times New Roman"/>
          <w:snapToGrid w:val="0"/>
          <w:color w:val="000000"/>
          <w:kern w:val="0"/>
          <w:sz w:val="32"/>
          <w:szCs w:val="32"/>
          <w:highlight w:val="none"/>
        </w:rPr>
        <w:t>、</w:t>
      </w:r>
      <w:r>
        <w:rPr>
          <w:rFonts w:ascii="Tahoma" w:hAnsi="Tahoma" w:eastAsia="仿宋_GB2312" w:cs="Times New Roman"/>
          <w:snapToGrid w:val="0"/>
          <w:color w:val="000000"/>
          <w:kern w:val="0"/>
          <w:sz w:val="32"/>
          <w:szCs w:val="32"/>
          <w:highlight w:val="none"/>
        </w:rPr>
        <w:t>管理类别、分类编码</w:t>
      </w:r>
      <w:r>
        <w:rPr>
          <w:rFonts w:hint="eastAsia" w:ascii="Tahoma" w:hAnsi="Tahoma" w:eastAsia="仿宋_GB2312" w:cs="Times New Roman"/>
          <w:snapToGrid w:val="0"/>
          <w:color w:val="000000"/>
          <w:kern w:val="0"/>
          <w:sz w:val="32"/>
          <w:szCs w:val="32"/>
          <w:highlight w:val="none"/>
        </w:rPr>
        <w:t>、型号规格、产品组成等信息</w:t>
      </w:r>
      <w:r>
        <w:rPr>
          <w:rFonts w:ascii="Tahoma" w:hAnsi="Tahoma" w:eastAsia="仿宋_GB2312" w:cs="Times New Roman"/>
          <w:snapToGrid w:val="0"/>
          <w:color w:val="000000"/>
          <w:kern w:val="0"/>
          <w:sz w:val="32"/>
          <w:szCs w:val="32"/>
          <w:highlight w:val="none"/>
        </w:rPr>
        <w:t>。</w:t>
      </w:r>
    </w:p>
    <w:p w14:paraId="28DF2D07">
      <w:pPr>
        <w:spacing w:line="520" w:lineRule="exact"/>
        <w:ind w:firstLine="640" w:firstLineChars="200"/>
        <w:outlineLvl w:val="2"/>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1.产品名称</w:t>
      </w:r>
    </w:p>
    <w:p w14:paraId="14CF378E">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2"/>
          <w:szCs w:val="32"/>
          <w:highlight w:val="none"/>
        </w:rPr>
        <w:t>产品命名应符合《医疗器械通用名称命名规则》《临床检验器械通用名称命名指导原则》的要求。产品名称通常由一个核心词和不超过三个的特征词组成，并以体现产品技术结构特征、功能属性以及自动化程度为基本准则，例如：微生物培养监测仪、血液微生物培养监测仪。</w:t>
      </w:r>
    </w:p>
    <w:p w14:paraId="6C9301C9">
      <w:pPr>
        <w:overflowPunct w:val="0"/>
        <w:autoSpaceDE w:val="0"/>
        <w:autoSpaceDN w:val="0"/>
        <w:spacing w:line="520" w:lineRule="exact"/>
        <w:ind w:firstLine="640" w:firstLineChars="200"/>
        <w:outlineLvl w:val="2"/>
        <w:rPr>
          <w:rFonts w:ascii="Times New Roman" w:hAnsi="Times New Roman" w:eastAsia="仿宋_GB2312" w:cs="Times New Roman"/>
          <w:snapToGrid w:val="0"/>
          <w:kern w:val="0"/>
          <w:sz w:val="32"/>
          <w:szCs w:val="32"/>
          <w:highlight w:val="none"/>
        </w:rPr>
      </w:pPr>
      <w:r>
        <w:rPr>
          <w:rFonts w:hint="eastAsia" w:ascii="Times New Roman" w:hAnsi="Times New Roman" w:eastAsia="仿宋_GB2312" w:cs="Times New Roman"/>
          <w:snapToGrid w:val="0"/>
          <w:kern w:val="0"/>
          <w:sz w:val="32"/>
          <w:szCs w:val="32"/>
          <w:highlight w:val="none"/>
        </w:rPr>
        <w:t>2.分类编码</w:t>
      </w:r>
    </w:p>
    <w:p w14:paraId="5EB8713E">
      <w:pPr>
        <w:overflowPunct w:val="0"/>
        <w:autoSpaceDE w:val="0"/>
        <w:autoSpaceDN w:val="0"/>
        <w:spacing w:line="52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napToGrid w:val="0"/>
          <w:kern w:val="0"/>
          <w:sz w:val="32"/>
          <w:szCs w:val="32"/>
          <w:highlight w:val="none"/>
        </w:rPr>
        <w:t>依据</w:t>
      </w:r>
      <w:r>
        <w:rPr>
          <w:rFonts w:ascii="Times New Roman" w:hAnsi="Times New Roman" w:eastAsia="仿宋_GB2312" w:cs="Times New Roman"/>
          <w:snapToGrid w:val="0"/>
          <w:kern w:val="0"/>
          <w:sz w:val="32"/>
          <w:szCs w:val="32"/>
          <w:highlight w:val="none"/>
        </w:rPr>
        <w:t>《医疗器械分类目录》，申报产品</w:t>
      </w:r>
      <w:r>
        <w:rPr>
          <w:rFonts w:hint="eastAsia" w:ascii="Times New Roman" w:hAnsi="Times New Roman" w:eastAsia="仿宋_GB2312" w:cs="Times New Roman"/>
          <w:snapToGrid w:val="0"/>
          <w:kern w:val="0"/>
          <w:sz w:val="32"/>
          <w:szCs w:val="32"/>
          <w:highlight w:val="none"/>
        </w:rPr>
        <w:t>分类</w:t>
      </w:r>
      <w:r>
        <w:rPr>
          <w:rFonts w:ascii="Times New Roman" w:hAnsi="Times New Roman" w:eastAsia="仿宋_GB2312" w:cs="Times New Roman"/>
          <w:snapToGrid w:val="0"/>
          <w:kern w:val="0"/>
          <w:sz w:val="32"/>
          <w:szCs w:val="32"/>
          <w:highlight w:val="none"/>
        </w:rPr>
        <w:t>编码为</w:t>
      </w:r>
      <w:r>
        <w:rPr>
          <w:rFonts w:hint="eastAsia" w:ascii="Times New Roman" w:hAnsi="Times New Roman" w:eastAsia="仿宋_GB2312" w:cs="Times New Roman"/>
          <w:snapToGrid w:val="0"/>
          <w:kern w:val="0"/>
          <w:sz w:val="32"/>
          <w:szCs w:val="32"/>
          <w:highlight w:val="none"/>
        </w:rPr>
        <w:t>22-06-02</w:t>
      </w:r>
      <w:r>
        <w:rPr>
          <w:rFonts w:ascii="Times New Roman" w:hAnsi="Times New Roman" w:eastAsia="仿宋_GB2312" w:cs="Times New Roman"/>
          <w:snapToGrid w:val="0"/>
          <w:kern w:val="0"/>
          <w:sz w:val="32"/>
          <w:szCs w:val="32"/>
          <w:highlight w:val="none"/>
        </w:rPr>
        <w:t>。</w:t>
      </w:r>
    </w:p>
    <w:p w14:paraId="64DD4B70">
      <w:pPr>
        <w:spacing w:line="520" w:lineRule="exact"/>
        <w:ind w:firstLine="636" w:firstLineChars="200"/>
        <w:outlineLvl w:val="2"/>
        <w:rPr>
          <w:rFonts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2"/>
          <w:szCs w:val="32"/>
          <w:highlight w:val="none"/>
        </w:rPr>
        <w:t>3.</w:t>
      </w:r>
      <w:r>
        <w:rPr>
          <w:rFonts w:ascii="Times New Roman" w:hAnsi="Times New Roman" w:eastAsia="仿宋_GB2312" w:cs="Times New Roman"/>
          <w:sz w:val="32"/>
          <w:szCs w:val="32"/>
          <w:highlight w:val="none"/>
        </w:rPr>
        <w:t>注册单元划分</w:t>
      </w:r>
      <w:r>
        <w:rPr>
          <w:rFonts w:hint="eastAsia" w:ascii="Times New Roman" w:hAnsi="Times New Roman" w:eastAsia="仿宋_GB2312" w:cs="Times New Roman"/>
          <w:sz w:val="32"/>
          <w:szCs w:val="32"/>
          <w:highlight w:val="none"/>
        </w:rPr>
        <w:t>的原则和实例</w:t>
      </w:r>
    </w:p>
    <w:p w14:paraId="18A3E174">
      <w:pPr>
        <w:widowControl/>
        <w:pBdr>
          <w:top w:val="none" w:color="auto" w:sz="0" w:space="0"/>
          <w:left w:val="none" w:color="auto" w:sz="0" w:space="0"/>
          <w:bottom w:val="none" w:color="auto" w:sz="0" w:space="0"/>
          <w:right w:val="none" w:color="auto" w:sz="0" w:space="0"/>
        </w:pBdr>
        <w:spacing w:line="520" w:lineRule="exact"/>
        <w:ind w:firstLine="636" w:firstLineChars="200"/>
        <w:jc w:val="left"/>
        <w:rPr>
          <w:rFonts w:hint="eastAsia"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2"/>
          <w:szCs w:val="32"/>
          <w:highlight w:val="none"/>
        </w:rPr>
        <w:t>注册单元划分应符合《医疗器械注册单元划分指导原则》，</w:t>
      </w:r>
      <w:r>
        <w:rPr>
          <w:rFonts w:hint="eastAsia" w:ascii="Times New Roman" w:hAnsi="Times New Roman" w:eastAsia="仿宋_GB2312" w:cs="Times New Roman"/>
          <w:sz w:val="32"/>
          <w:szCs w:val="32"/>
          <w:highlight w:val="none"/>
        </w:rPr>
        <w:t>原则上</w:t>
      </w:r>
      <w:r>
        <w:rPr>
          <w:rFonts w:hint="eastAsia" w:ascii="Times New Roman" w:hAnsi="Times New Roman" w:eastAsia="仿宋_GB2312" w:cs="Times New Roman"/>
          <w:color w:val="000000"/>
          <w:spacing w:val="-1"/>
          <w:sz w:val="32"/>
          <w:szCs w:val="32"/>
          <w:highlight w:val="none"/>
        </w:rPr>
        <w:t>以技术原理、结构组成、检测方法、性能指标、适用范围为主要依据。以下情形原则上划分为不同注册单元：（1）检测原理不同；（2）自动化程度不同；（3）关键检测技术或核心模块存在本质差异。</w:t>
      </w:r>
      <w:r>
        <w:rPr>
          <w:rFonts w:hint="eastAsia" w:ascii="Times New Roman" w:hAnsi="Times New Roman" w:eastAsia="仿宋_GB2312" w:cs="Times New Roman"/>
          <w:color w:val="000000"/>
          <w:spacing w:val="-1"/>
          <w:sz w:val="32"/>
          <w:szCs w:val="32"/>
          <w:highlight w:val="none"/>
          <w:lang w:val="en-US" w:eastAsia="zh-CN"/>
        </w:rPr>
        <w:t>例如：</w:t>
      </w:r>
      <w:r>
        <w:rPr>
          <w:rFonts w:hint="eastAsia" w:ascii="Times New Roman" w:hAnsi="Times New Roman" w:eastAsia="仿宋_GB2312" w:cs="Times New Roman"/>
          <w:color w:val="000000"/>
          <w:spacing w:val="-1"/>
          <w:kern w:val="2"/>
          <w:sz w:val="32"/>
          <w:szCs w:val="32"/>
          <w:highlight w:val="none"/>
          <w:lang w:val="en-US" w:eastAsia="zh-CN" w:bidi="ar"/>
        </w:rPr>
        <w:t>色原法、荧光法、气压法微生物培养监测仪检测原理、光路系统存在本质区别；半自动与全自动机型自动化程度、结构组成</w:t>
      </w:r>
      <w:r>
        <w:rPr>
          <w:rFonts w:hint="eastAsia" w:ascii="Times New Roman" w:hAnsi="Times New Roman" w:eastAsia="仿宋_GB2312" w:cs="Times New Roman"/>
          <w:color w:val="000000"/>
          <w:spacing w:val="-1"/>
          <w:sz w:val="32"/>
          <w:szCs w:val="32"/>
          <w:highlight w:val="none"/>
        </w:rPr>
        <w:t>等方面</w:t>
      </w:r>
      <w:r>
        <w:rPr>
          <w:rFonts w:hint="eastAsia" w:ascii="Times New Roman" w:hAnsi="Times New Roman" w:eastAsia="仿宋_GB2312" w:cs="Times New Roman"/>
          <w:color w:val="000000"/>
          <w:spacing w:val="-1"/>
          <w:kern w:val="2"/>
          <w:sz w:val="32"/>
          <w:szCs w:val="32"/>
          <w:highlight w:val="none"/>
          <w:lang w:val="en-US" w:eastAsia="zh-CN" w:bidi="ar"/>
        </w:rPr>
        <w:t>差异显著；单温区与双温区机型温控核心模块、控温算法不同，以上三类情形均建议划分为不同注册单元。</w:t>
      </w:r>
    </w:p>
    <w:p w14:paraId="620CE9D8">
      <w:pPr>
        <w:widowControl/>
        <w:spacing w:line="520" w:lineRule="exact"/>
        <w:ind w:right="-67" w:rightChars="-32" w:firstLine="640" w:firstLineChars="200"/>
        <w:outlineLvl w:val="2"/>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4.产品列表</w:t>
      </w:r>
    </w:p>
    <w:p w14:paraId="2473E0FB">
      <w:pPr>
        <w:widowControl/>
        <w:spacing w:line="520" w:lineRule="exact"/>
        <w:ind w:right="-67" w:rightChars="-32" w:firstLine="640" w:firstLineChars="200"/>
        <w:rPr>
          <w:rFonts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sz w:val="32"/>
          <w:szCs w:val="32"/>
          <w:highlight w:val="none"/>
        </w:rPr>
        <w:t>以表格形式列出拟申报产品的型号、规格、结构及组成、附件，以及每个型号规格的标识（如型号或部件的编号，器械唯一标识等）和描述说明（如尺寸、材质等）。</w:t>
      </w:r>
    </w:p>
    <w:p w14:paraId="0C8ACB0A">
      <w:pPr>
        <w:numPr>
          <w:ilvl w:val="0"/>
          <w:numId w:val="1"/>
        </w:numPr>
        <w:spacing w:line="520" w:lineRule="exact"/>
        <w:ind w:firstLine="640" w:firstLineChars="200"/>
        <w:outlineLvl w:val="1"/>
        <w:rPr>
          <w:rFonts w:ascii="Times New Roman" w:hAnsi="Times New Roman" w:eastAsia="楷体_GB2312" w:cs="Times New Roman"/>
          <w:sz w:val="32"/>
          <w:szCs w:val="32"/>
          <w:highlight w:val="none"/>
        </w:rPr>
      </w:pPr>
      <w:r>
        <w:rPr>
          <w:rFonts w:hint="eastAsia" w:ascii="Times New Roman" w:hAnsi="Times New Roman" w:eastAsia="楷体_GB2312" w:cs="Times New Roman"/>
          <w:sz w:val="32"/>
          <w:szCs w:val="32"/>
          <w:highlight w:val="none"/>
        </w:rPr>
        <w:t>综述资料</w:t>
      </w:r>
    </w:p>
    <w:p w14:paraId="439BE78B">
      <w:pPr>
        <w:widowControl/>
        <w:spacing w:line="520" w:lineRule="exact"/>
        <w:ind w:right="-67" w:rightChars="-32" w:firstLine="640" w:firstLineChars="200"/>
        <w:outlineLvl w:val="2"/>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1.概述</w:t>
      </w:r>
    </w:p>
    <w:p w14:paraId="4F0EA014">
      <w:pPr>
        <w:widowControl/>
        <w:spacing w:line="520" w:lineRule="exact"/>
        <w:ind w:right="-67" w:rightChars="-32" w:firstLine="640" w:firstLineChars="200"/>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概述说明产品名称及确定依据、管理类别、分类编码、适用范围等。</w:t>
      </w:r>
    </w:p>
    <w:p w14:paraId="7F1FFE45">
      <w:pPr>
        <w:overflowPunct w:val="0"/>
        <w:autoSpaceDE w:val="0"/>
        <w:autoSpaceDN w:val="0"/>
        <w:spacing w:line="520" w:lineRule="exact"/>
        <w:ind w:right="210" w:firstLine="640" w:firstLineChars="200"/>
        <w:outlineLvl w:val="2"/>
        <w:rPr>
          <w:rFonts w:ascii="Times New Roman" w:hAnsi="Times New Roman" w:eastAsia="楷体_GB2312" w:cs="Times New Roman"/>
          <w:color w:val="000000"/>
          <w:sz w:val="32"/>
          <w:szCs w:val="32"/>
          <w:highlight w:val="none"/>
        </w:rPr>
      </w:pPr>
      <w:r>
        <w:rPr>
          <w:rFonts w:hint="eastAsia" w:ascii="Times New Roman" w:hAnsi="Times New Roman" w:eastAsia="楷体_GB2312" w:cs="Times New Roman"/>
          <w:color w:val="000000"/>
          <w:sz w:val="32"/>
          <w:szCs w:val="32"/>
          <w:highlight w:val="none"/>
        </w:rPr>
        <w:t>2.</w:t>
      </w:r>
      <w:r>
        <w:rPr>
          <w:rFonts w:hint="eastAsia" w:ascii="Times New Roman" w:hAnsi="Times New Roman" w:eastAsia="仿宋_GB2312" w:cs="Times New Roman"/>
          <w:color w:val="000000"/>
          <w:sz w:val="32"/>
          <w:szCs w:val="32"/>
          <w:highlight w:val="none"/>
        </w:rPr>
        <w:t>产品描述</w:t>
      </w:r>
    </w:p>
    <w:p w14:paraId="096AA990">
      <w:pPr>
        <w:overflowPunct w:val="0"/>
        <w:autoSpaceDE w:val="0"/>
        <w:autoSpaceDN w:val="0"/>
        <w:spacing w:line="520" w:lineRule="exact"/>
        <w:ind w:right="210" w:firstLine="640" w:firstLineChars="200"/>
        <w:outlineLvl w:val="3"/>
        <w:rPr>
          <w:rFonts w:ascii="Times New Roman" w:hAnsi="Times New Roman" w:eastAsia="仿宋_GB2312" w:cs="Times New Roman"/>
          <w:snapToGrid w:val="0"/>
          <w:kern w:val="0"/>
          <w:sz w:val="32"/>
          <w:szCs w:val="32"/>
          <w:highlight w:val="none"/>
        </w:rPr>
      </w:pPr>
      <w:r>
        <w:rPr>
          <w:rFonts w:hint="eastAsia" w:ascii="Times New Roman" w:hAnsi="Times New Roman" w:eastAsia="仿宋_GB2312" w:cs="Times New Roman"/>
          <w:snapToGrid w:val="0"/>
          <w:kern w:val="0"/>
          <w:sz w:val="32"/>
          <w:szCs w:val="32"/>
          <w:highlight w:val="none"/>
        </w:rPr>
        <w:t>2.1</w:t>
      </w:r>
      <w:r>
        <w:rPr>
          <w:rFonts w:ascii="Times New Roman" w:hAnsi="Times New Roman" w:eastAsia="仿宋_GB2312" w:cs="Times New Roman"/>
          <w:snapToGrid w:val="0"/>
          <w:kern w:val="0"/>
          <w:sz w:val="32"/>
          <w:szCs w:val="32"/>
          <w:highlight w:val="none"/>
        </w:rPr>
        <w:t>工作原理</w:t>
      </w:r>
    </w:p>
    <w:p w14:paraId="5BF79C9A">
      <w:pPr>
        <w:overflowPunct w:val="0"/>
        <w:autoSpaceDE w:val="0"/>
        <w:autoSpaceDN w:val="0"/>
        <w:spacing w:line="520" w:lineRule="exact"/>
        <w:ind w:right="210"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注册申请人应根据申报产品的具体特征，详细描述产品工作原理。产品工作原理一般包括通过测量压力感应，产色（二氧化碳）、荧光法来确定细菌悬浮在液体培养基的浓度。</w:t>
      </w:r>
    </w:p>
    <w:p w14:paraId="453FAEFD">
      <w:pPr>
        <w:spacing w:line="52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压力感应法：采用压力感应法的微生物培养监测仪，基于微生物代谢过程中产生的气体所引发的培养体系压力变化，检测样本中微生物是否存在。微生物在培养瓶内生长代谢过程中会产生各类气体，使密封培养瓶内的压力发生特异性改变；设备通过压力传感组件实时检测培养瓶内的压力变化，将压力信号转换为电信号并持续传输至软件系统。软件对压力信号的变化幅度、变化速率进行动态分析，结合预设判定标准，判断样本中是否存在微生物生长，最终给出培养结果的阴阳性判定。</w:t>
      </w:r>
    </w:p>
    <w:p w14:paraId="37290118">
      <w:pPr>
        <w:spacing w:line="52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产色（二氧化碳）：采用产色（二氧化碳）的微生物培养监测仪，通过检测微生物代谢过程中产生的特征性代谢产物所引发的显色变化，判定样本中微生物的生长情况。若样本中存在微生物，其代谢产生的特定产物与培养瓶配套感受器中的色原物质反应，使感受器产生可识别的颜色改变；设备通过光学组件发射特定波长的检测光照射感受器，光感元件捕捉反射光或透射光的强度变化，将光信号转换为电信号并传输至软件系统。软件依据光信号随时间的动态变化规律，分析判断样本中是否存在微生物，并给出阴阳性结果。</w:t>
      </w:r>
    </w:p>
    <w:p w14:paraId="3B1BBFC0">
      <w:pPr>
        <w:spacing w:line="520" w:lineRule="exact"/>
        <w:ind w:firstLine="640" w:firstLineChars="200"/>
        <w:rPr>
          <w:rFonts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sz w:val="32"/>
          <w:szCs w:val="32"/>
          <w:highlight w:val="none"/>
        </w:rPr>
        <w:t>荧光法：</w:t>
      </w:r>
      <w:r>
        <w:rPr>
          <w:rFonts w:hint="eastAsia" w:ascii="Times New Roman" w:hAnsi="Times New Roman" w:eastAsia="仿宋_GB2312" w:cs="Times New Roman"/>
          <w:color w:val="000000"/>
          <w:spacing w:val="-1"/>
          <w:sz w:val="32"/>
          <w:szCs w:val="32"/>
          <w:highlight w:val="none"/>
        </w:rPr>
        <w:t>采用荧光增强法的微生物培养监测仪，利用微生物代谢产物对荧光物质的特异性作用引发的荧光信号变化，实现微生物生长的实时监测。培养瓶配套的检测体系中含特定荧光探针，若样本中存在微生物，其代谢产生的特征性产物可与荧光探针发生相互作用，使荧光探针的荧光强度、荧光波长发生特异性改变；设备通过光学组件发射激发光激发荧光探针，同时利用荧光接收元件捕获荧光信号的变化，将荧光信号转化为可分析的电信号后传输至软件，软件根据荧光信号的动态变化趋势，判定样本中微生物的生长状态，实现阴阳性结果的判断。</w:t>
      </w:r>
    </w:p>
    <w:p w14:paraId="3297EDE9">
      <w:pPr>
        <w:spacing w:line="520" w:lineRule="exact"/>
        <w:ind w:firstLine="636" w:firstLineChars="200"/>
        <w:outlineLvl w:val="3"/>
        <w:rPr>
          <w:rFonts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2"/>
          <w:szCs w:val="32"/>
          <w:highlight w:val="none"/>
        </w:rPr>
        <w:t>2.2产品结构组成及主要功能</w:t>
      </w:r>
    </w:p>
    <w:p w14:paraId="098ED03A">
      <w:pPr>
        <w:spacing w:line="520" w:lineRule="exact"/>
        <w:ind w:firstLine="636"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color w:val="000000"/>
          <w:spacing w:val="-1"/>
          <w:sz w:val="32"/>
          <w:szCs w:val="32"/>
          <w:highlight w:val="none"/>
        </w:rPr>
        <w:t>产品主要由孵育模块、检测模块、控制/报警模块、</w:t>
      </w:r>
      <w:r>
        <w:rPr>
          <w:rFonts w:hint="eastAsia" w:ascii="Times New Roman" w:hAnsi="Times New Roman" w:eastAsia="仿宋_GB2312" w:cs="Times New Roman"/>
          <w:sz w:val="32"/>
          <w:szCs w:val="32"/>
          <w:highlight w:val="none"/>
        </w:rPr>
        <w:t>显示模块</w:t>
      </w:r>
      <w:r>
        <w:rPr>
          <w:rFonts w:hint="eastAsia" w:ascii="Times New Roman" w:hAnsi="Times New Roman" w:eastAsia="仿宋_GB2312" w:cs="Times New Roman"/>
          <w:color w:val="000000"/>
          <w:spacing w:val="-1"/>
          <w:sz w:val="32"/>
          <w:szCs w:val="32"/>
          <w:highlight w:val="none"/>
        </w:rPr>
        <w:t>和随机软件模块等组成。申请人应当根据拟申报产品的具体特征详细描述各组成模块、各模块的具体组成结构</w:t>
      </w:r>
      <w:r>
        <w:rPr>
          <w:rFonts w:hint="eastAsia" w:ascii="Times New Roman" w:hAnsi="Times New Roman" w:eastAsia="仿宋_GB2312" w:cs="Times New Roman"/>
          <w:sz w:val="32"/>
          <w:szCs w:val="32"/>
          <w:highlight w:val="none"/>
        </w:rPr>
        <w:t>，并详细描述拟申报产品的主要功能及各组成模块的功能，可以采用图示结合文字描述的形式给予明确说明。各模块核心组成及功能如下：</w:t>
      </w:r>
    </w:p>
    <w:p w14:paraId="46D6E69C">
      <w:pPr>
        <w:numPr>
          <w:ilvl w:val="0"/>
          <w:numId w:val="2"/>
        </w:numPr>
        <w:adjustRightInd w:val="0"/>
        <w:snapToGrid w:val="0"/>
        <w:spacing w:line="52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孵育模块：关键组件通常为瓶位架、加热部件、温度传感器等。主要功能为微生物生长营造稳定适宜的培养环境，通过加热膜、温度传感器与散热风扇的协同调控，将培养瓶所处环境温度精准控制在35°C±1°C，满足微生物生长的温度要求；若配备摆动功能，可通过驱动结构驱动摇摆架，带动培养瓶以固定幅度和频率摆动，促使样本与培养基充分混合，提升微生物与营养物质的接触效率，缩短培养周期。</w:t>
      </w:r>
    </w:p>
    <w:p w14:paraId="3D59C896">
      <w:pPr>
        <w:numPr>
          <w:ilvl w:val="0"/>
          <w:numId w:val="2"/>
        </w:numPr>
        <w:adjustRightInd w:val="0"/>
        <w:snapToGrid w:val="0"/>
        <w:spacing w:line="52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检测模块：关键组件根据检测方法学配置，产色（二氧化碳）法通常配置红光LED、PD光电转换二极管、信号处理板等；荧光法通常配置荧光激发光源、荧光接收组件、光学滤波单元等；压力感应法通常配置压力传感器、信号采集与转换模块等。主要功能为实时监测培养瓶内微生物生长相关信号变化，产色（二氧化碳）法利用特定波段检测光照射培养瓶侧壁的CO</w:t>
      </w:r>
      <w:r>
        <w:rPr>
          <w:rFonts w:hint="eastAsia" w:ascii="Times New Roman" w:hAnsi="Times New Roman" w:eastAsia="仿宋_GB2312" w:cs="Times New Roman"/>
          <w:sz w:val="32"/>
          <w:szCs w:val="32"/>
          <w:highlight w:val="none"/>
          <w:vertAlign w:val="subscript"/>
        </w:rPr>
        <w:t>2</w:t>
      </w:r>
      <w:r>
        <w:rPr>
          <w:rFonts w:hint="eastAsia" w:ascii="Times New Roman" w:hAnsi="Times New Roman" w:eastAsia="仿宋_GB2312" w:cs="Times New Roman"/>
          <w:sz w:val="32"/>
          <w:szCs w:val="32"/>
          <w:highlight w:val="none"/>
        </w:rPr>
        <w:t>敏感染色感受器，通过反射光强度变化捕捉微生物代谢产生的CO</w:t>
      </w:r>
      <w:r>
        <w:rPr>
          <w:rFonts w:hint="eastAsia" w:ascii="Times New Roman" w:hAnsi="Times New Roman" w:eastAsia="仿宋_GB2312" w:cs="Times New Roman"/>
          <w:sz w:val="32"/>
          <w:szCs w:val="32"/>
          <w:highlight w:val="none"/>
          <w:vertAlign w:val="subscript"/>
        </w:rPr>
        <w:t>2</w:t>
      </w:r>
      <w:r>
        <w:rPr>
          <w:rFonts w:hint="eastAsia" w:ascii="Times New Roman" w:hAnsi="Times New Roman" w:eastAsia="仿宋_GB2312" w:cs="Times New Roman"/>
          <w:sz w:val="32"/>
          <w:szCs w:val="32"/>
          <w:highlight w:val="none"/>
        </w:rPr>
        <w:t>信号；荧光法通过激发光源诱导荧光底物产生荧光信号，依据荧光强度变化反映微生物生长状态；压力感应法通过压力传感器检测微生物代谢产生的气体引发的瓶内压力变化。各类方法学的检测信号经滤波、放大、AD转换后，均传输至控制/报警模块用于后续分析判断。</w:t>
      </w:r>
    </w:p>
    <w:p w14:paraId="3870FB22">
      <w:pPr>
        <w:numPr>
          <w:ilvl w:val="0"/>
          <w:numId w:val="2"/>
        </w:numPr>
        <w:adjustRightInd w:val="0"/>
        <w:snapToGrid w:val="0"/>
        <w:spacing w:line="520" w:lineRule="exact"/>
        <w:ind w:firstLine="64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控制/报警模块：关键组件通常为核心控制电路板、位置传感器、协议路由通信板、信号接收与处理单元等。主要功能包含三方面：一是设备联动控制，接收各模块反馈信号，向孵育模块下发加热、摆动指令，向检测模块下发光学采集/压力采集指令，实现各模块的协同运行；二是报警逻辑控制，集成报警功能，当检测到孵育模块超温（应明确超温阈值，如&gt;40℃）、检测模块捕捉到阳性信号或设备出现运行故障时，即时向显示模块发送报警信号，触发弹窗/指示灯等报警状态变化；三是通信管理，通过协议路由通信板实现模块间的数据交互，同时支持产品对外接口的数据传输，保障设备与外部终端、级联设备的通信顺畅（若适用）。</w:t>
      </w:r>
    </w:p>
    <w:p w14:paraId="615F1C9E">
      <w:pPr>
        <w:numPr>
          <w:ilvl w:val="0"/>
          <w:numId w:val="2"/>
        </w:numPr>
        <w:adjustRightInd w:val="0"/>
        <w:snapToGrid w:val="0"/>
        <w:spacing w:line="52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显示模块：关键组件通常为显示屏幕等。主要功能为可视化展示设备运行及检测相关信息，包括各瓶位的培养状态、阴阳性判定结果、设备温度等运行参数；同时可支持用户操作交互，例如实现标本信息录入、检测曲线实时查看、历史数据查询、统计结果导出等功能。</w:t>
      </w:r>
    </w:p>
    <w:p w14:paraId="18D9CE5D">
      <w:pPr>
        <w:numPr>
          <w:ilvl w:val="0"/>
          <w:numId w:val="2"/>
        </w:numPr>
        <w:adjustRightInd w:val="0"/>
        <w:snapToGrid w:val="0"/>
        <w:spacing w:line="520" w:lineRule="exact"/>
        <w:ind w:firstLine="640" w:firstLineChars="200"/>
        <w:rPr>
          <w:rFonts w:ascii="Times New Roman" w:hAnsi="Times New Roman" w:eastAsia="仿宋_GB2312" w:cs="Times New Roman"/>
          <w:sz w:val="32"/>
          <w:szCs w:val="32"/>
          <w:highlight w:val="none"/>
        </w:rPr>
      </w:pPr>
      <w:r>
        <w:rPr>
          <w:rFonts w:ascii="Tahoma" w:hAnsi="Tahoma" w:eastAsia="仿宋_GB2312" w:cs="Times New Roman"/>
          <w:kern w:val="0"/>
          <w:sz w:val="32"/>
          <w:szCs w:val="32"/>
          <w:highlight w:val="none"/>
        </w:rPr>
        <w:t>软件主要用于仪器的程控操作、检测结果的数据处理和指示判定。</w:t>
      </w:r>
    </w:p>
    <w:p w14:paraId="76CE8E03">
      <w:pPr>
        <w:adjustRightInd w:val="0"/>
        <w:snapToGrid w:val="0"/>
        <w:spacing w:line="520" w:lineRule="exact"/>
        <w:ind w:firstLine="640" w:firstLineChars="200"/>
        <w:outlineLvl w:val="3"/>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2.3型号规格</w:t>
      </w:r>
    </w:p>
    <w:p w14:paraId="6D2B0D30">
      <w:pPr>
        <w:widowControl/>
        <w:spacing w:line="520" w:lineRule="exact"/>
        <w:ind w:firstLine="616" w:firstLineChars="200"/>
        <w:rPr>
          <w:rFonts w:ascii="Times New Roman" w:hAnsi="Times New Roman" w:eastAsia="仿宋_GB2312" w:cs="Times New Roman"/>
          <w:spacing w:val="-6"/>
          <w:sz w:val="32"/>
          <w:szCs w:val="32"/>
          <w:highlight w:val="none"/>
        </w:rPr>
      </w:pPr>
      <w:r>
        <w:rPr>
          <w:rFonts w:ascii="Times New Roman" w:hAnsi="Times New Roman" w:eastAsia="仿宋_GB2312" w:cs="Times New Roman"/>
          <w:spacing w:val="-6"/>
          <w:sz w:val="32"/>
          <w:szCs w:val="32"/>
          <w:highlight w:val="none"/>
        </w:rPr>
        <w:t>对于存在多种型号规格的</w:t>
      </w:r>
      <w:r>
        <w:rPr>
          <w:rFonts w:hint="eastAsia" w:ascii="Times New Roman" w:hAnsi="Times New Roman" w:eastAsia="仿宋_GB2312" w:cs="Times New Roman"/>
          <w:spacing w:val="-6"/>
          <w:sz w:val="32"/>
          <w:szCs w:val="32"/>
          <w:highlight w:val="none"/>
        </w:rPr>
        <w:t>微生物培养监测仪</w:t>
      </w:r>
      <w:r>
        <w:rPr>
          <w:rFonts w:ascii="Times New Roman" w:hAnsi="Times New Roman" w:eastAsia="仿宋_GB2312" w:cs="Times New Roman"/>
          <w:spacing w:val="-6"/>
          <w:sz w:val="32"/>
          <w:szCs w:val="32"/>
          <w:highlight w:val="none"/>
        </w:rPr>
        <w:t>，应当明确各型号规格的区别。应当采用对比表或带有说明性文字的图片、图表，描述各种型号规格的结构组成（或配置）、功能、产品特征和运行模式、技术参数等内容。</w:t>
      </w:r>
    </w:p>
    <w:p w14:paraId="27A5CD45">
      <w:pPr>
        <w:spacing w:line="520" w:lineRule="exact"/>
        <w:ind w:firstLine="640" w:firstLineChars="200"/>
        <w:outlineLvl w:val="2"/>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3.产品的适用范围、禁忌证</w:t>
      </w:r>
    </w:p>
    <w:p w14:paraId="1EC09A06">
      <w:pPr>
        <w:widowControl/>
        <w:spacing w:line="520" w:lineRule="exact"/>
        <w:ind w:firstLine="616" w:firstLineChars="200"/>
        <w:jc w:val="left"/>
        <w:outlineLvl w:val="3"/>
        <w:rPr>
          <w:rFonts w:ascii="Times New Roman" w:hAnsi="Times New Roman" w:eastAsia="仿宋_GB2312" w:cs="Times New Roman"/>
          <w:spacing w:val="-6"/>
          <w:sz w:val="32"/>
          <w:szCs w:val="32"/>
          <w:highlight w:val="none"/>
        </w:rPr>
      </w:pPr>
      <w:r>
        <w:rPr>
          <w:rFonts w:hint="eastAsia" w:ascii="Times New Roman" w:hAnsi="Times New Roman" w:eastAsia="仿宋_GB2312" w:cs="Times New Roman"/>
          <w:spacing w:val="-6"/>
          <w:sz w:val="32"/>
          <w:szCs w:val="32"/>
          <w:highlight w:val="none"/>
        </w:rPr>
        <w:t>3.1适用范围</w:t>
      </w:r>
    </w:p>
    <w:p w14:paraId="5DE1965E">
      <w:pPr>
        <w:adjustRightInd w:val="0"/>
        <w:snapToGrid w:val="0"/>
        <w:spacing w:line="520" w:lineRule="exact"/>
        <w:ind w:firstLine="640" w:firstLineChars="200"/>
        <w:rPr>
          <w:rFonts w:ascii="Tahoma" w:hAnsi="Tahoma" w:eastAsia="仿宋_GB2312" w:cs="Times New Roman"/>
          <w:sz w:val="32"/>
          <w:szCs w:val="32"/>
          <w:highlight w:val="none"/>
        </w:rPr>
      </w:pPr>
      <w:r>
        <w:rPr>
          <w:rFonts w:hint="eastAsia" w:ascii="Tahoma" w:hAnsi="Tahoma" w:eastAsia="仿宋_GB2312" w:cs="Times New Roman"/>
          <w:sz w:val="32"/>
          <w:szCs w:val="32"/>
          <w:highlight w:val="none"/>
        </w:rPr>
        <w:t>适用范围一般可描述为：</w:t>
      </w:r>
    </w:p>
    <w:p w14:paraId="32528B36">
      <w:pPr>
        <w:adjustRightInd w:val="0"/>
        <w:snapToGrid w:val="0"/>
        <w:spacing w:line="520" w:lineRule="exact"/>
        <w:ind w:firstLine="640" w:firstLineChars="200"/>
        <w:rPr>
          <w:rFonts w:ascii="Tahoma" w:hAnsi="Tahoma" w:eastAsia="仿宋_GB2312" w:cs="Times New Roman"/>
          <w:sz w:val="32"/>
          <w:szCs w:val="32"/>
          <w:highlight w:val="none"/>
        </w:rPr>
      </w:pPr>
      <w:r>
        <w:rPr>
          <w:rFonts w:hint="eastAsia" w:ascii="Tahoma" w:hAnsi="Tahoma" w:eastAsia="仿宋_GB2312" w:cs="Times New Roman"/>
          <w:sz w:val="32"/>
          <w:szCs w:val="32"/>
          <w:highlight w:val="none"/>
        </w:rPr>
        <w:t>如为封闭型：本仪器与XXX生产的XXX配套使用，用于临床培养、检测血液和体液等标本中需氧菌、厌氧菌、真菌和分枝杆菌等。</w:t>
      </w:r>
    </w:p>
    <w:p w14:paraId="23B36226">
      <w:pPr>
        <w:adjustRightInd w:val="0"/>
        <w:snapToGrid w:val="0"/>
        <w:spacing w:line="520" w:lineRule="exact"/>
        <w:ind w:firstLine="640" w:firstLineChars="200"/>
        <w:rPr>
          <w:rFonts w:ascii="Tahoma" w:hAnsi="Tahoma" w:eastAsia="仿宋_GB2312" w:cs="Times New Roman"/>
          <w:sz w:val="32"/>
          <w:szCs w:val="32"/>
          <w:highlight w:val="none"/>
        </w:rPr>
      </w:pPr>
      <w:r>
        <w:rPr>
          <w:rFonts w:hint="eastAsia" w:ascii="Tahoma" w:hAnsi="Tahoma" w:eastAsia="仿宋_GB2312" w:cs="Times New Roman"/>
          <w:sz w:val="32"/>
          <w:szCs w:val="32"/>
          <w:highlight w:val="none"/>
        </w:rPr>
        <w:t>如为开放型：用于临床培养、检测血液和体液等标本中需氧菌、厌氧菌、真菌和分枝杆菌等。</w:t>
      </w:r>
    </w:p>
    <w:p w14:paraId="33C902E1">
      <w:pPr>
        <w:widowControl/>
        <w:spacing w:line="520" w:lineRule="exact"/>
        <w:ind w:firstLine="616" w:firstLineChars="200"/>
        <w:jc w:val="left"/>
        <w:outlineLvl w:val="3"/>
        <w:rPr>
          <w:rFonts w:ascii="Times New Roman" w:hAnsi="Times New Roman" w:eastAsia="仿宋_GB2312" w:cs="Times New Roman"/>
          <w:spacing w:val="-6"/>
          <w:sz w:val="32"/>
          <w:szCs w:val="32"/>
          <w:highlight w:val="none"/>
        </w:rPr>
      </w:pPr>
      <w:r>
        <w:rPr>
          <w:rFonts w:ascii="Times New Roman" w:hAnsi="Times New Roman" w:eastAsia="仿宋_GB2312" w:cs="Times New Roman"/>
          <w:spacing w:val="-6"/>
          <w:sz w:val="32"/>
          <w:szCs w:val="32"/>
          <w:highlight w:val="none"/>
        </w:rPr>
        <w:t>3.2预期使用环境</w:t>
      </w:r>
    </w:p>
    <w:p w14:paraId="4180389F">
      <w:pPr>
        <w:spacing w:line="520" w:lineRule="exact"/>
        <w:ind w:firstLine="640" w:firstLineChars="200"/>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明确写明申报产品预期使用的地点，如医疗卫生机构检验科。</w:t>
      </w:r>
    </w:p>
    <w:p w14:paraId="6F08FF28">
      <w:pPr>
        <w:spacing w:line="520" w:lineRule="exact"/>
        <w:ind w:firstLine="640" w:firstLineChars="200"/>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明确写明可能会影响申报产品安全性和有效性的环境条件，即申报产品的正常工作条件，包括温度、湿度、海拔高度、电源要求等，对每一条件均应给出具体的指标要求。</w:t>
      </w:r>
    </w:p>
    <w:p w14:paraId="473181BD">
      <w:pPr>
        <w:spacing w:line="520" w:lineRule="exact"/>
        <w:ind w:firstLine="640" w:firstLineChars="200"/>
        <w:outlineLvl w:val="1"/>
        <w:rPr>
          <w:rFonts w:ascii="Times New Roman" w:hAnsi="Times New Roman" w:eastAsia="楷体_GB2312" w:cs="Times New Roman"/>
          <w:sz w:val="32"/>
          <w:szCs w:val="32"/>
          <w:highlight w:val="none"/>
        </w:rPr>
      </w:pPr>
      <w:r>
        <w:rPr>
          <w:rFonts w:hint="eastAsia" w:ascii="Times New Roman" w:hAnsi="Times New Roman" w:eastAsia="楷体_GB2312" w:cs="Times New Roman"/>
          <w:sz w:val="32"/>
          <w:szCs w:val="32"/>
          <w:highlight w:val="none"/>
        </w:rPr>
        <w:t>（三）非临床资料</w:t>
      </w:r>
    </w:p>
    <w:p w14:paraId="514B1231">
      <w:pPr>
        <w:overflowPunct w:val="0"/>
        <w:autoSpaceDE w:val="0"/>
        <w:autoSpaceDN w:val="0"/>
        <w:spacing w:line="520" w:lineRule="exact"/>
        <w:ind w:firstLine="640" w:firstLineChars="200"/>
        <w:outlineLvl w:val="2"/>
        <w:rPr>
          <w:rFonts w:ascii="Times New Roman" w:hAnsi="Times New Roman" w:eastAsia="仿宋_GB2312" w:cs="Times New Roman"/>
          <w:snapToGrid w:val="0"/>
          <w:kern w:val="0"/>
          <w:sz w:val="32"/>
          <w:szCs w:val="32"/>
          <w:highlight w:val="none"/>
        </w:rPr>
      </w:pPr>
      <w:r>
        <w:rPr>
          <w:rFonts w:hint="eastAsia" w:ascii="Times New Roman" w:hAnsi="Times New Roman" w:eastAsia="仿宋_GB2312" w:cs="Times New Roman"/>
          <w:snapToGrid w:val="0"/>
          <w:kern w:val="0"/>
          <w:sz w:val="32"/>
          <w:szCs w:val="32"/>
          <w:highlight w:val="none"/>
        </w:rPr>
        <w:t>1.产品风险管理资料</w:t>
      </w:r>
    </w:p>
    <w:p w14:paraId="4805B62B">
      <w:pPr>
        <w:spacing w:line="520" w:lineRule="exact"/>
        <w:ind w:firstLine="640" w:firstLineChars="200"/>
        <w:rPr>
          <w:rFonts w:ascii="Times New Roman" w:hAnsi="Times New Roman" w:eastAsia="仿宋_GB2312" w:cs="Times New Roman"/>
          <w:snapToGrid w:val="0"/>
          <w:kern w:val="0"/>
          <w:sz w:val="32"/>
          <w:szCs w:val="32"/>
          <w:highlight w:val="none"/>
        </w:rPr>
      </w:pPr>
      <w:r>
        <w:rPr>
          <w:rFonts w:hint="eastAsia" w:ascii="Times New Roman" w:hAnsi="Times New Roman" w:eastAsia="仿宋_GB2312" w:cs="Times New Roman"/>
          <w:snapToGrid w:val="0"/>
          <w:kern w:val="0"/>
          <w:sz w:val="32"/>
          <w:szCs w:val="32"/>
          <w:highlight w:val="none"/>
        </w:rPr>
        <w:t>应参照GB/T 42062和YY/T 1437的要求，提供风险管理报告。申请人需识别和判定与产品有关的危险，评估相关风险，控制风险并监测风险控制的安全性、有效性。申请人可以根据产品特征确定可能危险（源），采取相应控制措施，确保产品风险降至可接受的程度。</w:t>
      </w:r>
    </w:p>
    <w:p w14:paraId="1E2A7DB1">
      <w:pPr>
        <w:spacing w:line="520" w:lineRule="exact"/>
        <w:ind w:firstLine="636" w:firstLineChars="200"/>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pacing w:val="-1"/>
          <w:sz w:val="32"/>
          <w:szCs w:val="32"/>
          <w:highlight w:val="none"/>
        </w:rPr>
        <w:t>1.1</w:t>
      </w:r>
      <w:r>
        <w:rPr>
          <w:rFonts w:ascii="Times New Roman" w:hAnsi="Times New Roman" w:eastAsia="仿宋_GB2312" w:cs="Times New Roman"/>
          <w:color w:val="000000"/>
          <w:sz w:val="32"/>
          <w:szCs w:val="32"/>
          <w:highlight w:val="none"/>
        </w:rPr>
        <w:t>风险分析：包括医疗器械适用范围和与安全性有关特征的识别、危害的识别、估计每个危害处境的风险。</w:t>
      </w:r>
    </w:p>
    <w:p w14:paraId="5F24C29F">
      <w:pPr>
        <w:spacing w:line="520" w:lineRule="exact"/>
        <w:ind w:firstLine="636" w:firstLineChars="200"/>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pacing w:val="-1"/>
          <w:sz w:val="32"/>
          <w:szCs w:val="32"/>
          <w:highlight w:val="none"/>
        </w:rPr>
        <w:t>1.</w:t>
      </w:r>
      <w:r>
        <w:rPr>
          <w:rFonts w:ascii="Times New Roman" w:hAnsi="Times New Roman" w:eastAsia="仿宋_GB2312" w:cs="Times New Roman"/>
          <w:color w:val="000000"/>
          <w:sz w:val="32"/>
          <w:szCs w:val="32"/>
          <w:highlight w:val="none"/>
        </w:rPr>
        <w:t>2风险评价：对于每个已识别的危害处境，评价和决定是否需要降低风险，若需要，描述如何进行相应风险控制。</w:t>
      </w:r>
    </w:p>
    <w:p w14:paraId="204B2701">
      <w:pPr>
        <w:spacing w:line="520" w:lineRule="exact"/>
        <w:ind w:firstLine="636" w:firstLineChars="200"/>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pacing w:val="-1"/>
          <w:sz w:val="32"/>
          <w:szCs w:val="32"/>
          <w:highlight w:val="none"/>
        </w:rPr>
        <w:t>1.</w:t>
      </w:r>
      <w:r>
        <w:rPr>
          <w:rFonts w:ascii="Times New Roman" w:hAnsi="Times New Roman" w:eastAsia="仿宋_GB2312" w:cs="Times New Roman"/>
          <w:color w:val="000000"/>
          <w:sz w:val="32"/>
          <w:szCs w:val="32"/>
          <w:highlight w:val="none"/>
        </w:rPr>
        <w:t>3风险控制：描述为降低风险所执行风险控制的相关内容。</w:t>
      </w:r>
    </w:p>
    <w:p w14:paraId="7E2411A6">
      <w:pPr>
        <w:spacing w:line="520" w:lineRule="exact"/>
        <w:ind w:firstLine="636" w:firstLineChars="200"/>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pacing w:val="-1"/>
          <w:sz w:val="32"/>
          <w:szCs w:val="32"/>
          <w:highlight w:val="none"/>
        </w:rPr>
        <w:t>1.</w:t>
      </w:r>
      <w:r>
        <w:rPr>
          <w:rFonts w:ascii="Times New Roman" w:hAnsi="Times New Roman" w:eastAsia="仿宋_GB2312" w:cs="Times New Roman"/>
          <w:color w:val="000000"/>
          <w:sz w:val="32"/>
          <w:szCs w:val="32"/>
          <w:highlight w:val="none"/>
        </w:rPr>
        <w:t>4任何一个或多个剩余风险的可接受性评定。</w:t>
      </w:r>
    </w:p>
    <w:p w14:paraId="48C607AA">
      <w:pPr>
        <w:spacing w:line="520" w:lineRule="exact"/>
        <w:ind w:firstLine="636" w:firstLineChars="200"/>
        <w:rPr>
          <w:rFonts w:ascii="Times New Roman" w:hAnsi="Times New Roman" w:eastAsia="仿宋_GB2312" w:cs="Times New Roman"/>
          <w:bCs/>
          <w:color w:val="000000"/>
          <w:sz w:val="32"/>
          <w:szCs w:val="32"/>
          <w:highlight w:val="none"/>
        </w:rPr>
      </w:pPr>
      <w:r>
        <w:rPr>
          <w:rFonts w:hint="eastAsia" w:ascii="Times New Roman" w:hAnsi="Times New Roman" w:eastAsia="仿宋_GB2312" w:cs="Times New Roman"/>
          <w:color w:val="000000"/>
          <w:spacing w:val="-1"/>
          <w:sz w:val="32"/>
          <w:szCs w:val="32"/>
          <w:highlight w:val="none"/>
        </w:rPr>
        <w:t>1.</w:t>
      </w:r>
      <w:r>
        <w:rPr>
          <w:rFonts w:ascii="Times New Roman" w:hAnsi="Times New Roman" w:eastAsia="仿宋_GB2312" w:cs="Times New Roman"/>
          <w:color w:val="000000"/>
          <w:sz w:val="32"/>
          <w:szCs w:val="32"/>
          <w:highlight w:val="none"/>
        </w:rPr>
        <w:t>5与产品受益相比，综合评价产品风险可接受。</w:t>
      </w:r>
    </w:p>
    <w:p w14:paraId="7020D00F">
      <w:pPr>
        <w:spacing w:line="520" w:lineRule="exact"/>
        <w:ind w:firstLine="640" w:firstLineChars="200"/>
        <w:rPr>
          <w:rFonts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sz w:val="32"/>
          <w:szCs w:val="32"/>
          <w:highlight w:val="none"/>
        </w:rPr>
        <w:t>风险分析至少应包括表1内容，申请人还应根据产品的自身特点确定其他危险。</w:t>
      </w:r>
      <w:r>
        <w:rPr>
          <w:rFonts w:hint="eastAsia" w:ascii="Times New Roman" w:hAnsi="Times New Roman" w:eastAsia="仿宋_GB2312" w:cs="Times New Roman"/>
          <w:color w:val="000000"/>
          <w:spacing w:val="-1"/>
          <w:sz w:val="32"/>
          <w:szCs w:val="32"/>
          <w:highlight w:val="none"/>
        </w:rPr>
        <w:t>重点评价以下风险：（1）检测结果不准确导致误诊、误治；（2）生物污染、交叉感染、生物安全风险；（3）电气安全、热风险、机械风险；（4）软件错误、数据丢失、通讯故障；（5）校准失效、维护不当、携带污染。</w:t>
      </w:r>
    </w:p>
    <w:p w14:paraId="35DABE58">
      <w:pPr>
        <w:spacing w:line="520" w:lineRule="exact"/>
        <w:jc w:val="center"/>
        <w:rPr>
          <w:rFonts w:ascii="Times New Roman" w:hAnsi="Times New Roman" w:eastAsia="黑体" w:cs="Times New Roman"/>
          <w:bCs/>
          <w:sz w:val="28"/>
          <w:szCs w:val="28"/>
          <w:highlight w:val="none"/>
        </w:rPr>
      </w:pPr>
      <w:r>
        <w:rPr>
          <w:rFonts w:hint="eastAsia" w:ascii="Times New Roman" w:hAnsi="Times New Roman" w:eastAsia="黑体" w:cs="Times New Roman"/>
          <w:bCs/>
          <w:sz w:val="28"/>
          <w:szCs w:val="28"/>
          <w:highlight w:val="none"/>
        </w:rPr>
        <w:t xml:space="preserve">表1 </w:t>
      </w:r>
      <w:r>
        <w:rPr>
          <w:rFonts w:ascii="Times New Roman" w:hAnsi="Times New Roman" w:eastAsia="黑体" w:cs="Times New Roman"/>
          <w:bCs/>
          <w:sz w:val="28"/>
          <w:szCs w:val="28"/>
          <w:highlight w:val="none"/>
        </w:rPr>
        <w:t>危</w:t>
      </w:r>
      <w:r>
        <w:rPr>
          <w:rFonts w:hint="eastAsia" w:ascii="Times New Roman" w:hAnsi="Times New Roman" w:eastAsia="黑体" w:cs="Times New Roman"/>
          <w:bCs/>
          <w:sz w:val="28"/>
          <w:szCs w:val="28"/>
          <w:highlight w:val="none"/>
        </w:rPr>
        <w:t>险</w:t>
      </w:r>
      <w:r>
        <w:rPr>
          <w:rFonts w:ascii="Times New Roman" w:hAnsi="Times New Roman" w:eastAsia="黑体" w:cs="Times New Roman"/>
          <w:bCs/>
          <w:sz w:val="28"/>
          <w:szCs w:val="28"/>
          <w:highlight w:val="none"/>
        </w:rPr>
        <w:t>、可预见事件序列、</w:t>
      </w:r>
      <w:r>
        <w:rPr>
          <w:rFonts w:hint="eastAsia" w:ascii="Times New Roman" w:hAnsi="Times New Roman" w:eastAsia="黑体" w:cs="Times New Roman"/>
          <w:bCs/>
          <w:sz w:val="28"/>
          <w:szCs w:val="28"/>
          <w:highlight w:val="none"/>
        </w:rPr>
        <w:t>危险情况和可能发生的伤害之间的关系</w:t>
      </w:r>
    </w:p>
    <w:p w14:paraId="23C50937">
      <w:pPr>
        <w:spacing w:line="200" w:lineRule="exact"/>
        <w:jc w:val="left"/>
        <w:rPr>
          <w:rFonts w:ascii="Times New Roman" w:hAnsi="Times New Roman" w:eastAsia="黑体" w:cs="Times New Roman"/>
          <w:bCs/>
          <w:sz w:val="28"/>
          <w:szCs w:val="28"/>
          <w:highlight w:val="none"/>
        </w:rPr>
      </w:pPr>
    </w:p>
    <w:tbl>
      <w:tblPr>
        <w:tblStyle w:val="8"/>
        <w:tblW w:w="9540"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0"/>
        <w:gridCol w:w="3076"/>
        <w:gridCol w:w="2648"/>
        <w:gridCol w:w="2196"/>
      </w:tblGrid>
      <w:tr w14:paraId="1CF29BE1">
        <w:trPr>
          <w:tblHeader/>
        </w:trPr>
        <w:tc>
          <w:tcPr>
            <w:tcW w:w="1620" w:type="dxa"/>
            <w:vAlign w:val="center"/>
          </w:tcPr>
          <w:p w14:paraId="58FF5540">
            <w:pPr>
              <w:spacing w:line="400" w:lineRule="exact"/>
              <w:jc w:val="center"/>
              <w:rPr>
                <w:rFonts w:ascii="Times New Roman" w:hAnsi="Times New Roman" w:eastAsia="黑体" w:cs="Times New Roman"/>
                <w:bCs/>
                <w:sz w:val="28"/>
                <w:szCs w:val="28"/>
                <w:highlight w:val="none"/>
              </w:rPr>
            </w:pPr>
            <w:r>
              <w:rPr>
                <w:rFonts w:ascii="Times New Roman" w:hAnsi="Times New Roman" w:eastAsia="黑体" w:cs="Times New Roman"/>
                <w:bCs/>
                <w:sz w:val="28"/>
                <w:szCs w:val="28"/>
                <w:highlight w:val="none"/>
              </w:rPr>
              <w:t>危</w:t>
            </w:r>
            <w:r>
              <w:rPr>
                <w:rFonts w:hint="eastAsia" w:ascii="Times New Roman" w:hAnsi="Times New Roman" w:eastAsia="黑体" w:cs="Times New Roman"/>
                <w:bCs/>
                <w:sz w:val="28"/>
                <w:szCs w:val="28"/>
                <w:highlight w:val="none"/>
              </w:rPr>
              <w:t>险</w:t>
            </w:r>
          </w:p>
        </w:tc>
        <w:tc>
          <w:tcPr>
            <w:tcW w:w="3076" w:type="dxa"/>
            <w:vAlign w:val="center"/>
          </w:tcPr>
          <w:p w14:paraId="56766306">
            <w:pPr>
              <w:spacing w:line="400" w:lineRule="exact"/>
              <w:jc w:val="center"/>
              <w:rPr>
                <w:rFonts w:ascii="Times New Roman" w:hAnsi="Times New Roman" w:eastAsia="黑体" w:cs="Times New Roman"/>
                <w:bCs/>
                <w:sz w:val="28"/>
                <w:szCs w:val="28"/>
                <w:highlight w:val="none"/>
              </w:rPr>
            </w:pPr>
            <w:r>
              <w:rPr>
                <w:rFonts w:ascii="Times New Roman" w:hAnsi="Times New Roman" w:eastAsia="黑体" w:cs="Times New Roman"/>
                <w:bCs/>
                <w:sz w:val="28"/>
                <w:szCs w:val="28"/>
                <w:highlight w:val="none"/>
              </w:rPr>
              <w:t>可预见的事件序列</w:t>
            </w:r>
          </w:p>
        </w:tc>
        <w:tc>
          <w:tcPr>
            <w:tcW w:w="2648" w:type="dxa"/>
            <w:vAlign w:val="center"/>
          </w:tcPr>
          <w:p w14:paraId="16C1B0CD">
            <w:pPr>
              <w:spacing w:line="400" w:lineRule="exact"/>
              <w:jc w:val="center"/>
              <w:rPr>
                <w:rFonts w:ascii="Times New Roman" w:hAnsi="Times New Roman" w:eastAsia="黑体" w:cs="Times New Roman"/>
                <w:bCs/>
                <w:sz w:val="28"/>
                <w:szCs w:val="28"/>
                <w:highlight w:val="none"/>
              </w:rPr>
            </w:pPr>
            <w:r>
              <w:rPr>
                <w:rFonts w:hint="eastAsia" w:ascii="Times New Roman" w:hAnsi="Times New Roman" w:eastAsia="黑体" w:cs="Times New Roman"/>
                <w:bCs/>
                <w:sz w:val="28"/>
                <w:szCs w:val="28"/>
                <w:highlight w:val="none"/>
              </w:rPr>
              <w:t>危险情况</w:t>
            </w:r>
          </w:p>
        </w:tc>
        <w:tc>
          <w:tcPr>
            <w:tcW w:w="2196" w:type="dxa"/>
            <w:vAlign w:val="center"/>
          </w:tcPr>
          <w:p w14:paraId="1FA87739">
            <w:pPr>
              <w:spacing w:line="400" w:lineRule="exact"/>
              <w:jc w:val="center"/>
              <w:rPr>
                <w:rFonts w:ascii="Times New Roman" w:hAnsi="Times New Roman" w:eastAsia="黑体" w:cs="Times New Roman"/>
                <w:bCs/>
                <w:sz w:val="28"/>
                <w:szCs w:val="28"/>
                <w:highlight w:val="none"/>
              </w:rPr>
            </w:pPr>
            <w:r>
              <w:rPr>
                <w:rFonts w:hint="eastAsia" w:ascii="Times New Roman" w:hAnsi="Times New Roman" w:eastAsia="黑体" w:cs="Times New Roman"/>
                <w:bCs/>
                <w:sz w:val="28"/>
                <w:szCs w:val="28"/>
                <w:highlight w:val="none"/>
              </w:rPr>
              <w:t>伤害</w:t>
            </w:r>
          </w:p>
        </w:tc>
      </w:tr>
      <w:tr w14:paraId="6D163E9A">
        <w:trPr>
          <w:trHeight w:val="964" w:hRule="atLeast"/>
        </w:trPr>
        <w:tc>
          <w:tcPr>
            <w:tcW w:w="1620" w:type="dxa"/>
            <w:vAlign w:val="center"/>
          </w:tcPr>
          <w:p w14:paraId="2252B5DF">
            <w:pPr>
              <w:spacing w:line="400" w:lineRule="exact"/>
              <w:jc w:val="center"/>
              <w:rPr>
                <w:rFonts w:ascii="Times New Roman" w:hAnsi="Times New Roman" w:eastAsia="仿宋_GB2312" w:cs="Times New Roman"/>
                <w:kern w:val="0"/>
                <w:sz w:val="28"/>
                <w:szCs w:val="28"/>
                <w:highlight w:val="none"/>
              </w:rPr>
            </w:pPr>
            <w:r>
              <w:rPr>
                <w:rFonts w:ascii="Times New Roman" w:hAnsi="Times New Roman" w:eastAsia="仿宋_GB2312" w:cs="Times New Roman"/>
                <w:kern w:val="0"/>
                <w:sz w:val="28"/>
                <w:szCs w:val="28"/>
                <w:highlight w:val="none"/>
              </w:rPr>
              <w:t>电磁能</w:t>
            </w:r>
          </w:p>
        </w:tc>
        <w:tc>
          <w:tcPr>
            <w:tcW w:w="3076" w:type="dxa"/>
            <w:shd w:val="clear" w:color="auto" w:fill="auto"/>
            <w:vAlign w:val="center"/>
          </w:tcPr>
          <w:p w14:paraId="5A17E927">
            <w:pPr>
              <w:numPr>
                <w:ilvl w:val="0"/>
                <w:numId w:val="3"/>
              </w:num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静电防护不满足标准要求</w:t>
            </w:r>
          </w:p>
          <w:p w14:paraId="62585F66">
            <w:pPr>
              <w:numPr>
                <w:ilvl w:val="0"/>
                <w:numId w:val="3"/>
              </w:num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未明确产品对共用设备的电磁干扰</w:t>
            </w:r>
          </w:p>
        </w:tc>
        <w:tc>
          <w:tcPr>
            <w:tcW w:w="2648" w:type="dxa"/>
            <w:shd w:val="clear" w:color="auto" w:fill="auto"/>
            <w:vAlign w:val="center"/>
          </w:tcPr>
          <w:p w14:paraId="7350AAE9">
            <w:pPr>
              <w:numPr>
                <w:ilvl w:val="0"/>
                <w:numId w:val="4"/>
              </w:num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仪器停止运行（故障 ）</w:t>
            </w:r>
          </w:p>
          <w:p w14:paraId="78B9AB32">
            <w:pPr>
              <w:numPr>
                <w:ilvl w:val="255"/>
                <w:numId w:val="0"/>
              </w:num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2、仪器停止运行（磁场干扰错误 ）</w:t>
            </w:r>
          </w:p>
        </w:tc>
        <w:tc>
          <w:tcPr>
            <w:tcW w:w="2196" w:type="dxa"/>
            <w:shd w:val="clear" w:color="auto" w:fill="auto"/>
            <w:vAlign w:val="center"/>
          </w:tcPr>
          <w:p w14:paraId="05E9956E">
            <w:p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轻度伤害（不受伤害）</w:t>
            </w:r>
          </w:p>
        </w:tc>
      </w:tr>
      <w:tr w14:paraId="3D8436FB">
        <w:trPr>
          <w:trHeight w:val="1555" w:hRule="atLeast"/>
        </w:trPr>
        <w:tc>
          <w:tcPr>
            <w:tcW w:w="1620" w:type="dxa"/>
            <w:vAlign w:val="center"/>
          </w:tcPr>
          <w:p w14:paraId="096C8924">
            <w:pPr>
              <w:spacing w:line="400" w:lineRule="exact"/>
              <w:jc w:val="center"/>
              <w:rPr>
                <w:rFonts w:ascii="Times New Roman" w:hAnsi="Times New Roman" w:eastAsia="仿宋_GB2312" w:cs="Times New Roman"/>
                <w:kern w:val="0"/>
                <w:sz w:val="28"/>
                <w:szCs w:val="28"/>
                <w:highlight w:val="none"/>
              </w:rPr>
            </w:pPr>
            <w:r>
              <w:rPr>
                <w:rFonts w:ascii="Times New Roman" w:hAnsi="Times New Roman" w:eastAsia="仿宋_GB2312" w:cs="Times New Roman"/>
                <w:kern w:val="0"/>
                <w:sz w:val="28"/>
                <w:szCs w:val="28"/>
                <w:highlight w:val="none"/>
              </w:rPr>
              <w:t>机械能</w:t>
            </w:r>
          </w:p>
        </w:tc>
        <w:tc>
          <w:tcPr>
            <w:tcW w:w="3076" w:type="dxa"/>
            <w:shd w:val="clear" w:color="auto" w:fill="auto"/>
            <w:vAlign w:val="center"/>
          </w:tcPr>
          <w:p w14:paraId="23D5F2D6">
            <w:p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1、未明确仪器零部件寿命（电机、轴承等配件）</w:t>
            </w:r>
          </w:p>
          <w:p w14:paraId="61D1BD87">
            <w:p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2、未考虑仪器紧固件松动</w:t>
            </w:r>
          </w:p>
          <w:p w14:paraId="4660D050">
            <w:pPr>
              <w:spacing w:line="400" w:lineRule="exact"/>
              <w:rPr>
                <w:rFonts w:ascii="Times New Roman" w:hAnsi="Times New Roman" w:eastAsia="仿宋_GB2312" w:cs="Times New Roman"/>
                <w:kern w:val="0"/>
                <w:sz w:val="28"/>
                <w:szCs w:val="28"/>
                <w:highlight w:val="none"/>
              </w:rPr>
            </w:pPr>
          </w:p>
        </w:tc>
        <w:tc>
          <w:tcPr>
            <w:tcW w:w="2648" w:type="dxa"/>
            <w:shd w:val="clear" w:color="auto" w:fill="auto"/>
            <w:vAlign w:val="center"/>
          </w:tcPr>
          <w:p w14:paraId="0B2478F6">
            <w:p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1、仪器停止运行（疲劳 ）</w:t>
            </w:r>
          </w:p>
          <w:p w14:paraId="11413E6D">
            <w:p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仪器停止运行（仪器故障损坏 ）</w:t>
            </w:r>
          </w:p>
        </w:tc>
        <w:tc>
          <w:tcPr>
            <w:tcW w:w="2196" w:type="dxa"/>
            <w:shd w:val="clear" w:color="auto" w:fill="auto"/>
            <w:vAlign w:val="center"/>
          </w:tcPr>
          <w:p w14:paraId="0F0492E6">
            <w:p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轻度伤害（不受伤害）</w:t>
            </w:r>
          </w:p>
        </w:tc>
      </w:tr>
      <w:tr w14:paraId="1DBD8F11">
        <w:trPr>
          <w:trHeight w:val="941" w:hRule="atLeast"/>
        </w:trPr>
        <w:tc>
          <w:tcPr>
            <w:tcW w:w="1620" w:type="dxa"/>
            <w:vAlign w:val="center"/>
          </w:tcPr>
          <w:p w14:paraId="143E0238">
            <w:pPr>
              <w:spacing w:line="400" w:lineRule="exact"/>
              <w:jc w:val="center"/>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电能</w:t>
            </w:r>
          </w:p>
        </w:tc>
        <w:tc>
          <w:tcPr>
            <w:tcW w:w="3076" w:type="dxa"/>
            <w:shd w:val="clear" w:color="auto" w:fill="auto"/>
            <w:vAlign w:val="center"/>
          </w:tcPr>
          <w:p w14:paraId="29E7D950">
            <w:pPr>
              <w:numPr>
                <w:ilvl w:val="0"/>
                <w:numId w:val="5"/>
              </w:num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仪器漏电流未控制在允许的范围内</w:t>
            </w:r>
          </w:p>
          <w:p w14:paraId="3E88AA07">
            <w:pPr>
              <w:numPr>
                <w:ilvl w:val="255"/>
                <w:numId w:val="0"/>
              </w:num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2、未明确开关安装方向</w:t>
            </w:r>
          </w:p>
        </w:tc>
        <w:tc>
          <w:tcPr>
            <w:tcW w:w="2648" w:type="dxa"/>
            <w:shd w:val="clear" w:color="auto" w:fill="auto"/>
            <w:vAlign w:val="center"/>
          </w:tcPr>
          <w:p w14:paraId="1BEFB1D3">
            <w:p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1、操作者触电</w:t>
            </w:r>
          </w:p>
          <w:p w14:paraId="5585B8FA">
            <w:p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2、开关的安装方向不符合人的自然反应，紧急情况下不能切断电源，操作者被电击</w:t>
            </w:r>
          </w:p>
        </w:tc>
        <w:tc>
          <w:tcPr>
            <w:tcW w:w="2196" w:type="dxa"/>
            <w:shd w:val="clear" w:color="auto" w:fill="auto"/>
            <w:vAlign w:val="center"/>
          </w:tcPr>
          <w:p w14:paraId="06163A0C">
            <w:p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灾难性伤害（人员死亡）</w:t>
            </w:r>
          </w:p>
        </w:tc>
      </w:tr>
      <w:tr w14:paraId="1BA17496">
        <w:trPr>
          <w:trHeight w:val="982" w:hRule="atLeast"/>
        </w:trPr>
        <w:tc>
          <w:tcPr>
            <w:tcW w:w="1620" w:type="dxa"/>
            <w:vAlign w:val="center"/>
          </w:tcPr>
          <w:p w14:paraId="0C263534">
            <w:pPr>
              <w:spacing w:line="400" w:lineRule="exact"/>
              <w:jc w:val="center"/>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噪声污染</w:t>
            </w:r>
          </w:p>
        </w:tc>
        <w:tc>
          <w:tcPr>
            <w:tcW w:w="3076" w:type="dxa"/>
            <w:shd w:val="clear" w:color="auto" w:fill="auto"/>
            <w:vAlign w:val="center"/>
          </w:tcPr>
          <w:p w14:paraId="30D3BDF2">
            <w:p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仪器噪声不符合标准要求</w:t>
            </w:r>
          </w:p>
        </w:tc>
        <w:tc>
          <w:tcPr>
            <w:tcW w:w="2648" w:type="dxa"/>
            <w:shd w:val="clear" w:color="auto" w:fill="auto"/>
            <w:vAlign w:val="center"/>
          </w:tcPr>
          <w:p w14:paraId="462AAD47">
            <w:p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 xml:space="preserve"> 人员听力损伤</w:t>
            </w:r>
          </w:p>
        </w:tc>
        <w:tc>
          <w:tcPr>
            <w:tcW w:w="2196" w:type="dxa"/>
            <w:shd w:val="clear" w:color="auto" w:fill="auto"/>
            <w:vAlign w:val="center"/>
          </w:tcPr>
          <w:p w14:paraId="6E4657C1">
            <w:p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 xml:space="preserve"> 轻度伤害（感官类伤害）</w:t>
            </w:r>
          </w:p>
        </w:tc>
      </w:tr>
      <w:tr w14:paraId="734D79D4">
        <w:trPr>
          <w:trHeight w:val="982" w:hRule="atLeast"/>
        </w:trPr>
        <w:tc>
          <w:tcPr>
            <w:tcW w:w="1620" w:type="dxa"/>
            <w:vAlign w:val="center"/>
          </w:tcPr>
          <w:p w14:paraId="1C026082">
            <w:pPr>
              <w:spacing w:line="400" w:lineRule="exact"/>
              <w:jc w:val="center"/>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热能</w:t>
            </w:r>
          </w:p>
        </w:tc>
        <w:tc>
          <w:tcPr>
            <w:tcW w:w="3076" w:type="dxa"/>
            <w:shd w:val="clear" w:color="auto" w:fill="auto"/>
            <w:vAlign w:val="center"/>
          </w:tcPr>
          <w:p w14:paraId="223D0FAE">
            <w:pPr>
              <w:numPr>
                <w:ilvl w:val="0"/>
                <w:numId w:val="6"/>
              </w:num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仪器选用材料不符合阻燃防护等级要求</w:t>
            </w:r>
          </w:p>
          <w:p w14:paraId="1B8F3F62">
            <w:pPr>
              <w:numPr>
                <w:ilvl w:val="0"/>
                <w:numId w:val="6"/>
              </w:num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仪器内部温度异常未告警</w:t>
            </w:r>
          </w:p>
        </w:tc>
        <w:tc>
          <w:tcPr>
            <w:tcW w:w="2648" w:type="dxa"/>
            <w:shd w:val="clear" w:color="auto" w:fill="auto"/>
            <w:vAlign w:val="center"/>
          </w:tcPr>
          <w:p w14:paraId="617F5CC7">
            <w:pPr>
              <w:numPr>
                <w:ilvl w:val="0"/>
                <w:numId w:val="7"/>
              </w:num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仪器停止运行（仪器燃烧 ）</w:t>
            </w:r>
          </w:p>
          <w:p w14:paraId="6E1737C0">
            <w:pPr>
              <w:numPr>
                <w:ilvl w:val="0"/>
                <w:numId w:val="7"/>
              </w:num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仪器停止运行（高温 ）</w:t>
            </w:r>
          </w:p>
        </w:tc>
        <w:tc>
          <w:tcPr>
            <w:tcW w:w="2196" w:type="dxa"/>
            <w:shd w:val="clear" w:color="auto" w:fill="auto"/>
            <w:vAlign w:val="center"/>
          </w:tcPr>
          <w:p w14:paraId="0BC2AB74">
            <w:pPr>
              <w:numPr>
                <w:ilvl w:val="0"/>
                <w:numId w:val="8"/>
              </w:num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严重伤害（用户财产损失）</w:t>
            </w:r>
          </w:p>
          <w:p w14:paraId="4638276E">
            <w:pPr>
              <w:numPr>
                <w:ilvl w:val="0"/>
                <w:numId w:val="8"/>
              </w:num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轻度伤害（不受伤害）</w:t>
            </w:r>
          </w:p>
        </w:tc>
      </w:tr>
      <w:tr w14:paraId="43752A96">
        <w:trPr>
          <w:trHeight w:val="982" w:hRule="atLeast"/>
        </w:trPr>
        <w:tc>
          <w:tcPr>
            <w:tcW w:w="1620" w:type="dxa"/>
            <w:vAlign w:val="center"/>
          </w:tcPr>
          <w:p w14:paraId="7E47B62B">
            <w:pPr>
              <w:spacing w:line="400" w:lineRule="exact"/>
              <w:jc w:val="center"/>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操作错误</w:t>
            </w:r>
          </w:p>
        </w:tc>
        <w:tc>
          <w:tcPr>
            <w:tcW w:w="3076" w:type="dxa"/>
            <w:shd w:val="clear" w:color="auto" w:fill="auto"/>
            <w:vAlign w:val="center"/>
          </w:tcPr>
          <w:p w14:paraId="20248F14">
            <w:p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1、交互设计不合理，导致使用错误或不易使用</w:t>
            </w:r>
          </w:p>
        </w:tc>
        <w:tc>
          <w:tcPr>
            <w:tcW w:w="2648" w:type="dxa"/>
            <w:shd w:val="clear" w:color="auto" w:fill="auto"/>
            <w:vAlign w:val="center"/>
          </w:tcPr>
          <w:p w14:paraId="3591A4B1">
            <w:p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1、仪器停止运行（操作错误 ）</w:t>
            </w:r>
          </w:p>
        </w:tc>
        <w:tc>
          <w:tcPr>
            <w:tcW w:w="2196" w:type="dxa"/>
            <w:shd w:val="clear" w:color="auto" w:fill="auto"/>
            <w:vAlign w:val="center"/>
          </w:tcPr>
          <w:p w14:paraId="2F67FD82">
            <w:p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1、轻度伤害（不受伤害）</w:t>
            </w:r>
          </w:p>
        </w:tc>
      </w:tr>
      <w:tr w14:paraId="64E79F26">
        <w:trPr>
          <w:trHeight w:val="982" w:hRule="atLeast"/>
        </w:trPr>
        <w:tc>
          <w:tcPr>
            <w:tcW w:w="1620" w:type="dxa"/>
            <w:vAlign w:val="center"/>
          </w:tcPr>
          <w:p w14:paraId="00EF857A">
            <w:pPr>
              <w:spacing w:line="400" w:lineRule="exact"/>
              <w:jc w:val="center"/>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sz w:val="28"/>
                <w:szCs w:val="28"/>
                <w:highlight w:val="none"/>
              </w:rPr>
              <w:t>生物学和化学危险</w:t>
            </w:r>
          </w:p>
        </w:tc>
        <w:tc>
          <w:tcPr>
            <w:tcW w:w="3076" w:type="dxa"/>
            <w:shd w:val="clear" w:color="auto" w:fill="auto"/>
            <w:vAlign w:val="center"/>
          </w:tcPr>
          <w:p w14:paraId="7FE049A5">
            <w:p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未明确清洁剂或消毒剂要求</w:t>
            </w:r>
          </w:p>
        </w:tc>
        <w:tc>
          <w:tcPr>
            <w:tcW w:w="2648" w:type="dxa"/>
            <w:shd w:val="clear" w:color="auto" w:fill="auto"/>
            <w:vAlign w:val="center"/>
          </w:tcPr>
          <w:p w14:paraId="5A764536">
            <w:p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操作者或维修者接触（生物危害）</w:t>
            </w:r>
          </w:p>
        </w:tc>
        <w:tc>
          <w:tcPr>
            <w:tcW w:w="2196" w:type="dxa"/>
            <w:shd w:val="clear" w:color="auto" w:fill="auto"/>
            <w:vAlign w:val="center"/>
          </w:tcPr>
          <w:p w14:paraId="064A212E">
            <w:p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严重伤害（人员伤残）</w:t>
            </w:r>
          </w:p>
        </w:tc>
      </w:tr>
      <w:tr w14:paraId="0D111501">
        <w:trPr>
          <w:trHeight w:val="982" w:hRule="atLeast"/>
        </w:trPr>
        <w:tc>
          <w:tcPr>
            <w:tcW w:w="1620" w:type="dxa"/>
            <w:vAlign w:val="center"/>
          </w:tcPr>
          <w:p w14:paraId="24D172E9">
            <w:pPr>
              <w:spacing w:line="400" w:lineRule="exact"/>
              <w:jc w:val="center"/>
              <w:rPr>
                <w:rFonts w:ascii="Times New Roman" w:hAnsi="Times New Roman" w:eastAsia="仿宋_GB2312" w:cs="Times New Roman"/>
                <w:sz w:val="28"/>
                <w:szCs w:val="28"/>
                <w:highlight w:val="none"/>
              </w:rPr>
            </w:pPr>
            <w:r>
              <w:rPr>
                <w:rFonts w:hint="eastAsia" w:ascii="Times New Roman" w:hAnsi="Times New Roman" w:eastAsia="仿宋_GB2312" w:cs="Times New Roman"/>
                <w:sz w:val="28"/>
                <w:szCs w:val="28"/>
                <w:highlight w:val="none"/>
              </w:rPr>
              <w:t>功能性失效、维修和老化引起的危险</w:t>
            </w:r>
          </w:p>
        </w:tc>
        <w:tc>
          <w:tcPr>
            <w:tcW w:w="3076" w:type="dxa"/>
            <w:shd w:val="clear" w:color="auto" w:fill="auto"/>
            <w:vAlign w:val="center"/>
          </w:tcPr>
          <w:p w14:paraId="12322306">
            <w:p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未明确仪器维护和校准设备或工具</w:t>
            </w:r>
          </w:p>
        </w:tc>
        <w:tc>
          <w:tcPr>
            <w:tcW w:w="2648" w:type="dxa"/>
            <w:shd w:val="clear" w:color="auto" w:fill="auto"/>
            <w:vAlign w:val="center"/>
          </w:tcPr>
          <w:p w14:paraId="28765082">
            <w:p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仪器停止运行（故障 ）</w:t>
            </w:r>
          </w:p>
        </w:tc>
        <w:tc>
          <w:tcPr>
            <w:tcW w:w="2196" w:type="dxa"/>
            <w:shd w:val="clear" w:color="auto" w:fill="auto"/>
            <w:vAlign w:val="center"/>
          </w:tcPr>
          <w:p w14:paraId="5DFB4EF6">
            <w:p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轻度伤害（不受伤害）</w:t>
            </w:r>
          </w:p>
        </w:tc>
      </w:tr>
      <w:tr w14:paraId="54694957">
        <w:trPr>
          <w:trHeight w:val="1260" w:hRule="atLeast"/>
        </w:trPr>
        <w:tc>
          <w:tcPr>
            <w:tcW w:w="1620" w:type="dxa"/>
            <w:vAlign w:val="center"/>
          </w:tcPr>
          <w:p w14:paraId="635F6E79">
            <w:pPr>
              <w:spacing w:line="400" w:lineRule="exact"/>
              <w:jc w:val="center"/>
              <w:rPr>
                <w:rFonts w:ascii="Times New Roman" w:hAnsi="Times New Roman" w:eastAsia="仿宋_GB2312" w:cs="Times New Roman"/>
                <w:kern w:val="0"/>
                <w:sz w:val="28"/>
                <w:szCs w:val="28"/>
                <w:highlight w:val="none"/>
              </w:rPr>
            </w:pPr>
            <w:r>
              <w:rPr>
                <w:rFonts w:ascii="Times New Roman" w:hAnsi="Times New Roman" w:eastAsia="仿宋_GB2312" w:cs="Times New Roman"/>
                <w:kern w:val="0"/>
                <w:sz w:val="28"/>
                <w:szCs w:val="28"/>
                <w:highlight w:val="none"/>
              </w:rPr>
              <w:t>不完整的说明书</w:t>
            </w:r>
          </w:p>
        </w:tc>
        <w:tc>
          <w:tcPr>
            <w:tcW w:w="3076" w:type="dxa"/>
            <w:shd w:val="clear" w:color="auto" w:fill="auto"/>
            <w:vAlign w:val="center"/>
          </w:tcPr>
          <w:p w14:paraId="5F1E111D">
            <w:p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1、未明确产品使用环境</w:t>
            </w:r>
          </w:p>
        </w:tc>
        <w:tc>
          <w:tcPr>
            <w:tcW w:w="2648" w:type="dxa"/>
            <w:shd w:val="clear" w:color="auto" w:fill="auto"/>
            <w:vAlign w:val="center"/>
          </w:tcPr>
          <w:p w14:paraId="1F837ABA">
            <w:p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1、仪器停止运行（故障 ）</w:t>
            </w:r>
          </w:p>
        </w:tc>
        <w:tc>
          <w:tcPr>
            <w:tcW w:w="2196" w:type="dxa"/>
            <w:shd w:val="clear" w:color="auto" w:fill="auto"/>
            <w:vAlign w:val="center"/>
          </w:tcPr>
          <w:p w14:paraId="1207E859">
            <w:pPr>
              <w:spacing w:line="400" w:lineRule="exact"/>
              <w:rPr>
                <w:rFonts w:ascii="Times New Roman" w:hAnsi="Times New Roman" w:eastAsia="仿宋_GB2312" w:cs="Times New Roman"/>
                <w:kern w:val="0"/>
                <w:sz w:val="28"/>
                <w:szCs w:val="28"/>
                <w:highlight w:val="none"/>
              </w:rPr>
            </w:pPr>
            <w:r>
              <w:rPr>
                <w:rFonts w:hint="eastAsia" w:ascii="Times New Roman" w:hAnsi="Times New Roman" w:eastAsia="仿宋_GB2312" w:cs="Times New Roman"/>
                <w:kern w:val="0"/>
                <w:sz w:val="28"/>
                <w:szCs w:val="28"/>
                <w:highlight w:val="none"/>
              </w:rPr>
              <w:t>1、轻度伤害（不受伤害）</w:t>
            </w:r>
          </w:p>
        </w:tc>
      </w:tr>
    </w:tbl>
    <w:p w14:paraId="662F727C">
      <w:pPr>
        <w:adjustRightInd w:val="0"/>
        <w:snapToGrid w:val="0"/>
        <w:rPr>
          <w:rFonts w:ascii="Tahoma" w:hAnsi="Tahoma" w:eastAsia="微软雅黑" w:cs="Times New Roman"/>
          <w:sz w:val="22"/>
          <w:szCs w:val="22"/>
          <w:highlight w:val="none"/>
        </w:rPr>
      </w:pPr>
    </w:p>
    <w:p w14:paraId="4547DDC2">
      <w:pPr>
        <w:overflowPunct w:val="0"/>
        <w:autoSpaceDE w:val="0"/>
        <w:autoSpaceDN w:val="0"/>
        <w:spacing w:line="520" w:lineRule="exact"/>
        <w:ind w:firstLine="640" w:firstLineChars="200"/>
        <w:outlineLvl w:val="2"/>
        <w:rPr>
          <w:rFonts w:ascii="Times New Roman" w:hAnsi="Times New Roman" w:eastAsia="仿宋_GB2312" w:cs="仿宋_GB2312"/>
          <w:snapToGrid w:val="0"/>
          <w:kern w:val="0"/>
          <w:sz w:val="32"/>
          <w:szCs w:val="32"/>
          <w:highlight w:val="none"/>
        </w:rPr>
      </w:pPr>
      <w:bookmarkStart w:id="1" w:name="_Toc432753650"/>
      <w:r>
        <w:rPr>
          <w:rFonts w:hint="eastAsia" w:ascii="Times New Roman" w:hAnsi="Times New Roman" w:eastAsia="仿宋" w:cs="Times New Roman"/>
          <w:sz w:val="32"/>
          <w:szCs w:val="32"/>
          <w:highlight w:val="none"/>
        </w:rPr>
        <w:t>2.</w:t>
      </w:r>
      <w:r>
        <w:rPr>
          <w:rFonts w:hint="eastAsia" w:ascii="Times New Roman" w:hAnsi="Times New Roman" w:eastAsia="仿宋_GB2312" w:cs="仿宋_GB2312"/>
          <w:snapToGrid w:val="0"/>
          <w:kern w:val="0"/>
          <w:sz w:val="32"/>
          <w:szCs w:val="32"/>
          <w:highlight w:val="none"/>
        </w:rPr>
        <w:t>产品技术要求</w:t>
      </w:r>
      <w:bookmarkEnd w:id="1"/>
      <w:r>
        <w:rPr>
          <w:rFonts w:hint="eastAsia" w:ascii="Times New Roman" w:hAnsi="Times New Roman" w:eastAsia="仿宋_GB2312" w:cs="仿宋_GB2312"/>
          <w:snapToGrid w:val="0"/>
          <w:kern w:val="0"/>
          <w:sz w:val="32"/>
          <w:szCs w:val="32"/>
          <w:highlight w:val="none"/>
        </w:rPr>
        <w:t>及</w:t>
      </w:r>
      <w:r>
        <w:rPr>
          <w:rFonts w:ascii="Times New Roman" w:hAnsi="Times New Roman" w:eastAsia="仿宋_GB2312" w:cs="仿宋_GB2312"/>
          <w:snapToGrid w:val="0"/>
          <w:kern w:val="0"/>
          <w:sz w:val="32"/>
          <w:szCs w:val="32"/>
          <w:highlight w:val="none"/>
        </w:rPr>
        <w:t>检</w:t>
      </w:r>
      <w:r>
        <w:rPr>
          <w:rFonts w:hint="eastAsia" w:ascii="Times New Roman" w:hAnsi="Times New Roman" w:eastAsia="仿宋_GB2312" w:cs="仿宋_GB2312"/>
          <w:snapToGrid w:val="0"/>
          <w:kern w:val="0"/>
          <w:sz w:val="32"/>
          <w:szCs w:val="32"/>
          <w:highlight w:val="none"/>
        </w:rPr>
        <w:t>验</w:t>
      </w:r>
      <w:r>
        <w:rPr>
          <w:rFonts w:ascii="Times New Roman" w:hAnsi="Times New Roman" w:eastAsia="仿宋_GB2312" w:cs="仿宋_GB2312"/>
          <w:snapToGrid w:val="0"/>
          <w:kern w:val="0"/>
          <w:sz w:val="32"/>
          <w:szCs w:val="32"/>
          <w:highlight w:val="none"/>
        </w:rPr>
        <w:t>报告</w:t>
      </w:r>
    </w:p>
    <w:p w14:paraId="711325BA">
      <w:pPr>
        <w:overflowPunct w:val="0"/>
        <w:autoSpaceDE w:val="0"/>
        <w:autoSpaceDN w:val="0"/>
        <w:spacing w:line="520" w:lineRule="exact"/>
        <w:ind w:firstLine="640" w:firstLineChars="200"/>
        <w:outlineLvl w:val="3"/>
        <w:rPr>
          <w:rFonts w:ascii="Times New Roman" w:hAnsi="Times New Roman" w:eastAsia="仿宋_GB2312" w:cs="Times New Roman"/>
          <w:snapToGrid w:val="0"/>
          <w:kern w:val="0"/>
          <w:sz w:val="32"/>
          <w:szCs w:val="32"/>
          <w:highlight w:val="none"/>
        </w:rPr>
      </w:pPr>
      <w:r>
        <w:rPr>
          <w:rFonts w:hint="eastAsia" w:ascii="Times New Roman" w:hAnsi="Times New Roman" w:eastAsia="仿宋_GB2312" w:cs="Times New Roman"/>
          <w:snapToGrid w:val="0"/>
          <w:kern w:val="0"/>
          <w:sz w:val="32"/>
          <w:szCs w:val="32"/>
          <w:highlight w:val="none"/>
        </w:rPr>
        <w:t>2.1</w:t>
      </w:r>
      <w:r>
        <w:rPr>
          <w:rFonts w:ascii="Times New Roman" w:hAnsi="Times New Roman" w:eastAsia="仿宋_GB2312" w:cs="Times New Roman"/>
          <w:snapToGrid w:val="0"/>
          <w:kern w:val="0"/>
          <w:sz w:val="32"/>
          <w:szCs w:val="32"/>
          <w:highlight w:val="none"/>
        </w:rPr>
        <w:t>产品技术要求</w:t>
      </w:r>
    </w:p>
    <w:p w14:paraId="069B5100">
      <w:pPr>
        <w:widowControl/>
        <w:spacing w:line="52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产品技术要求的制定需符合《医疗器械产品技术要求编写指导原则》的要求。技术指标需不低于相关的强制性国家标准和行业标准。检验方法宜优先采用强制性国家标准、行业标准中的方法，若采用其他方法则需说明合理性原因并在研究资料中提供验证资料。对于强制性相关国家标准、行业标准中不适用的条款，需说明不适用的原因。</w:t>
      </w:r>
    </w:p>
    <w:p w14:paraId="0F7F2D5E">
      <w:pPr>
        <w:widowControl/>
        <w:spacing w:line="520" w:lineRule="exact"/>
        <w:ind w:firstLine="640" w:firstLineChars="200"/>
        <w:outlineLvl w:val="4"/>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2.1.1型号、规格及其划分说明</w:t>
      </w:r>
    </w:p>
    <w:p w14:paraId="1CFC23C0">
      <w:pPr>
        <w:adjustRightInd w:val="0"/>
        <w:snapToGrid w:val="0"/>
        <w:spacing w:line="520" w:lineRule="exact"/>
        <w:ind w:firstLine="641"/>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说明产品的型号、规格，明确产品型号、规格的划分说明，明确不同型号间产品差异。</w:t>
      </w:r>
    </w:p>
    <w:p w14:paraId="0FF443DC">
      <w:pPr>
        <w:adjustRightInd w:val="0"/>
        <w:snapToGrid w:val="0"/>
        <w:spacing w:line="520" w:lineRule="exact"/>
        <w:ind w:firstLine="641"/>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产品中包含软件组件，应明确软件的名称、型号规格（若适用）、发布版本、版本命名规则，软件模块若有单独的版本、版本命名规则均需说明。</w:t>
      </w:r>
    </w:p>
    <w:p w14:paraId="28DC10DC">
      <w:pPr>
        <w:spacing w:line="520" w:lineRule="exact"/>
        <w:ind w:firstLine="640" w:firstLineChars="200"/>
        <w:outlineLvl w:val="4"/>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2.1.2</w:t>
      </w:r>
      <w:r>
        <w:rPr>
          <w:rFonts w:hint="eastAsia" w:ascii="Times New Roman" w:hAnsi="Times New Roman" w:eastAsia="仿宋_GB2312" w:cs="Times New Roman"/>
          <w:sz w:val="32"/>
          <w:szCs w:val="32"/>
          <w:highlight w:val="none"/>
        </w:rPr>
        <w:t>性能指标、检验方法</w:t>
      </w:r>
    </w:p>
    <w:p w14:paraId="23584BA8">
      <w:pPr>
        <w:adjustRightInd/>
        <w:snapToGrid/>
        <w:spacing w:line="520" w:lineRule="exact"/>
        <w:ind w:firstLine="640" w:firstLineChars="200"/>
        <w:outlineLvl w:val="4"/>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注册申请人应按照《医疗器械产品技术要求编写指导原则》编写产品技术要求，性能指标应符合YY/T 0656《自动化血培养系统》的要求，具体至少包括正常工作条件、系统功能、血培养用培养基的无菌试验</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rPr>
        <w:t>阳性培养结果的重复性、温度准确度及波动、外观</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电气安全、电磁兼容、软件功能要求等。</w:t>
      </w:r>
    </w:p>
    <w:p w14:paraId="620AE3FF">
      <w:pPr>
        <w:spacing w:line="520" w:lineRule="exact"/>
        <w:ind w:firstLine="640" w:firstLineChars="200"/>
        <w:outlineLvl w:val="4"/>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2.1.3</w:t>
      </w:r>
      <w:r>
        <w:rPr>
          <w:rFonts w:hint="eastAsia" w:ascii="Times New Roman" w:hAnsi="Times New Roman" w:eastAsia="仿宋_GB2312" w:cs="Times New Roman"/>
          <w:sz w:val="32"/>
          <w:szCs w:val="32"/>
          <w:highlight w:val="none"/>
        </w:rPr>
        <w:t>电气安全要求</w:t>
      </w:r>
    </w:p>
    <w:p w14:paraId="42F36EBA">
      <w:pPr>
        <w:spacing w:line="520" w:lineRule="exact"/>
        <w:ind w:firstLine="640" w:firstLineChars="200"/>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sz w:val="32"/>
          <w:szCs w:val="32"/>
          <w:highlight w:val="none"/>
        </w:rPr>
        <w:t>符合GB/T 42125.1、GB/T 42125.2、GB 4793、YY 0648中适用条款的要求。</w:t>
      </w:r>
    </w:p>
    <w:p w14:paraId="764852E6">
      <w:pPr>
        <w:widowControl/>
        <w:spacing w:line="520" w:lineRule="exact"/>
        <w:ind w:firstLine="640" w:firstLineChars="200"/>
        <w:outlineLvl w:val="4"/>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2</w:t>
      </w:r>
      <w:r>
        <w:rPr>
          <w:rFonts w:ascii="Times New Roman" w:hAnsi="Times New Roman" w:eastAsia="仿宋_GB2312" w:cs="Times New Roman"/>
          <w:sz w:val="32"/>
          <w:szCs w:val="32"/>
          <w:highlight w:val="none"/>
        </w:rPr>
        <w:t>.1.4电磁兼容要求</w:t>
      </w:r>
    </w:p>
    <w:p w14:paraId="5F398660">
      <w:pPr>
        <w:widowControl/>
        <w:spacing w:line="52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符合GB/T 18268.1、GB/T 18268.26中适用条款的要求。</w:t>
      </w:r>
    </w:p>
    <w:p w14:paraId="0CC7E835">
      <w:pPr>
        <w:widowControl/>
        <w:spacing w:line="520" w:lineRule="exact"/>
        <w:ind w:firstLine="640" w:firstLineChars="200"/>
        <w:outlineLvl w:val="4"/>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2</w:t>
      </w:r>
      <w:r>
        <w:rPr>
          <w:rFonts w:ascii="Times New Roman" w:hAnsi="Times New Roman" w:eastAsia="仿宋_GB2312" w:cs="Times New Roman"/>
          <w:sz w:val="32"/>
          <w:szCs w:val="32"/>
          <w:highlight w:val="none"/>
        </w:rPr>
        <w:t>.1.5软件功能要求</w:t>
      </w:r>
    </w:p>
    <w:p w14:paraId="388B37EF">
      <w:pPr>
        <w:widowControl/>
        <w:spacing w:line="52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参照《医疗器械软件注册审查指导原则（2022年修订版）》的要求，性能指标应明确软件的功能、使用限制、接口、访问控制、运行环境（若适用）、性能效率（若适用）等要求。软件的功能应明确软件的全部核心功能（含安全功能）纲要。</w:t>
      </w:r>
    </w:p>
    <w:p w14:paraId="4FED958E">
      <w:pPr>
        <w:widowControl/>
        <w:spacing w:line="520" w:lineRule="exact"/>
        <w:ind w:firstLine="640" w:firstLineChars="200"/>
        <w:outlineLvl w:val="3"/>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2.2产品检验报告</w:t>
      </w:r>
    </w:p>
    <w:p w14:paraId="688F383C">
      <w:pPr>
        <w:widowControl/>
        <w:spacing w:line="52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注册申请人应提供产品检验报告，产品检验报告应符合国务院药品监督管理部门的要求，可以是医疗器械注册申请人的自检报告，也可以是委托具有医疗器械检验资质的医疗器械检验机构出具的检验报告。</w:t>
      </w:r>
    </w:p>
    <w:p w14:paraId="596D32DB">
      <w:pPr>
        <w:widowControl/>
        <w:spacing w:line="52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同一注册单元应按产品技术指标的覆盖性来选择典型产品。典型产品应是同一注册单元内能够代表本单元内其他产品安全性和有效性的产品，应考虑功能最齐全、结构最复杂的型号。若一个型号规格不能覆盖，应选择不同型号规格进行差异性检验。</w:t>
      </w:r>
    </w:p>
    <w:p w14:paraId="4D44EC53">
      <w:pPr>
        <w:widowControl/>
        <w:spacing w:line="520" w:lineRule="exact"/>
        <w:ind w:firstLine="640" w:firstLineChars="200"/>
        <w:outlineLvl w:val="2"/>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3.研究资料</w:t>
      </w:r>
    </w:p>
    <w:p w14:paraId="682B1427">
      <w:pPr>
        <w:widowControl/>
        <w:spacing w:line="520" w:lineRule="exact"/>
        <w:ind w:firstLine="640" w:firstLineChars="200"/>
        <w:outlineLvl w:val="3"/>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3.1产品性能研究资料</w:t>
      </w:r>
    </w:p>
    <w:p w14:paraId="57B0FA80">
      <w:pPr>
        <w:widowControl/>
        <w:snapToGrid w:val="0"/>
        <w:spacing w:line="52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性能指标确定的依据应根据产品的工作原理描述设计输入来源以及临床意义，明确申报产品所采用的标准或方法、采用的原因及理论基础。适用的国家标准、行业标准中，如果有不适用的条款，也应将不适用的条款及理由予以说明。对于标准中未给出具体要求的性能指标，注册申请人应说明申报产品功能性能指标确定的依据。</w:t>
      </w:r>
    </w:p>
    <w:p w14:paraId="3B86F4A4">
      <w:pPr>
        <w:adjustRightInd w:val="0"/>
        <w:snapToGrid w:val="0"/>
        <w:spacing w:line="520" w:lineRule="exact"/>
        <w:ind w:firstLine="640" w:firstLineChars="200"/>
        <w:rPr>
          <w:rFonts w:ascii="Tahoma" w:hAnsi="Tahoma" w:eastAsia="仿宋_GB2312" w:cs="Times New Roman"/>
          <w:sz w:val="32"/>
          <w:szCs w:val="32"/>
          <w:highlight w:val="none"/>
        </w:rPr>
      </w:pPr>
      <w:r>
        <w:rPr>
          <w:rFonts w:hint="eastAsia" w:ascii="Tahoma" w:hAnsi="Tahoma" w:eastAsia="仿宋_GB2312" w:cs="Times New Roman"/>
          <w:sz w:val="32"/>
          <w:szCs w:val="32"/>
          <w:highlight w:val="none"/>
        </w:rPr>
        <w:t>申报产品各组成模块性能的研究资料：应根据综述资料中有关申报产品结构组成和各主要组成模块的情况，提供详细的研究资料，明确产品功能性指标的评价方式。</w:t>
      </w:r>
    </w:p>
    <w:p w14:paraId="4363FFE2">
      <w:pPr>
        <w:spacing w:line="520" w:lineRule="exact"/>
        <w:ind w:right="-67" w:rightChars="-32" w:firstLine="640" w:firstLineChars="200"/>
        <w:outlineLvl w:val="3"/>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3.2临床项目分析性能的研究资料</w:t>
      </w:r>
    </w:p>
    <w:p w14:paraId="6E5C65CD">
      <w:pPr>
        <w:widowControl/>
        <w:spacing w:line="520" w:lineRule="exact"/>
        <w:ind w:firstLine="640" w:firstLineChars="200"/>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rPr>
        <w:t>建议申请人综合考虑申报产品的适用范围、可检测临床样本类型以及可检测项目，对</w:t>
      </w:r>
      <w:r>
        <w:rPr>
          <w:rFonts w:hint="eastAsia" w:ascii="Times New Roman" w:hAnsi="Times New Roman" w:eastAsia="仿宋_GB2312" w:cs="Times New Roman"/>
          <w:sz w:val="32"/>
          <w:szCs w:val="32"/>
          <w:highlight w:val="none"/>
          <w:lang w:val="en-US" w:eastAsia="zh-CN"/>
        </w:rPr>
        <w:t>声称使用范围内</w:t>
      </w:r>
      <w:r>
        <w:rPr>
          <w:rFonts w:hint="eastAsia" w:ascii="Times New Roman" w:hAnsi="Times New Roman" w:eastAsia="仿宋_GB2312" w:cs="Times New Roman"/>
          <w:sz w:val="32"/>
          <w:szCs w:val="32"/>
          <w:highlight w:val="none"/>
        </w:rPr>
        <w:t>产品可检测的所有临床样本类型及可检测项</w:t>
      </w:r>
      <w:r>
        <w:rPr>
          <w:rFonts w:hint="eastAsia" w:ascii="Times New Roman" w:hAnsi="Times New Roman" w:eastAsia="仿宋_GB2312" w:cs="Times New Roman"/>
          <w:color w:val="auto"/>
          <w:sz w:val="32"/>
          <w:szCs w:val="32"/>
          <w:highlight w:val="none"/>
        </w:rPr>
        <w:t>目进行研究。研究资料应结合配套试剂，对主要性能进行系统性评估，至少应包括重复性、检出时间（TTD）、阳性符合率、阴性符合率</w:t>
      </w:r>
      <w:r>
        <w:rPr>
          <w:rFonts w:hint="eastAsia" w:ascii="Times New Roman" w:hAnsi="Times New Roman" w:eastAsia="仿宋_GB2312" w:cs="Times New Roman"/>
          <w:color w:val="auto"/>
          <w:kern w:val="0"/>
          <w:sz w:val="32"/>
          <w:szCs w:val="32"/>
          <w:highlight w:val="none"/>
        </w:rPr>
        <w:t>。临床项目分析性能的研究资料</w:t>
      </w:r>
      <w:r>
        <w:rPr>
          <w:rFonts w:hint="eastAsia" w:ascii="Times New Roman" w:hAnsi="Times New Roman" w:eastAsia="仿宋_GB2312" w:cs="Times New Roman"/>
          <w:color w:val="auto"/>
          <w:kern w:val="0"/>
          <w:sz w:val="32"/>
          <w:szCs w:val="32"/>
          <w:highlight w:val="none"/>
          <w:lang w:val="en-US" w:eastAsia="zh-CN"/>
        </w:rPr>
        <w:t>中所用阳性临床样本，建议至少包括</w:t>
      </w:r>
      <w:r>
        <w:rPr>
          <w:rFonts w:hint="eastAsia" w:ascii="Times New Roman" w:hAnsi="Times New Roman" w:eastAsia="仿宋_GB2312" w:cs="Times New Roman"/>
          <w:color w:val="auto"/>
          <w:sz w:val="32"/>
          <w:szCs w:val="32"/>
          <w:highlight w:val="none"/>
        </w:rPr>
        <w:t>YY/T 0656《自动化血培养系统》</w:t>
      </w:r>
      <w:r>
        <w:rPr>
          <w:rFonts w:hint="eastAsia" w:ascii="Times New Roman" w:hAnsi="Times New Roman" w:eastAsia="仿宋_GB2312" w:cs="Times New Roman"/>
          <w:color w:val="auto"/>
          <w:sz w:val="32"/>
          <w:szCs w:val="32"/>
          <w:highlight w:val="none"/>
          <w:lang w:val="en-US" w:eastAsia="zh-CN"/>
        </w:rPr>
        <w:t>5.3</w:t>
      </w:r>
      <w:r>
        <w:rPr>
          <w:rFonts w:hint="eastAsia" w:ascii="Times New Roman" w:hAnsi="Times New Roman" w:eastAsia="仿宋_GB2312" w:cs="Times New Roman"/>
          <w:color w:val="auto"/>
          <w:sz w:val="32"/>
          <w:szCs w:val="32"/>
          <w:highlight w:val="none"/>
        </w:rPr>
        <w:t>阳性培养结果的重复性试验</w:t>
      </w:r>
      <w:r>
        <w:rPr>
          <w:rFonts w:hint="eastAsia" w:ascii="Times New Roman" w:hAnsi="Times New Roman" w:eastAsia="仿宋_GB2312" w:cs="Times New Roman"/>
          <w:color w:val="auto"/>
          <w:sz w:val="32"/>
          <w:szCs w:val="32"/>
          <w:highlight w:val="none"/>
          <w:lang w:val="en-US" w:eastAsia="zh-CN"/>
        </w:rPr>
        <w:t>中所列试验用标准菌株的</w:t>
      </w:r>
      <w:r>
        <w:rPr>
          <w:rFonts w:hint="eastAsia" w:ascii="Times New Roman" w:hAnsi="Times New Roman" w:eastAsia="仿宋_GB2312" w:cs="Times New Roman"/>
          <w:color w:val="auto"/>
          <w:kern w:val="0"/>
          <w:sz w:val="32"/>
          <w:szCs w:val="32"/>
          <w:highlight w:val="none"/>
          <w:lang w:val="en-US" w:eastAsia="zh-CN"/>
        </w:rPr>
        <w:t>阳性临床样本</w:t>
      </w:r>
      <w:r>
        <w:rPr>
          <w:rFonts w:hint="eastAsia" w:ascii="Times New Roman" w:hAnsi="Times New Roman" w:eastAsia="仿宋_GB2312" w:cs="Times New Roman"/>
          <w:color w:val="auto"/>
          <w:sz w:val="32"/>
          <w:szCs w:val="32"/>
          <w:highlight w:val="none"/>
          <w:lang w:val="en-US" w:eastAsia="zh-CN"/>
        </w:rPr>
        <w:t>。</w:t>
      </w:r>
    </w:p>
    <w:p w14:paraId="69BA6E78">
      <w:pPr>
        <w:widowControl/>
        <w:snapToGrid w:val="0"/>
        <w:spacing w:line="520" w:lineRule="exact"/>
        <w:ind w:firstLine="640" w:firstLineChars="200"/>
        <w:outlineLvl w:val="3"/>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3.2电气系统安全性研究</w:t>
      </w:r>
    </w:p>
    <w:p w14:paraId="302CDB52">
      <w:pPr>
        <w:widowControl/>
        <w:snapToGrid w:val="0"/>
        <w:spacing w:line="52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应当提供电气安全以及电磁兼容的研究资料，说明适用的标准以及开展的研究。</w:t>
      </w:r>
    </w:p>
    <w:p w14:paraId="43E69794">
      <w:pPr>
        <w:widowControl/>
        <w:snapToGrid w:val="0"/>
        <w:spacing w:line="52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电气安全应当符合GB/T 42125.1</w:t>
      </w:r>
      <w:r>
        <w:rPr>
          <w:rFonts w:hint="eastAsia" w:ascii="仿宋_GB2312" w:hAnsi="Times New Roman" w:eastAsia="仿宋_GB2312" w:cs="Times New Roman"/>
          <w:sz w:val="32"/>
          <w:szCs w:val="32"/>
          <w:highlight w:val="none"/>
        </w:rPr>
        <w:t>《测量、控制和实验室用电气设备的安全要求 第1部分：通用要求》</w:t>
      </w:r>
      <w:r>
        <w:rPr>
          <w:rFonts w:hint="eastAsia" w:ascii="Times New Roman" w:hAnsi="Times New Roman" w:eastAsia="仿宋_GB2312" w:cs="Times New Roman"/>
          <w:sz w:val="32"/>
          <w:szCs w:val="32"/>
          <w:highlight w:val="none"/>
        </w:rPr>
        <w:t>、GB/T 42125.2《测量、控制和实验室用电气设备的安全要求 第2部分：材料加热用实验室设备的特殊要求》、GB 4793</w:t>
      </w:r>
      <w:r>
        <w:rPr>
          <w:rFonts w:hint="eastAsia" w:ascii="仿宋_GB2312" w:hAnsi="Times New Roman" w:eastAsia="仿宋_GB2312" w:cs="Times New Roman"/>
          <w:sz w:val="32"/>
          <w:szCs w:val="32"/>
          <w:highlight w:val="none"/>
        </w:rPr>
        <w:t>《测量、控制和实验室用电气设备安全技术规范》</w:t>
      </w:r>
      <w:r>
        <w:rPr>
          <w:rFonts w:hint="eastAsia" w:ascii="Times New Roman" w:hAnsi="Times New Roman" w:eastAsia="仿宋_GB2312" w:cs="Times New Roman"/>
          <w:sz w:val="32"/>
          <w:szCs w:val="32"/>
          <w:highlight w:val="none"/>
        </w:rPr>
        <w:t>、YY 0648</w:t>
      </w:r>
      <w:r>
        <w:rPr>
          <w:rFonts w:hint="eastAsia" w:ascii="仿宋_GB2312" w:hAnsi="Times New Roman" w:eastAsia="仿宋_GB2312" w:cs="Times New Roman"/>
          <w:sz w:val="32"/>
          <w:szCs w:val="32"/>
          <w:highlight w:val="none"/>
        </w:rPr>
        <w:t>《测量、控制和试验室用电气设备的安全要求 第2-101部分：体外诊断（IVD）医用设备的专用要求》</w:t>
      </w:r>
      <w:r>
        <w:rPr>
          <w:rFonts w:hint="eastAsia" w:ascii="Times New Roman" w:hAnsi="Times New Roman" w:eastAsia="仿宋_GB2312" w:cs="Times New Roman"/>
          <w:sz w:val="32"/>
          <w:szCs w:val="32"/>
          <w:highlight w:val="none"/>
        </w:rPr>
        <w:t>及其他适用的国家标准和行业标准中的要求。</w:t>
      </w:r>
    </w:p>
    <w:p w14:paraId="0051EADA">
      <w:pPr>
        <w:widowControl/>
        <w:snapToGrid w:val="0"/>
        <w:spacing w:line="52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电磁兼容性应当符合GB/T 18268.1《测量、控制和实验室用的电设备 电磁兼容性要求 第1部分：通用要求》和GB/T 18268.26《测量、控制和实验室用的电设备 电磁兼容性要求 第26部分：特殊要求 体外诊断（IVD）医疗设备》及其他适用的国家标准和行业标准的要求。</w:t>
      </w:r>
    </w:p>
    <w:p w14:paraId="61AB57C1">
      <w:pPr>
        <w:spacing w:line="520" w:lineRule="exact"/>
        <w:ind w:firstLine="640" w:firstLineChars="200"/>
        <w:outlineLvl w:val="3"/>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3.3软件研究</w:t>
      </w:r>
    </w:p>
    <w:p w14:paraId="0552678D">
      <w:pPr>
        <w:spacing w:line="520" w:lineRule="exact"/>
        <w:ind w:firstLine="640" w:firstLineChars="200"/>
        <w:rPr>
          <w:rFonts w:ascii="Times New Roman" w:hAnsi="Times New Roman" w:eastAsia="宋体" w:cs="Times New Roman"/>
          <w:highlight w:val="none"/>
        </w:rPr>
      </w:pPr>
      <w:r>
        <w:rPr>
          <w:rFonts w:hint="eastAsia" w:ascii="Times New Roman" w:hAnsi="Times New Roman" w:eastAsia="仿宋_GB2312" w:cs="Times New Roman"/>
          <w:sz w:val="32"/>
          <w:szCs w:val="32"/>
          <w:highlight w:val="none"/>
        </w:rPr>
        <w:t>微生物培养监测仪含有软件组件，应</w:t>
      </w:r>
      <w:r>
        <w:rPr>
          <w:rFonts w:ascii="Times New Roman" w:hAnsi="Times New Roman" w:eastAsia="仿宋_GB2312" w:cs="Times New Roman"/>
          <w:sz w:val="32"/>
          <w:szCs w:val="32"/>
          <w:highlight w:val="none"/>
        </w:rPr>
        <w:t>参</w:t>
      </w:r>
      <w:r>
        <w:rPr>
          <w:rFonts w:hint="eastAsia" w:ascii="Times New Roman" w:hAnsi="Times New Roman" w:eastAsia="仿宋_GB2312" w:cs="Times New Roman"/>
          <w:sz w:val="32"/>
          <w:szCs w:val="32"/>
          <w:highlight w:val="none"/>
        </w:rPr>
        <w:t>照</w:t>
      </w:r>
      <w:r>
        <w:rPr>
          <w:rFonts w:ascii="Times New Roman" w:hAnsi="Times New Roman" w:eastAsia="仿宋_GB2312" w:cs="Times New Roman"/>
          <w:sz w:val="32"/>
          <w:szCs w:val="32"/>
          <w:highlight w:val="none"/>
        </w:rPr>
        <w:t>《医疗器械软件注册技术审查指导原则</w:t>
      </w:r>
      <w:r>
        <w:rPr>
          <w:rFonts w:hint="eastAsia" w:ascii="Times New Roman" w:hAnsi="Times New Roman" w:eastAsia="仿宋_GB2312" w:cs="Times New Roman"/>
          <w:sz w:val="32"/>
          <w:szCs w:val="32"/>
          <w:highlight w:val="none"/>
        </w:rPr>
        <w:t>（2022年修订版）</w:t>
      </w:r>
      <w:r>
        <w:rPr>
          <w:rFonts w:ascii="Times New Roman" w:hAnsi="Times New Roman" w:eastAsia="仿宋_GB2312" w:cs="Times New Roman"/>
          <w:sz w:val="32"/>
          <w:szCs w:val="32"/>
          <w:highlight w:val="none"/>
        </w:rPr>
        <w:t>》的相关要求</w:t>
      </w:r>
      <w:r>
        <w:rPr>
          <w:rFonts w:hint="eastAsia" w:ascii="Times New Roman" w:hAnsi="Times New Roman" w:eastAsia="仿宋_GB2312" w:cs="Times New Roman"/>
          <w:sz w:val="32"/>
          <w:szCs w:val="32"/>
          <w:highlight w:val="none"/>
        </w:rPr>
        <w:t>提供软件研究资料、外部软件环境评估报告（若适用）以及GB/T 25000.51自测报告。</w:t>
      </w:r>
    </w:p>
    <w:p w14:paraId="455B4551">
      <w:pPr>
        <w:widowControl/>
        <w:spacing w:line="520" w:lineRule="exact"/>
        <w:ind w:firstLine="640" w:firstLineChars="200"/>
        <w:outlineLvl w:val="3"/>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3.4网络安全研究</w:t>
      </w:r>
    </w:p>
    <w:p w14:paraId="597F1E00">
      <w:pPr>
        <w:widowControl/>
        <w:spacing w:line="52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具备电子数据交换、远程控制或用户访问功能的微生物培养检测仪产品，应参照《医疗器械网络安全注册审查指导原则（2022年修订版）》的相关要求，提供网络安全研究资料，包括基本信息、实现过程、漏洞评估、结论等内容，详尽程度取决于软件安全性级别。</w:t>
      </w:r>
    </w:p>
    <w:p w14:paraId="7CAEBD37">
      <w:pPr>
        <w:widowControl/>
        <w:spacing w:line="520" w:lineRule="exact"/>
        <w:ind w:firstLine="640" w:firstLineChars="200"/>
        <w:outlineLvl w:val="3"/>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3.5清洁、消毒研究</w:t>
      </w:r>
    </w:p>
    <w:p w14:paraId="569DD14D">
      <w:pPr>
        <w:widowControl/>
        <w:spacing w:line="52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应当明确推荐的清洁和消毒方法及确定依据，并提交验证的相关研究资料。</w:t>
      </w:r>
    </w:p>
    <w:p w14:paraId="7F736D95">
      <w:pPr>
        <w:spacing w:line="520" w:lineRule="exact"/>
        <w:ind w:firstLine="640" w:firstLineChars="200"/>
        <w:outlineLvl w:val="3"/>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3.6可用性研究</w:t>
      </w:r>
    </w:p>
    <w:p w14:paraId="0A3FDB94">
      <w:pPr>
        <w:spacing w:line="52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微生物培养监测仪器属于中、低使用风险医疗器械，建议参考《医疗器械可用性工程注册审查指导原则》提交使用错误评估报告，包括基本信息、使用风险级别、核心要素、同类医疗器械上市后使用问题分析、使用风险管理、结论等内容。若前期已开展可用性工程工作，亦可提交可用性工程研究报告，用于替代使用错误评估报告。</w:t>
      </w:r>
    </w:p>
    <w:p w14:paraId="4ED7665A">
      <w:pPr>
        <w:spacing w:line="520" w:lineRule="exact"/>
        <w:ind w:firstLine="640" w:firstLineChars="200"/>
        <w:outlineLvl w:val="3"/>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3.7.稳定性研究</w:t>
      </w:r>
    </w:p>
    <w:p w14:paraId="387E5D44">
      <w:pPr>
        <w:adjustRightInd w:val="0"/>
        <w:snapToGrid w:val="0"/>
        <w:spacing w:line="520" w:lineRule="exact"/>
        <w:ind w:firstLine="640" w:firstLineChars="200"/>
        <w:outlineLvl w:val="4"/>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3.7.1使用稳定性</w:t>
      </w:r>
    </w:p>
    <w:p w14:paraId="62CCD9FC">
      <w:pPr>
        <w:adjustRightInd w:val="0"/>
        <w:snapToGrid w:val="0"/>
        <w:spacing w:line="52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应参照《有源医疗器械使用期限注册技术审查指导原则》的相关要求。</w:t>
      </w:r>
    </w:p>
    <w:p w14:paraId="67D3820B">
      <w:pPr>
        <w:adjustRightInd w:val="0"/>
        <w:snapToGrid w:val="0"/>
        <w:spacing w:line="520" w:lineRule="exact"/>
        <w:ind w:firstLine="64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使用期限一般主要取决于使用过程中部件、元器件的损耗、老化等，注册申请人应按照声称的使用期限对设备进行老化/疲劳试验，也可对影响设备使用期限的关键部件进行老化/疲劳试验。应对申报产品中包含的易耗、易损、需定期更换或者具有固定使用寿命的主要元器件的情况进行详细描述。详述确定产品使用期限的具体理由和相关验证数据，给出产品使用期限</w:t>
      </w:r>
      <w:r>
        <w:rPr>
          <w:rFonts w:ascii="Times New Roman" w:hAnsi="Times New Roman" w:eastAsia="仿宋_GB2312" w:cs="Times New Roman"/>
          <w:sz w:val="32"/>
          <w:szCs w:val="32"/>
          <w:highlight w:val="none"/>
        </w:rPr>
        <w:t>。</w:t>
      </w:r>
    </w:p>
    <w:p w14:paraId="3830D69C">
      <w:pPr>
        <w:adjustRightInd w:val="0"/>
        <w:snapToGrid w:val="0"/>
        <w:spacing w:line="520" w:lineRule="exact"/>
        <w:ind w:firstLine="640" w:firstLineChars="200"/>
        <w:outlineLvl w:val="4"/>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3.7.2运输稳定性</w:t>
      </w:r>
    </w:p>
    <w:p w14:paraId="44A5E6C1">
      <w:pPr>
        <w:adjustRightInd w:val="0"/>
        <w:snapToGrid w:val="0"/>
        <w:spacing w:line="52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需提交运输稳定性验证资料，证明在规定的运输条件下，运输过程中环境条件（例如：震动、振动、温度和湿度的波动）不会对医疗器械的特性和性能，包括完整性和清洁度，造成不利影响。可参考GB/T 14710的要求进行研究。注册申请人应结合声称的储运条件开展包装和环境试验研究，并论述研究设置的合理性。应在申请人所声称的储运条件下进行性能测试，证明运输和环境测试后产品能够保持其完整性和功能性。</w:t>
      </w:r>
    </w:p>
    <w:p w14:paraId="2B9249EA">
      <w:pPr>
        <w:spacing w:line="520" w:lineRule="exact"/>
        <w:ind w:firstLine="640" w:firstLineChars="200"/>
        <w:outlineLvl w:val="3"/>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3.8</w:t>
      </w:r>
      <w:r>
        <w:rPr>
          <w:rFonts w:hint="eastAsia" w:ascii="Times New Roman" w:hAnsi="Times New Roman" w:eastAsia="仿宋_GB2312" w:cs="Times New Roman"/>
          <w:sz w:val="32"/>
          <w:szCs w:val="32"/>
          <w:highlight w:val="none"/>
        </w:rPr>
        <w:t>其他资料</w:t>
      </w:r>
    </w:p>
    <w:p w14:paraId="262A5AA5">
      <w:pPr>
        <w:adjustRightInd w:val="0"/>
        <w:snapToGrid w:val="0"/>
        <w:spacing w:line="52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该产品（22-06-02）属于列入《免于</w:t>
      </w:r>
      <w:r>
        <w:rPr>
          <w:rFonts w:hint="eastAsia" w:ascii="Times New Roman" w:hAnsi="Times New Roman" w:eastAsia="仿宋_GB2312" w:cs="Times New Roman"/>
          <w:sz w:val="32"/>
          <w:szCs w:val="32"/>
          <w:highlight w:val="none"/>
        </w:rPr>
        <w:t>进行</w:t>
      </w:r>
      <w:r>
        <w:rPr>
          <w:rFonts w:ascii="Times New Roman" w:hAnsi="Times New Roman" w:eastAsia="仿宋_GB2312" w:cs="Times New Roman"/>
          <w:sz w:val="32"/>
          <w:szCs w:val="32"/>
          <w:highlight w:val="none"/>
        </w:rPr>
        <w:t>临床评价医疗器械目录》（以下简称《目录》），应按照《列入免于临床评价医疗器械目录产品对比说明技术指导原则》要求，提交申报产品与《目录》所述内容的对比资料，以及申报产品与《目录》中已获准境内注册医疗器械的对比说明资料，从基本原理、结构组成、性能、安全性、适用范围等方面，证明产品的安全有效性。如有差异，应提交差异部分对安全有效性影响的分析研究资料。</w:t>
      </w:r>
    </w:p>
    <w:p w14:paraId="41E42E1A">
      <w:pPr>
        <w:adjustRightInd w:val="0"/>
        <w:snapToGrid w:val="0"/>
        <w:spacing w:line="520" w:lineRule="exact"/>
        <w:ind w:firstLine="640" w:firstLineChars="200"/>
        <w:outlineLvl w:val="1"/>
        <w:rPr>
          <w:rFonts w:ascii="Times New Roman" w:hAnsi="Times New Roman" w:eastAsia="楷体_GB2312" w:cs="Times New Roman"/>
          <w:sz w:val="32"/>
          <w:szCs w:val="32"/>
          <w:highlight w:val="none"/>
        </w:rPr>
      </w:pPr>
      <w:r>
        <w:rPr>
          <w:rFonts w:ascii="Times New Roman" w:hAnsi="Times New Roman" w:eastAsia="楷体_GB2312" w:cs="Times New Roman"/>
          <w:sz w:val="32"/>
          <w:szCs w:val="32"/>
          <w:highlight w:val="none"/>
        </w:rPr>
        <w:t>（四）临床评价资料</w:t>
      </w:r>
    </w:p>
    <w:p w14:paraId="69C98431">
      <w:pPr>
        <w:adjustRightInd w:val="0"/>
        <w:snapToGrid w:val="0"/>
        <w:spacing w:line="52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该产品列入《免于</w:t>
      </w:r>
      <w:r>
        <w:rPr>
          <w:rFonts w:hint="eastAsia" w:ascii="Times New Roman" w:hAnsi="Times New Roman" w:eastAsia="仿宋_GB2312" w:cs="Times New Roman"/>
          <w:sz w:val="32"/>
          <w:szCs w:val="32"/>
          <w:highlight w:val="none"/>
        </w:rPr>
        <w:t>进行</w:t>
      </w:r>
      <w:r>
        <w:rPr>
          <w:rFonts w:ascii="Times New Roman" w:hAnsi="Times New Roman" w:eastAsia="仿宋_GB2312" w:cs="Times New Roman"/>
          <w:sz w:val="32"/>
          <w:szCs w:val="32"/>
          <w:highlight w:val="none"/>
        </w:rPr>
        <w:t>临床评价医疗器械目录》，申请人无需提交临床评价资料。若无法证明申报产品与《免于</w:t>
      </w:r>
      <w:r>
        <w:rPr>
          <w:rFonts w:hint="eastAsia" w:ascii="Times New Roman" w:hAnsi="Times New Roman" w:eastAsia="仿宋_GB2312" w:cs="Times New Roman"/>
          <w:sz w:val="32"/>
          <w:szCs w:val="32"/>
          <w:highlight w:val="none"/>
        </w:rPr>
        <w:t>进行</w:t>
      </w:r>
      <w:r>
        <w:rPr>
          <w:rFonts w:ascii="Times New Roman" w:hAnsi="Times New Roman" w:eastAsia="仿宋_GB2312" w:cs="Times New Roman"/>
          <w:sz w:val="32"/>
          <w:szCs w:val="32"/>
          <w:highlight w:val="none"/>
        </w:rPr>
        <w:t>临床评价医疗器械目录》所述的产品具有等同性，则应按照《医疗器械临床评价技术指导原则》提交临床评价资料。</w:t>
      </w:r>
    </w:p>
    <w:p w14:paraId="72E14974">
      <w:pPr>
        <w:spacing w:line="520" w:lineRule="exact"/>
        <w:ind w:firstLine="640" w:firstLineChars="200"/>
        <w:outlineLvl w:val="1"/>
        <w:rPr>
          <w:rFonts w:ascii="Times New Roman" w:hAnsi="Times New Roman" w:eastAsia="楷体_GB2312" w:cs="Times New Roman"/>
          <w:bCs/>
          <w:iCs/>
          <w:sz w:val="32"/>
          <w:szCs w:val="28"/>
          <w:highlight w:val="none"/>
        </w:rPr>
      </w:pPr>
      <w:r>
        <w:rPr>
          <w:rFonts w:hint="eastAsia" w:ascii="Times New Roman" w:hAnsi="Times New Roman" w:eastAsia="楷体_GB2312" w:cs="Times New Roman"/>
          <w:bCs/>
          <w:iCs/>
          <w:sz w:val="32"/>
          <w:szCs w:val="28"/>
          <w:highlight w:val="none"/>
        </w:rPr>
        <w:t>（五）产品说明书和标签样稿</w:t>
      </w:r>
    </w:p>
    <w:p w14:paraId="47CBD86F">
      <w:pPr>
        <w:spacing w:line="52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微生物培养监测仪器产品的说明书应符合《医疗器械说明书和标签管理规定》</w:t>
      </w:r>
      <w:r>
        <w:rPr>
          <w:rFonts w:ascii="Times New Roman" w:hAnsi="Times New Roman" w:eastAsia="仿宋_GB2312" w:cs="Times New Roman"/>
          <w:sz w:val="32"/>
          <w:szCs w:val="32"/>
          <w:highlight w:val="none"/>
        </w:rPr>
        <w:t>和YY/T 0466.1中的相关要求</w:t>
      </w:r>
      <w:r>
        <w:rPr>
          <w:rFonts w:hint="eastAsia" w:ascii="Times New Roman" w:hAnsi="Times New Roman" w:eastAsia="仿宋_GB2312" w:cs="Times New Roman"/>
          <w:sz w:val="32"/>
          <w:szCs w:val="32"/>
          <w:highlight w:val="none"/>
        </w:rPr>
        <w:t>。说明书、标签的内容应当真实、完整、科学，并与产品特性相一致，文字内容必须使用中文，可以附加其他语种。说明书、标签、包装标识中的文字、符号、图形、表格、数据等应相互一致，并符合相关标准和规范要求。</w:t>
      </w:r>
    </w:p>
    <w:p w14:paraId="723AE660">
      <w:pPr>
        <w:spacing w:line="52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lang w:eastAsia="zh-Hans"/>
        </w:rPr>
        <w:t>产品说明书的编制</w:t>
      </w:r>
      <w:r>
        <w:rPr>
          <w:rFonts w:ascii="Times New Roman" w:hAnsi="Times New Roman" w:eastAsia="仿宋_GB2312" w:cs="Times New Roman"/>
          <w:sz w:val="32"/>
          <w:szCs w:val="32"/>
          <w:highlight w:val="none"/>
        </w:rPr>
        <w:t>应注意以下内容：</w:t>
      </w:r>
    </w:p>
    <w:p w14:paraId="58A4D8B9">
      <w:pPr>
        <w:spacing w:line="52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1.产品名称、型号规格、结构组成、功能性能应与产品技术要求内容一致；产品的适用范围应与临床评价资料一致。结构组成建议以实物照片/示意图加文字的形式对申报产品的整体结构进行描述，标明各主要模块的名称。</w:t>
      </w:r>
    </w:p>
    <w:p w14:paraId="471B281E">
      <w:pPr>
        <w:spacing w:line="52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2.应明确有关配套</w:t>
      </w:r>
      <w:r>
        <w:rPr>
          <w:rFonts w:hint="eastAsia" w:ascii="Times New Roman" w:hAnsi="Times New Roman" w:eastAsia="仿宋_GB2312" w:cs="Times New Roman"/>
          <w:sz w:val="32"/>
          <w:szCs w:val="32"/>
          <w:highlight w:val="none"/>
        </w:rPr>
        <w:t>试剂的</w:t>
      </w:r>
      <w:r>
        <w:rPr>
          <w:rFonts w:ascii="Times New Roman" w:hAnsi="Times New Roman" w:eastAsia="仿宋_GB2312" w:cs="Times New Roman"/>
          <w:sz w:val="32"/>
          <w:szCs w:val="32"/>
          <w:highlight w:val="none"/>
        </w:rPr>
        <w:t>使用说明</w:t>
      </w:r>
      <w:r>
        <w:rPr>
          <w:rFonts w:hint="eastAsia" w:ascii="Times New Roman" w:hAnsi="Times New Roman" w:eastAsia="仿宋_GB2312" w:cs="Times New Roman"/>
          <w:sz w:val="32"/>
          <w:szCs w:val="32"/>
          <w:highlight w:val="none"/>
        </w:rPr>
        <w:t>。</w:t>
      </w:r>
    </w:p>
    <w:p w14:paraId="77DEEADA">
      <w:pPr>
        <w:spacing w:line="52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3.是否明确安装和使用说明的相关说明，明确需要用户自行安装部分的安装、调试方法及其注意事项。是否详细描述具体操作过程。</w:t>
      </w:r>
    </w:p>
    <w:p w14:paraId="3DE492E0">
      <w:pPr>
        <w:spacing w:line="52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4.是否明确日常保养及维护的方法、项目和周期。</w:t>
      </w:r>
    </w:p>
    <w:p w14:paraId="04E36196">
      <w:pPr>
        <w:spacing w:line="52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5.是否明确废弃物的处理要求。</w:t>
      </w:r>
    </w:p>
    <w:p w14:paraId="2223728A">
      <w:pPr>
        <w:spacing w:line="52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6.是否明确安全注意事项。</w:t>
      </w:r>
    </w:p>
    <w:p w14:paraId="44EDD0B4">
      <w:pPr>
        <w:spacing w:line="520" w:lineRule="exact"/>
        <w:ind w:firstLine="640" w:firstLineChars="200"/>
        <w:outlineLvl w:val="1"/>
        <w:rPr>
          <w:rFonts w:ascii="Times New Roman" w:hAnsi="Times New Roman" w:eastAsia="楷体_GB2312" w:cs="Times New Roman"/>
          <w:bCs/>
          <w:iCs/>
          <w:sz w:val="32"/>
          <w:szCs w:val="28"/>
          <w:highlight w:val="none"/>
        </w:rPr>
      </w:pPr>
      <w:r>
        <w:rPr>
          <w:rFonts w:hint="eastAsia" w:ascii="Times New Roman" w:hAnsi="Times New Roman" w:eastAsia="楷体_GB2312" w:cs="Times New Roman"/>
          <w:bCs/>
          <w:iCs/>
          <w:sz w:val="32"/>
          <w:szCs w:val="28"/>
          <w:highlight w:val="none"/>
        </w:rPr>
        <w:t>（六）质量管理体系文件</w:t>
      </w:r>
    </w:p>
    <w:p w14:paraId="726C688C">
      <w:pPr>
        <w:adjustRightInd w:val="0"/>
        <w:snapToGrid w:val="0"/>
        <w:spacing w:line="52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应依据《关于公布医疗器械注册申报资料要求和批准证明文件格式的公告》要求提供质量管理体系核查文件。若产品有多个研制、生产场地，应概述每个研制、生产场地的实际情况。</w:t>
      </w:r>
    </w:p>
    <w:p w14:paraId="43F3B6EC">
      <w:pPr>
        <w:spacing w:line="52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1.</w:t>
      </w:r>
      <w:r>
        <w:rPr>
          <w:rFonts w:hint="eastAsia" w:ascii="Times New Roman" w:hAnsi="Times New Roman" w:eastAsia="仿宋_GB2312" w:cs="Times New Roman"/>
          <w:sz w:val="32"/>
          <w:szCs w:val="32"/>
          <w:highlight w:val="none"/>
        </w:rPr>
        <w:t>应当明确产品生产工艺过程</w:t>
      </w:r>
    </w:p>
    <w:p w14:paraId="77BD6382">
      <w:pPr>
        <w:spacing w:line="52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工艺过程可采用流程图的形式，并说明其每道工序的操作说明及接收和放行标准，同时对过程控制要点进行详细说明。</w:t>
      </w:r>
    </w:p>
    <w:p w14:paraId="379F6205">
      <w:pPr>
        <w:spacing w:line="52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w:t>
      </w:r>
      <w:r>
        <w:rPr>
          <w:rFonts w:hint="eastAsia" w:ascii="Times New Roman" w:hAnsi="Times New Roman" w:eastAsia="仿宋_GB2312" w:cs="Times New Roman"/>
          <w:sz w:val="32"/>
          <w:szCs w:val="32"/>
          <w:highlight w:val="none"/>
        </w:rPr>
        <w:t>生产场地</w:t>
      </w:r>
    </w:p>
    <w:p w14:paraId="788033F4">
      <w:pPr>
        <w:spacing w:line="52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应详细说明产品生产场地地址、生产工艺布局、生产环境要求及周边情况。有多个研制、生产场地，应当概述每个研制、生产场地的实际情况。</w:t>
      </w:r>
    </w:p>
    <w:p w14:paraId="6956052F">
      <w:pPr>
        <w:keepNext/>
        <w:keepLines/>
        <w:spacing w:line="520" w:lineRule="exact"/>
        <w:ind w:firstLine="640" w:firstLineChars="200"/>
        <w:outlineLvl w:val="0"/>
        <w:rPr>
          <w:rFonts w:ascii="Times New Roman" w:hAnsi="Times New Roman" w:eastAsia="黑体" w:cs="Times New Roman"/>
          <w:bCs/>
          <w:kern w:val="44"/>
          <w:sz w:val="32"/>
          <w:szCs w:val="44"/>
          <w:highlight w:val="none"/>
        </w:rPr>
      </w:pPr>
      <w:r>
        <w:rPr>
          <w:rFonts w:ascii="Times New Roman" w:hAnsi="Times New Roman" w:eastAsia="黑体" w:cs="Times New Roman"/>
          <w:bCs/>
          <w:kern w:val="44"/>
          <w:sz w:val="32"/>
          <w:szCs w:val="44"/>
          <w:highlight w:val="none"/>
        </w:rPr>
        <w:t>三、参考文献</w:t>
      </w:r>
    </w:p>
    <w:p w14:paraId="43FDDEE5">
      <w:pPr>
        <w:numPr>
          <w:ilvl w:val="0"/>
          <w:numId w:val="9"/>
        </w:numPr>
        <w:spacing w:line="520" w:lineRule="exact"/>
        <w:ind w:right="-67" w:rightChars="-32" w:firstLine="640" w:firstLineChars="200"/>
        <w:rPr>
          <w:rFonts w:eastAsia="仿宋"/>
          <w:bCs/>
          <w:sz w:val="32"/>
          <w:szCs w:val="32"/>
          <w:highlight w:val="none"/>
        </w:rPr>
      </w:pPr>
      <w:r>
        <w:rPr>
          <w:rFonts w:eastAsia="仿宋"/>
          <w:bCs/>
          <w:sz w:val="32"/>
          <w:szCs w:val="32"/>
          <w:highlight w:val="none"/>
        </w:rPr>
        <w:t>中华人民共和国国务院. 医疗器械监督管理条例（中华人民共和国国务院令第739号）[Z]</w:t>
      </w:r>
    </w:p>
    <w:p w14:paraId="22BD33CF">
      <w:pPr>
        <w:numPr>
          <w:ilvl w:val="0"/>
          <w:numId w:val="9"/>
        </w:numPr>
        <w:spacing w:line="520" w:lineRule="exact"/>
        <w:ind w:right="-67" w:rightChars="-32" w:firstLine="640" w:firstLineChars="200"/>
        <w:rPr>
          <w:rFonts w:eastAsia="仿宋"/>
          <w:bCs/>
          <w:sz w:val="32"/>
          <w:szCs w:val="32"/>
          <w:highlight w:val="none"/>
        </w:rPr>
      </w:pPr>
      <w:r>
        <w:rPr>
          <w:rFonts w:eastAsia="仿宋"/>
          <w:bCs/>
          <w:sz w:val="32"/>
          <w:szCs w:val="32"/>
          <w:highlight w:val="none"/>
        </w:rPr>
        <w:t>国家市场监督管理总局. 医疗器械注册与备案管理办法（国家市场监督管理总局令第47号）[Z].</w:t>
      </w:r>
    </w:p>
    <w:p w14:paraId="6FB0D8F0">
      <w:pPr>
        <w:numPr>
          <w:ilvl w:val="0"/>
          <w:numId w:val="9"/>
        </w:numPr>
        <w:spacing w:line="520" w:lineRule="exact"/>
        <w:ind w:right="-67" w:rightChars="-32" w:firstLine="640" w:firstLineChars="200"/>
        <w:rPr>
          <w:rFonts w:eastAsia="仿宋"/>
          <w:bCs/>
          <w:sz w:val="32"/>
          <w:szCs w:val="32"/>
          <w:highlight w:val="none"/>
        </w:rPr>
      </w:pPr>
      <w:r>
        <w:rPr>
          <w:rFonts w:eastAsia="仿宋"/>
          <w:bCs/>
          <w:sz w:val="32"/>
          <w:szCs w:val="32"/>
          <w:highlight w:val="none"/>
        </w:rPr>
        <w:t>国家药品监督管理局. 关于公布医疗器械注册申报资料要求和批准证明文件格式的公告（国家药品监督管理局公告2021年第121号）[Z].</w:t>
      </w:r>
    </w:p>
    <w:p w14:paraId="0CC7A4B4">
      <w:pPr>
        <w:numPr>
          <w:ilvl w:val="0"/>
          <w:numId w:val="9"/>
        </w:numPr>
        <w:spacing w:line="520" w:lineRule="exact"/>
        <w:ind w:right="-67" w:rightChars="-32" w:firstLine="640" w:firstLineChars="200"/>
        <w:rPr>
          <w:rFonts w:eastAsia="仿宋"/>
          <w:bCs/>
          <w:sz w:val="32"/>
          <w:szCs w:val="32"/>
          <w:highlight w:val="none"/>
        </w:rPr>
      </w:pPr>
      <w:r>
        <w:rPr>
          <w:rFonts w:eastAsia="仿宋"/>
          <w:bCs/>
          <w:sz w:val="32"/>
          <w:szCs w:val="32"/>
          <w:highlight w:val="none"/>
        </w:rPr>
        <w:t>国家药品监督管理局.医疗器械注册自检管理规定</w:t>
      </w:r>
      <w:r>
        <w:rPr>
          <w:rFonts w:hint="eastAsia" w:eastAsia="仿宋"/>
          <w:bCs/>
          <w:sz w:val="32"/>
          <w:szCs w:val="32"/>
          <w:highlight w:val="none"/>
        </w:rPr>
        <w:t>：</w:t>
      </w:r>
      <w:r>
        <w:rPr>
          <w:rFonts w:eastAsia="仿宋"/>
          <w:bCs/>
          <w:sz w:val="32"/>
          <w:szCs w:val="32"/>
          <w:highlight w:val="none"/>
        </w:rPr>
        <w:t>国家药品监督管理局公告2021年第126号[Z].</w:t>
      </w:r>
    </w:p>
    <w:p w14:paraId="5E07FBDA">
      <w:pPr>
        <w:numPr>
          <w:ilvl w:val="0"/>
          <w:numId w:val="9"/>
        </w:numPr>
        <w:spacing w:line="520" w:lineRule="exact"/>
        <w:ind w:right="-67" w:rightChars="-32" w:firstLine="640" w:firstLineChars="200"/>
        <w:rPr>
          <w:rFonts w:eastAsia="仿宋"/>
          <w:bCs/>
          <w:sz w:val="32"/>
          <w:szCs w:val="32"/>
          <w:highlight w:val="none"/>
        </w:rPr>
      </w:pPr>
      <w:r>
        <w:rPr>
          <w:rFonts w:eastAsia="仿宋"/>
          <w:bCs/>
          <w:sz w:val="32"/>
          <w:szCs w:val="32"/>
          <w:highlight w:val="none"/>
        </w:rPr>
        <w:t>国家食品药品监督管理局.医疗器械通用名称命名规则：国家食品药品监督管理总局令第19号[Z].</w:t>
      </w:r>
    </w:p>
    <w:p w14:paraId="2AACEFFC">
      <w:pPr>
        <w:numPr>
          <w:ilvl w:val="0"/>
          <w:numId w:val="9"/>
        </w:numPr>
        <w:spacing w:line="520" w:lineRule="exact"/>
        <w:ind w:right="-67" w:rightChars="-32" w:firstLine="640" w:firstLineChars="200"/>
        <w:rPr>
          <w:rFonts w:eastAsia="仿宋"/>
          <w:bCs/>
          <w:sz w:val="32"/>
          <w:szCs w:val="32"/>
          <w:highlight w:val="none"/>
        </w:rPr>
      </w:pPr>
      <w:r>
        <w:rPr>
          <w:rFonts w:eastAsia="仿宋"/>
          <w:bCs/>
          <w:sz w:val="32"/>
          <w:szCs w:val="32"/>
          <w:highlight w:val="none"/>
        </w:rPr>
        <w:t>国家药品监督管理局. 医疗器械说明书和标签管理规定</w:t>
      </w:r>
      <w:r>
        <w:rPr>
          <w:rFonts w:hint="eastAsia" w:eastAsia="仿宋"/>
          <w:bCs/>
          <w:sz w:val="32"/>
          <w:szCs w:val="32"/>
          <w:highlight w:val="none"/>
        </w:rPr>
        <w:t>：</w:t>
      </w:r>
      <w:r>
        <w:rPr>
          <w:rFonts w:eastAsia="仿宋"/>
          <w:bCs/>
          <w:sz w:val="32"/>
          <w:szCs w:val="32"/>
          <w:highlight w:val="none"/>
        </w:rPr>
        <w:t>国家食品药品监督管理总局令第6号[Z].</w:t>
      </w:r>
    </w:p>
    <w:p w14:paraId="2C53E619">
      <w:pPr>
        <w:numPr>
          <w:ilvl w:val="0"/>
          <w:numId w:val="9"/>
        </w:numPr>
        <w:spacing w:line="520" w:lineRule="exact"/>
        <w:ind w:right="-67" w:rightChars="-32" w:firstLine="640" w:firstLineChars="200"/>
        <w:rPr>
          <w:rFonts w:eastAsia="仿宋"/>
          <w:bCs/>
          <w:sz w:val="32"/>
          <w:szCs w:val="32"/>
          <w:highlight w:val="none"/>
        </w:rPr>
      </w:pPr>
      <w:r>
        <w:rPr>
          <w:rFonts w:eastAsia="仿宋"/>
          <w:bCs/>
          <w:sz w:val="32"/>
          <w:szCs w:val="32"/>
          <w:highlight w:val="none"/>
        </w:rPr>
        <w:t>国家食品药品监督管理局.医疗器械注册单元划分指导原则:总局关于发布医疗器械注册单元划分指导原则的通告2017年第187号[Z].</w:t>
      </w:r>
    </w:p>
    <w:p w14:paraId="4975C773">
      <w:pPr>
        <w:numPr>
          <w:ilvl w:val="0"/>
          <w:numId w:val="9"/>
        </w:numPr>
        <w:spacing w:line="520" w:lineRule="exact"/>
        <w:ind w:right="-67" w:rightChars="-32" w:firstLine="640" w:firstLineChars="200"/>
        <w:rPr>
          <w:rFonts w:eastAsia="仿宋"/>
          <w:bCs/>
          <w:sz w:val="32"/>
          <w:szCs w:val="32"/>
          <w:highlight w:val="none"/>
        </w:rPr>
      </w:pPr>
      <w:r>
        <w:rPr>
          <w:rFonts w:eastAsia="仿宋_GB2312"/>
          <w:bCs/>
          <w:sz w:val="32"/>
          <w:szCs w:val="32"/>
          <w:highlight w:val="none"/>
          <w:lang w:val="en"/>
        </w:rPr>
        <w:t>国家食品药品监督管理局</w:t>
      </w:r>
      <w:r>
        <w:rPr>
          <w:rFonts w:eastAsia="仿宋_GB2312"/>
          <w:bCs/>
          <w:sz w:val="32"/>
          <w:szCs w:val="32"/>
          <w:highlight w:val="none"/>
        </w:rPr>
        <w:t>.医疗器械分类目录</w:t>
      </w:r>
      <w:r>
        <w:rPr>
          <w:rFonts w:hint="eastAsia" w:eastAsia="仿宋_GB2312"/>
          <w:bCs/>
          <w:sz w:val="32"/>
          <w:szCs w:val="32"/>
          <w:highlight w:val="none"/>
        </w:rPr>
        <w:t>:</w:t>
      </w:r>
      <w:r>
        <w:rPr>
          <w:rFonts w:eastAsia="仿宋_GB2312"/>
          <w:bCs/>
          <w:sz w:val="32"/>
          <w:szCs w:val="32"/>
          <w:highlight w:val="none"/>
          <w:lang w:val="en"/>
        </w:rPr>
        <w:t>国家食品药品监督管理总局</w:t>
      </w:r>
      <w:r>
        <w:rPr>
          <w:rFonts w:hint="eastAsia" w:eastAsia="仿宋_GB2312"/>
          <w:bCs/>
          <w:sz w:val="32"/>
          <w:szCs w:val="32"/>
          <w:highlight w:val="none"/>
          <w:lang w:val="en"/>
        </w:rPr>
        <w:t>公告</w:t>
      </w:r>
      <w:r>
        <w:rPr>
          <w:rFonts w:eastAsia="仿宋_GB2312"/>
          <w:bCs/>
          <w:sz w:val="32"/>
          <w:szCs w:val="32"/>
          <w:highlight w:val="none"/>
          <w:lang w:val="en"/>
        </w:rPr>
        <w:t>2017年第104号</w:t>
      </w:r>
      <w:r>
        <w:rPr>
          <w:rFonts w:eastAsia="仿宋_GB2312"/>
          <w:bCs/>
          <w:sz w:val="32"/>
          <w:szCs w:val="32"/>
          <w:highlight w:val="none"/>
        </w:rPr>
        <w:t>[Z].</w:t>
      </w:r>
      <w:r>
        <w:rPr>
          <w:rFonts w:eastAsia="仿宋"/>
          <w:bCs/>
          <w:sz w:val="32"/>
          <w:szCs w:val="32"/>
          <w:highlight w:val="none"/>
        </w:rPr>
        <w:t>.</w:t>
      </w:r>
    </w:p>
    <w:p w14:paraId="58E09996">
      <w:pPr>
        <w:numPr>
          <w:ilvl w:val="0"/>
          <w:numId w:val="9"/>
        </w:numPr>
        <w:spacing w:line="520" w:lineRule="exact"/>
        <w:ind w:right="-67" w:rightChars="-32" w:firstLine="640" w:firstLineChars="200"/>
        <w:rPr>
          <w:rFonts w:eastAsia="仿宋"/>
          <w:bCs/>
          <w:sz w:val="32"/>
          <w:szCs w:val="32"/>
          <w:highlight w:val="none"/>
        </w:rPr>
      </w:pPr>
      <w:r>
        <w:rPr>
          <w:rFonts w:eastAsia="仿宋"/>
          <w:bCs/>
          <w:sz w:val="32"/>
          <w:szCs w:val="32"/>
          <w:highlight w:val="none"/>
        </w:rPr>
        <w:t>国家药品监督管理局. 国家药监局关于发布医疗器械产品技术要求编写指导原则的通告</w:t>
      </w:r>
      <w:r>
        <w:rPr>
          <w:rFonts w:hint="eastAsia" w:eastAsia="仿宋"/>
          <w:bCs/>
          <w:sz w:val="32"/>
          <w:szCs w:val="32"/>
          <w:highlight w:val="none"/>
        </w:rPr>
        <w:t>：</w:t>
      </w:r>
      <w:r>
        <w:rPr>
          <w:rFonts w:eastAsia="仿宋"/>
          <w:bCs/>
          <w:sz w:val="32"/>
          <w:szCs w:val="32"/>
          <w:highlight w:val="none"/>
        </w:rPr>
        <w:t>国家药监督局通告2022年第8号[Z].</w:t>
      </w:r>
    </w:p>
    <w:p w14:paraId="5D59BD28">
      <w:pPr>
        <w:numPr>
          <w:ilvl w:val="0"/>
          <w:numId w:val="9"/>
        </w:numPr>
        <w:spacing w:line="520" w:lineRule="exact"/>
        <w:ind w:right="-67" w:rightChars="-32" w:firstLine="640" w:firstLineChars="200"/>
        <w:rPr>
          <w:rFonts w:eastAsia="仿宋"/>
          <w:bCs/>
          <w:sz w:val="32"/>
          <w:szCs w:val="32"/>
          <w:highlight w:val="none"/>
        </w:rPr>
      </w:pPr>
      <w:r>
        <w:rPr>
          <w:rFonts w:eastAsia="仿宋"/>
          <w:bCs/>
          <w:sz w:val="32"/>
          <w:szCs w:val="32"/>
          <w:highlight w:val="none"/>
        </w:rPr>
        <w:t>国家药品监督管理局. 关于发布有源医疗器械使用期限注册技术审查指导原则的通告</w:t>
      </w:r>
      <w:r>
        <w:rPr>
          <w:rFonts w:hint="eastAsia" w:eastAsia="仿宋"/>
          <w:bCs/>
          <w:sz w:val="32"/>
          <w:szCs w:val="32"/>
          <w:highlight w:val="none"/>
        </w:rPr>
        <w:t>：</w:t>
      </w:r>
      <w:r>
        <w:rPr>
          <w:rFonts w:eastAsia="仿宋"/>
          <w:bCs/>
          <w:sz w:val="32"/>
          <w:szCs w:val="32"/>
          <w:highlight w:val="none"/>
        </w:rPr>
        <w:t>国家药监督局通告2019年第23号）[Z].</w:t>
      </w:r>
    </w:p>
    <w:p w14:paraId="53E801D1">
      <w:pPr>
        <w:numPr>
          <w:ilvl w:val="0"/>
          <w:numId w:val="9"/>
        </w:numPr>
        <w:spacing w:line="520" w:lineRule="exact"/>
        <w:ind w:right="-67" w:rightChars="-32" w:firstLine="640" w:firstLineChars="200"/>
        <w:rPr>
          <w:rFonts w:eastAsia="仿宋"/>
          <w:bCs/>
          <w:sz w:val="32"/>
          <w:szCs w:val="32"/>
          <w:highlight w:val="none"/>
        </w:rPr>
      </w:pPr>
      <w:r>
        <w:rPr>
          <w:rFonts w:eastAsia="仿宋"/>
          <w:bCs/>
          <w:sz w:val="32"/>
          <w:szCs w:val="32"/>
          <w:highlight w:val="none"/>
        </w:rPr>
        <w:t>国家药品监督管理局. 国家药监局关于发布免于</w:t>
      </w:r>
      <w:r>
        <w:rPr>
          <w:rFonts w:hint="eastAsia" w:eastAsia="仿宋"/>
          <w:bCs/>
          <w:sz w:val="32"/>
          <w:szCs w:val="32"/>
          <w:highlight w:val="none"/>
        </w:rPr>
        <w:t>进行</w:t>
      </w:r>
      <w:r>
        <w:rPr>
          <w:rFonts w:eastAsia="仿宋"/>
          <w:bCs/>
          <w:sz w:val="32"/>
          <w:szCs w:val="32"/>
          <w:highlight w:val="none"/>
        </w:rPr>
        <w:t>临床评价医疗器械目录的通告</w:t>
      </w:r>
      <w:r>
        <w:rPr>
          <w:rFonts w:hint="eastAsia" w:eastAsia="仿宋"/>
          <w:bCs/>
          <w:sz w:val="32"/>
          <w:szCs w:val="32"/>
          <w:highlight w:val="none"/>
        </w:rPr>
        <w:t>：</w:t>
      </w:r>
      <w:r>
        <w:rPr>
          <w:rFonts w:eastAsia="仿宋"/>
          <w:bCs/>
          <w:sz w:val="32"/>
          <w:szCs w:val="32"/>
          <w:highlight w:val="none"/>
        </w:rPr>
        <w:t>国家药监督局通告2025年第19号[Z].</w:t>
      </w:r>
    </w:p>
    <w:p w14:paraId="222EC6BD">
      <w:pPr>
        <w:numPr>
          <w:ilvl w:val="0"/>
          <w:numId w:val="9"/>
        </w:numPr>
        <w:spacing w:line="520" w:lineRule="exact"/>
        <w:ind w:right="-67" w:rightChars="-32" w:firstLine="640" w:firstLineChars="200"/>
        <w:rPr>
          <w:rFonts w:eastAsia="仿宋"/>
          <w:bCs/>
          <w:sz w:val="32"/>
          <w:szCs w:val="32"/>
          <w:highlight w:val="none"/>
        </w:rPr>
      </w:pPr>
      <w:r>
        <w:rPr>
          <w:rFonts w:eastAsia="仿宋"/>
          <w:bCs/>
          <w:kern w:val="0"/>
          <w:sz w:val="32"/>
          <w:szCs w:val="32"/>
          <w:highlight w:val="none"/>
        </w:rPr>
        <w:t>国家药品监督管理局医疗器械审评中心</w:t>
      </w:r>
      <w:r>
        <w:rPr>
          <w:rFonts w:eastAsia="仿宋"/>
          <w:bCs/>
          <w:sz w:val="32"/>
          <w:szCs w:val="32"/>
          <w:highlight w:val="none"/>
        </w:rPr>
        <w:t>.医疗器械网络安全注册审查指导原则（2022年修订版）:</w:t>
      </w:r>
      <w:r>
        <w:rPr>
          <w:rFonts w:eastAsia="仿宋"/>
          <w:bCs/>
          <w:kern w:val="0"/>
          <w:sz w:val="32"/>
          <w:szCs w:val="32"/>
          <w:highlight w:val="none"/>
        </w:rPr>
        <w:t>国家药监局器审中心通告2022年第7号</w:t>
      </w:r>
      <w:r>
        <w:rPr>
          <w:rFonts w:eastAsia="仿宋"/>
          <w:bCs/>
          <w:sz w:val="32"/>
          <w:szCs w:val="32"/>
          <w:highlight w:val="none"/>
        </w:rPr>
        <w:t>[Z].</w:t>
      </w:r>
    </w:p>
    <w:p w14:paraId="34D8D67E">
      <w:pPr>
        <w:numPr>
          <w:ilvl w:val="0"/>
          <w:numId w:val="9"/>
        </w:numPr>
        <w:spacing w:line="520" w:lineRule="exact"/>
        <w:ind w:right="-67" w:rightChars="-32" w:firstLine="640" w:firstLineChars="200"/>
        <w:rPr>
          <w:rFonts w:eastAsia="仿宋"/>
          <w:bCs/>
          <w:sz w:val="32"/>
          <w:szCs w:val="32"/>
          <w:highlight w:val="none"/>
        </w:rPr>
      </w:pPr>
      <w:r>
        <w:rPr>
          <w:rFonts w:eastAsia="仿宋"/>
          <w:bCs/>
          <w:kern w:val="0"/>
          <w:sz w:val="32"/>
          <w:szCs w:val="32"/>
          <w:highlight w:val="none"/>
        </w:rPr>
        <w:t>国家药品监督管理局医疗器械审评中心.医疗器械软件注册审查指导原则（2022年修订版）:国家药监局器审中心通告2022年第9号</w:t>
      </w:r>
      <w:r>
        <w:rPr>
          <w:rFonts w:eastAsia="仿宋"/>
          <w:bCs/>
          <w:sz w:val="32"/>
          <w:szCs w:val="32"/>
          <w:highlight w:val="none"/>
        </w:rPr>
        <w:t>[Z].</w:t>
      </w:r>
    </w:p>
    <w:p w14:paraId="13B899DE">
      <w:pPr>
        <w:numPr>
          <w:ilvl w:val="0"/>
          <w:numId w:val="9"/>
        </w:numPr>
        <w:spacing w:line="520" w:lineRule="exact"/>
        <w:ind w:right="-67" w:rightChars="-32" w:firstLine="640" w:firstLineChars="200"/>
        <w:rPr>
          <w:rFonts w:eastAsia="仿宋"/>
          <w:bCs/>
          <w:sz w:val="32"/>
          <w:szCs w:val="32"/>
          <w:highlight w:val="none"/>
        </w:rPr>
      </w:pPr>
      <w:r>
        <w:rPr>
          <w:rFonts w:eastAsia="仿宋"/>
          <w:bCs/>
          <w:sz w:val="32"/>
          <w:szCs w:val="32"/>
          <w:highlight w:val="none"/>
        </w:rPr>
        <w:t>GB/T 42062-2022，医疗器械 风险管理对医疗器械的应用[S].</w:t>
      </w:r>
    </w:p>
    <w:p w14:paraId="28EB937C">
      <w:pPr>
        <w:numPr>
          <w:ilvl w:val="0"/>
          <w:numId w:val="9"/>
        </w:numPr>
        <w:spacing w:line="520" w:lineRule="exact"/>
        <w:ind w:right="-67" w:rightChars="-32" w:firstLine="640" w:firstLineChars="200"/>
        <w:rPr>
          <w:rFonts w:eastAsia="仿宋"/>
          <w:bCs/>
          <w:sz w:val="32"/>
          <w:szCs w:val="32"/>
          <w:highlight w:val="none"/>
        </w:rPr>
      </w:pPr>
      <w:r>
        <w:rPr>
          <w:rFonts w:eastAsia="仿宋"/>
          <w:bCs/>
          <w:sz w:val="32"/>
          <w:szCs w:val="32"/>
          <w:highlight w:val="none"/>
        </w:rPr>
        <w:t>GB/T 42125.1-2024，测量、控制和实验室用电气设备的安全要求 第1部分：通用要求[S].</w:t>
      </w:r>
    </w:p>
    <w:p w14:paraId="694500E3">
      <w:pPr>
        <w:numPr>
          <w:ilvl w:val="0"/>
          <w:numId w:val="9"/>
        </w:numPr>
        <w:spacing w:line="520" w:lineRule="exact"/>
        <w:ind w:right="-67" w:rightChars="-32" w:firstLine="640" w:firstLineChars="200"/>
        <w:rPr>
          <w:rFonts w:eastAsia="仿宋"/>
          <w:bCs/>
          <w:sz w:val="32"/>
          <w:szCs w:val="32"/>
          <w:highlight w:val="none"/>
        </w:rPr>
      </w:pPr>
      <w:r>
        <w:rPr>
          <w:rFonts w:eastAsia="仿宋"/>
          <w:bCs/>
          <w:sz w:val="32"/>
          <w:szCs w:val="32"/>
          <w:highlight w:val="none"/>
        </w:rPr>
        <w:t>GB/T 42125.2-2024</w:t>
      </w:r>
      <w:r>
        <w:rPr>
          <w:rFonts w:hint="eastAsia" w:eastAsia="仿宋"/>
          <w:bCs/>
          <w:sz w:val="32"/>
          <w:szCs w:val="32"/>
          <w:highlight w:val="none"/>
        </w:rPr>
        <w:t xml:space="preserve"> 测量、控制和实验室用电气设备的安全要求 第2部分：材料加热用实验室设备的特殊要求</w:t>
      </w:r>
      <w:r>
        <w:rPr>
          <w:rFonts w:eastAsia="仿宋"/>
          <w:bCs/>
          <w:sz w:val="32"/>
          <w:szCs w:val="32"/>
          <w:highlight w:val="none"/>
        </w:rPr>
        <w:t>[S]</w:t>
      </w:r>
      <w:r>
        <w:rPr>
          <w:rFonts w:hint="eastAsia" w:eastAsia="仿宋"/>
          <w:bCs/>
          <w:sz w:val="32"/>
          <w:szCs w:val="32"/>
          <w:highlight w:val="none"/>
        </w:rPr>
        <w:t>.</w:t>
      </w:r>
    </w:p>
    <w:p w14:paraId="013DF3C1">
      <w:pPr>
        <w:numPr>
          <w:ilvl w:val="0"/>
          <w:numId w:val="9"/>
        </w:numPr>
        <w:spacing w:line="520" w:lineRule="exact"/>
        <w:ind w:right="-67" w:rightChars="-32" w:firstLine="640" w:firstLineChars="200"/>
        <w:rPr>
          <w:rFonts w:eastAsia="仿宋"/>
          <w:bCs/>
          <w:sz w:val="32"/>
          <w:szCs w:val="32"/>
          <w:highlight w:val="none"/>
        </w:rPr>
      </w:pPr>
      <w:r>
        <w:rPr>
          <w:rFonts w:eastAsia="仿宋"/>
          <w:bCs/>
          <w:sz w:val="32"/>
          <w:szCs w:val="32"/>
          <w:highlight w:val="none"/>
        </w:rPr>
        <w:t>GB 4793-2024，测量、控制和实验室用电气设备安全技术规范[S].</w:t>
      </w:r>
    </w:p>
    <w:p w14:paraId="3AED3953">
      <w:pPr>
        <w:numPr>
          <w:ilvl w:val="0"/>
          <w:numId w:val="9"/>
        </w:numPr>
        <w:spacing w:line="520" w:lineRule="exact"/>
        <w:ind w:right="-67" w:rightChars="-32" w:firstLine="640" w:firstLineChars="200"/>
        <w:rPr>
          <w:rFonts w:eastAsia="仿宋"/>
          <w:bCs/>
          <w:sz w:val="32"/>
          <w:szCs w:val="32"/>
          <w:highlight w:val="none"/>
        </w:rPr>
      </w:pPr>
      <w:r>
        <w:rPr>
          <w:rFonts w:eastAsia="仿宋"/>
          <w:bCs/>
          <w:sz w:val="32"/>
          <w:szCs w:val="32"/>
          <w:highlight w:val="none"/>
        </w:rPr>
        <w:t>YY</w:t>
      </w:r>
      <w:r>
        <w:rPr>
          <w:rFonts w:hint="eastAsia" w:eastAsia="仿宋"/>
          <w:bCs/>
          <w:sz w:val="32"/>
          <w:szCs w:val="32"/>
          <w:highlight w:val="none"/>
        </w:rPr>
        <w:t>/T</w:t>
      </w:r>
      <w:r>
        <w:rPr>
          <w:rFonts w:eastAsia="仿宋"/>
          <w:bCs/>
          <w:sz w:val="32"/>
          <w:szCs w:val="32"/>
          <w:highlight w:val="none"/>
        </w:rPr>
        <w:t xml:space="preserve"> 0648-2025，测量、控制和实验室用电气设备的安全要求 第2-101部分：体外诊断（IVD）医用设备的专用要求[S].</w:t>
      </w:r>
    </w:p>
    <w:p w14:paraId="53002455">
      <w:pPr>
        <w:numPr>
          <w:ilvl w:val="0"/>
          <w:numId w:val="9"/>
        </w:numPr>
        <w:spacing w:line="520" w:lineRule="exact"/>
        <w:ind w:right="-67" w:rightChars="-32" w:firstLine="640" w:firstLineChars="200"/>
        <w:rPr>
          <w:rFonts w:eastAsia="仿宋"/>
          <w:bCs/>
          <w:sz w:val="32"/>
          <w:szCs w:val="32"/>
          <w:highlight w:val="none"/>
        </w:rPr>
      </w:pPr>
      <w:r>
        <w:rPr>
          <w:rFonts w:eastAsia="仿宋"/>
          <w:bCs/>
          <w:sz w:val="32"/>
          <w:szCs w:val="32"/>
          <w:highlight w:val="none"/>
        </w:rPr>
        <w:t>GB/T 14710-2009,医用电器环境要求及试验方法[S].</w:t>
      </w:r>
    </w:p>
    <w:p w14:paraId="2E3E3A4A">
      <w:pPr>
        <w:numPr>
          <w:ilvl w:val="0"/>
          <w:numId w:val="9"/>
        </w:numPr>
        <w:spacing w:line="520" w:lineRule="exact"/>
        <w:ind w:right="-67" w:rightChars="-32" w:firstLine="640" w:firstLineChars="200"/>
        <w:rPr>
          <w:rFonts w:eastAsia="仿宋"/>
          <w:bCs/>
          <w:sz w:val="32"/>
          <w:szCs w:val="32"/>
          <w:highlight w:val="none"/>
        </w:rPr>
      </w:pPr>
      <w:r>
        <w:rPr>
          <w:rFonts w:eastAsia="仿宋"/>
          <w:bCs/>
          <w:sz w:val="32"/>
          <w:szCs w:val="32"/>
          <w:highlight w:val="none"/>
        </w:rPr>
        <w:t>GB/T 18268.1-2025 测量、控制和实验室用的电设备 电磁兼容性要求 第1部分：通用要求[S].</w:t>
      </w:r>
    </w:p>
    <w:p w14:paraId="2B4EF90B">
      <w:pPr>
        <w:numPr>
          <w:ilvl w:val="0"/>
          <w:numId w:val="9"/>
        </w:numPr>
        <w:spacing w:line="520" w:lineRule="exact"/>
        <w:ind w:right="-67" w:rightChars="-32" w:firstLine="640" w:firstLineChars="200"/>
        <w:rPr>
          <w:rFonts w:eastAsia="仿宋"/>
          <w:bCs/>
          <w:sz w:val="32"/>
          <w:szCs w:val="32"/>
          <w:highlight w:val="none"/>
        </w:rPr>
      </w:pPr>
      <w:r>
        <w:rPr>
          <w:rFonts w:eastAsia="仿宋"/>
          <w:bCs/>
          <w:sz w:val="32"/>
          <w:szCs w:val="32"/>
          <w:highlight w:val="none"/>
        </w:rPr>
        <w:t>GB/T 18268.26-2010测量、控制和实验室用的电设备 电磁兼容性要求 第26部分：特殊要求 体外诊断（IVD）医疗设备[S].</w:t>
      </w:r>
    </w:p>
    <w:p w14:paraId="017E9C16">
      <w:pPr>
        <w:numPr>
          <w:ilvl w:val="0"/>
          <w:numId w:val="9"/>
        </w:numPr>
        <w:spacing w:line="520" w:lineRule="exact"/>
        <w:ind w:right="-67" w:rightChars="-32" w:firstLine="640" w:firstLineChars="200"/>
        <w:rPr>
          <w:rFonts w:eastAsia="仿宋"/>
          <w:bCs/>
          <w:sz w:val="32"/>
          <w:szCs w:val="32"/>
          <w:highlight w:val="none"/>
        </w:rPr>
      </w:pPr>
      <w:r>
        <w:rPr>
          <w:rFonts w:eastAsia="仿宋"/>
          <w:bCs/>
          <w:sz w:val="32"/>
          <w:szCs w:val="32"/>
          <w:highlight w:val="none"/>
        </w:rPr>
        <w:t>GB/T 29791.3-2013,体外诊断医疗器械 制造商提供的信息（标示）第3部分：专业用体外诊断仪器[S].</w:t>
      </w:r>
    </w:p>
    <w:p w14:paraId="425E80C3">
      <w:pPr>
        <w:numPr>
          <w:ilvl w:val="0"/>
          <w:numId w:val="9"/>
        </w:numPr>
        <w:spacing w:line="520" w:lineRule="exact"/>
        <w:ind w:right="-67" w:rightChars="-32" w:firstLine="640" w:firstLineChars="200"/>
        <w:rPr>
          <w:rFonts w:eastAsia="仿宋"/>
          <w:bCs/>
          <w:sz w:val="32"/>
          <w:szCs w:val="32"/>
          <w:highlight w:val="none"/>
        </w:rPr>
      </w:pPr>
      <w:r>
        <w:rPr>
          <w:rFonts w:hint="default" w:eastAsia="仿宋"/>
          <w:bCs/>
          <w:sz w:val="32"/>
          <w:szCs w:val="32"/>
          <w:highlight w:val="none"/>
        </w:rPr>
        <w:t xml:space="preserve"> </w:t>
      </w:r>
      <w:r>
        <w:rPr>
          <w:rFonts w:hint="eastAsia" w:eastAsia="仿宋"/>
          <w:bCs/>
          <w:sz w:val="32"/>
          <w:szCs w:val="32"/>
          <w:highlight w:val="none"/>
        </w:rPr>
        <w:t>YY/T 1437-2023,医疗器械 GB/T 42062应用指南[S].</w:t>
      </w:r>
    </w:p>
    <w:p w14:paraId="79A96CF9">
      <w:pPr>
        <w:numPr>
          <w:ilvl w:val="0"/>
          <w:numId w:val="9"/>
        </w:numPr>
        <w:spacing w:line="520" w:lineRule="exact"/>
        <w:ind w:right="-67" w:rightChars="-32" w:firstLine="640" w:firstLineChars="200"/>
        <w:rPr>
          <w:rFonts w:eastAsia="仿宋"/>
          <w:bCs/>
          <w:sz w:val="32"/>
          <w:szCs w:val="32"/>
          <w:highlight w:val="none"/>
        </w:rPr>
      </w:pPr>
      <w:r>
        <w:rPr>
          <w:rFonts w:eastAsia="仿宋"/>
          <w:bCs/>
          <w:sz w:val="32"/>
          <w:szCs w:val="32"/>
          <w:highlight w:val="none"/>
        </w:rPr>
        <w:t xml:space="preserve">YY/T </w:t>
      </w:r>
      <w:r>
        <w:rPr>
          <w:rFonts w:hint="default" w:eastAsia="仿宋"/>
          <w:bCs/>
          <w:sz w:val="32"/>
          <w:szCs w:val="32"/>
          <w:highlight w:val="none"/>
        </w:rPr>
        <w:t>0656-2008</w:t>
      </w:r>
      <w:r>
        <w:rPr>
          <w:rFonts w:eastAsia="仿宋"/>
          <w:bCs/>
          <w:sz w:val="32"/>
          <w:szCs w:val="32"/>
          <w:highlight w:val="none"/>
        </w:rPr>
        <w:t>,</w:t>
      </w:r>
      <w:r>
        <w:rPr>
          <w:rFonts w:hint="default" w:eastAsia="仿宋"/>
          <w:bCs/>
          <w:sz w:val="32"/>
          <w:szCs w:val="32"/>
          <w:highlight w:val="none"/>
        </w:rPr>
        <w:t>自动化血培养系统</w:t>
      </w:r>
      <w:r>
        <w:rPr>
          <w:rFonts w:eastAsia="仿宋"/>
          <w:bCs/>
          <w:sz w:val="32"/>
          <w:szCs w:val="32"/>
          <w:highlight w:val="none"/>
        </w:rPr>
        <w:t>[S].</w:t>
      </w:r>
      <w:bookmarkStart w:id="2" w:name="_GoBack"/>
      <w:bookmarkEnd w:id="2"/>
    </w:p>
    <w:sectPr>
      <w:footerReference r:id="rId3" w:type="default"/>
      <w:footerReference r:id="rId4" w:type="even"/>
      <w:pgSz w:w="11906" w:h="16838"/>
      <w:pgMar w:top="1440" w:right="1800" w:bottom="1440" w:left="1800" w:header="851" w:footer="992" w:gutter="0"/>
      <w:lnNumType w:countBy="1" w:restart="continuou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微软雅黑">
    <w:altName w:val="汉仪旗黑"/>
    <w:panose1 w:val="020B0503020204020204"/>
    <w:charset w:val="86"/>
    <w:family w:val="swiss"/>
    <w:pitch w:val="default"/>
    <w:sig w:usb0="00000000" w:usb1="0000000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1" w:fontKey="{AA5169C2-04C3-E633-14E1-666A6144FF63}"/>
  </w:font>
  <w:font w:name="楷体_GB2312">
    <w:altName w:val="汉仪楷体简"/>
    <w:panose1 w:val="00000000000000000000"/>
    <w:charset w:val="86"/>
    <w:family w:val="modern"/>
    <w:pitch w:val="default"/>
    <w:sig w:usb0="00000000" w:usb1="00000000" w:usb2="00000000" w:usb3="00000000" w:csb0="00040000" w:csb1="00000000"/>
  </w:font>
  <w:font w:name="楷体">
    <w:altName w:val="汉仪楷体KW"/>
    <w:panose1 w:val="02010609060101010101"/>
    <w:charset w:val="86"/>
    <w:family w:val="auto"/>
    <w:pitch w:val="default"/>
    <w:sig w:usb0="00000000" w:usb1="00000000" w:usb2="00000016" w:usb3="00000000" w:csb0="00040001" w:csb1="00000000"/>
  </w:font>
  <w:font w:name="Tahoma">
    <w:panose1 w:val="020B0604030504040204"/>
    <w:charset w:val="00"/>
    <w:family w:val="swiss"/>
    <w:pitch w:val="default"/>
    <w:sig w:usb0="E1002AFF" w:usb1="C000605B" w:usb2="00000029" w:usb3="00000000" w:csb0="200101FF" w:csb1="20280000"/>
    <w:embedRegular r:id="rId2" w:fontKey="{0265CF05-5C81-CCD5-14E1-666A18A2B580}"/>
  </w:font>
  <w:font w:name="仿宋">
    <w:altName w:val="仿宋-简"/>
    <w:panose1 w:val="02010609060101010101"/>
    <w:charset w:val="86"/>
    <w:family w:val="modern"/>
    <w:pitch w:val="default"/>
    <w:sig w:usb0="00000000" w:usb1="00000000" w:usb2="00000016" w:usb3="00000000" w:csb0="00040001" w:csb1="00000000"/>
  </w:font>
  <w:font w:name="汉仪旗黑">
    <w:panose1 w:val="00020600040101010101"/>
    <w:charset w:val="86"/>
    <w:family w:val="auto"/>
    <w:pitch w:val="default"/>
    <w:sig w:usb0="A00002BF" w:usb1="1ACF7CFA" w:usb2="00000016" w:usb3="00000000" w:csb0="0004009F" w:csb1="DFD70000"/>
  </w:font>
  <w:font w:name="汉仪中黑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Kingsoft Sign">
    <w:panose1 w:val="05050102010706020507"/>
    <w:charset w:val="00"/>
    <w:family w:val="auto"/>
    <w:pitch w:val="default"/>
    <w:sig w:usb0="00000000" w:usb1="10000000" w:usb2="00000000" w:usb3="00000000" w:csb0="00000001" w:csb1="00000000"/>
  </w:font>
  <w:font w:name="汉仪楷体KW">
    <w:panose1 w:val="00020600040101010101"/>
    <w:charset w:val="86"/>
    <w:family w:val="auto"/>
    <w:pitch w:val="default"/>
    <w:sig w:usb0="A00002BF" w:usb1="18EF7CFA" w:usb2="00000016" w:usb3="00000000" w:csb0="00040000" w:csb1="00000000"/>
  </w:font>
  <w:font w:name="仿宋-简">
    <w:panose1 w:val="02010609060101010101"/>
    <w:charset w:val="86"/>
    <w:family w:val="auto"/>
    <w:pitch w:val="default"/>
    <w:sig w:usb0="A00002BF" w:usb1="3ACF7CFA" w:usb2="00000016" w:usb3="00000000" w:csb0="00040001" w:csb1="00000000"/>
  </w:font>
  <w:font w:name="方正小标宋简体">
    <w:panose1 w:val="03000509000000000000"/>
    <w:charset w:val="86"/>
    <w:family w:val="auto"/>
    <w:pitch w:val="default"/>
    <w:sig w:usb0="00000001" w:usb1="080E0000" w:usb2="00000000" w:usb3="00000000" w:csb0="00040000" w:csb1="00000000"/>
    <w:embedRegular r:id="rId3" w:fontKey="{51E5E987-35D4-7045-14E1-666A107935D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DD948">
    <w:pPr>
      <w:tabs>
        <w:tab w:val="center" w:pos="4153"/>
        <w:tab w:val="right" w:pos="8306"/>
      </w:tabs>
      <w:snapToGrid w:val="0"/>
      <w:jc w:val="left"/>
      <w:rPr>
        <w:rFonts w:ascii="Times New Roman" w:hAnsi="Times New Roman" w:eastAsia="宋体" w:cs="Times New Roman"/>
        <w:sz w:val="18"/>
        <w:szCs w:val="18"/>
      </w:rPr>
    </w:pPr>
    <w:r>
      <w:rPr>
        <w:rFonts w:ascii="Times New Roman" w:hAnsi="Times New Roman" w:eastAsia="宋体" w:cs="Times New Roman"/>
        <w:sz w:val="18"/>
        <w:szCs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-147320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594C70B">
                          <w:pPr>
                            <w:tabs>
                              <w:tab w:val="center" w:pos="4153"/>
                              <w:tab w:val="right" w:pos="8306"/>
                            </w:tabs>
                            <w:snapToGrid w:val="0"/>
                            <w:rPr>
                              <w:rFonts w:ascii="Times New Roman" w:hAnsi="Times New Roman" w:eastAsia="宋体" w:cs="Times New Roman"/>
                              <w:sz w:val="28"/>
                              <w:szCs w:val="28"/>
                            </w:rPr>
                          </w:pPr>
                          <w:r>
                            <w:rPr>
                              <w:rFonts w:ascii="Times New Roman" w:hAnsi="Times New Roman" w:eastAsia="宋体" w:cs="Times New Roman"/>
                              <w:sz w:val="28"/>
                              <w:szCs w:val="28"/>
                            </w:rPr>
                            <w:t>—</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  \* MERGEFORMAT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10</w:t>
                          </w:r>
                          <w:r>
                            <w:rPr>
                              <w:rFonts w:ascii="Times New Roman" w:hAnsi="Times New Roman" w:eastAsia="宋体" w:cs="Times New Roman"/>
                              <w:sz w:val="28"/>
                              <w:szCs w:val="28"/>
                            </w:rPr>
                            <w:fldChar w:fldCharType="end"/>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11.6pt;height:144pt;width:144pt;mso-position-horizontal:outside;mso-position-horizontal-relative:margin;mso-wrap-style:none;z-index:251659264;mso-width-relative:page;mso-height-relative:page;" filled="f" stroked="f" coordsize="21600,21600" o:gfxdata="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oZaszVAAAACAEAAA8AAAAAAAAAAQAgAAAAIgAAAGRycy9kb3ducmV2LnhtbFBL&#10;AQIUABQAAAAIAIdO4kAJ0B6fMgIAAGMEAAAOAAAAAAAAAAEAIAAAACQBAABkcnMvZTJvRG9jLnht&#10;bFBLBQYAAAAABgAGAFkBAADIBQAAAAA=&#10;">
              <v:fill on="f" focussize="0,0"/>
              <v:stroke on="f" weight="0.5pt"/>
              <v:imagedata o:title=""/>
              <o:lock v:ext="edit" aspectratio="f"/>
              <v:textbox inset="0mm,0mm,0mm,0mm" style="mso-fit-shape-to-text:t;">
                <w:txbxContent>
                  <w:p w14:paraId="2594C70B">
                    <w:pPr>
                      <w:tabs>
                        <w:tab w:val="center" w:pos="4153"/>
                        <w:tab w:val="right" w:pos="8306"/>
                      </w:tabs>
                      <w:snapToGrid w:val="0"/>
                      <w:rPr>
                        <w:rFonts w:ascii="Times New Roman" w:hAnsi="Times New Roman" w:eastAsia="宋体" w:cs="Times New Roman"/>
                        <w:sz w:val="28"/>
                        <w:szCs w:val="28"/>
                      </w:rPr>
                    </w:pPr>
                    <w:r>
                      <w:rPr>
                        <w:rFonts w:ascii="Times New Roman" w:hAnsi="Times New Roman" w:eastAsia="宋体" w:cs="Times New Roman"/>
                        <w:sz w:val="28"/>
                        <w:szCs w:val="28"/>
                      </w:rPr>
                      <w:t>—</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  \* MERGEFORMAT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10</w:t>
                    </w:r>
                    <w:r>
                      <w:rPr>
                        <w:rFonts w:ascii="Times New Roman" w:hAnsi="Times New Roman" w:eastAsia="宋体" w:cs="Times New Roman"/>
                        <w:sz w:val="28"/>
                        <w:szCs w:val="28"/>
                      </w:rPr>
                      <w:fldChar w:fldCharType="end"/>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B2211">
    <w:pPr>
      <w:tabs>
        <w:tab w:val="center" w:pos="4153"/>
        <w:tab w:val="right" w:pos="8306"/>
      </w:tabs>
      <w:snapToGrid w:val="0"/>
      <w:jc w:val="left"/>
      <w:rPr>
        <w:rFonts w:ascii="Times New Roman" w:hAnsi="Times New Roman" w:eastAsia="宋体" w:cs="Times New Roman"/>
        <w:sz w:val="18"/>
        <w:szCs w:val="18"/>
      </w:rPr>
    </w:pPr>
    <w:r>
      <w:rPr>
        <w:rFonts w:ascii="Times New Roman" w:hAnsi="Times New Roman" w:eastAsia="宋体" w:cs="Times New Roman"/>
        <w:sz w:val="18"/>
        <w:szCs w:val="18"/>
      </w:rPr>
      <mc:AlternateContent>
        <mc:Choice Requires="wps">
          <w:drawing>
            <wp:anchor distT="0" distB="0" distL="114300" distR="114300" simplePos="0" relativeHeight="251660288" behindDoc="0" locked="0" layoutInCell="1" allowOverlap="1">
              <wp:simplePos x="0" y="0"/>
              <wp:positionH relativeFrom="margin">
                <wp:posOffset>17780</wp:posOffset>
              </wp:positionH>
              <wp:positionV relativeFrom="paragraph">
                <wp:posOffset>-138430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0CB332">
                          <w:pPr>
                            <w:tabs>
                              <w:tab w:val="center" w:pos="4153"/>
                              <w:tab w:val="right" w:pos="8306"/>
                            </w:tabs>
                            <w:snapToGrid w:val="0"/>
                            <w:jc w:val="left"/>
                            <w:rPr>
                              <w:rFonts w:ascii="Times New Roman" w:hAnsi="Times New Roman" w:eastAsia="宋体" w:cs="Times New Roman"/>
                              <w:sz w:val="28"/>
                              <w:szCs w:val="18"/>
                            </w:rPr>
                          </w:pPr>
                          <w:r>
                            <w:rPr>
                              <w:rFonts w:ascii="Times New Roman" w:hAnsi="Times New Roman" w:eastAsia="宋体" w:cs="Times New Roman"/>
                              <w:sz w:val="28"/>
                              <w:szCs w:val="18"/>
                            </w:rPr>
                            <w:t xml:space="preserve">— </w:t>
                          </w:r>
                          <w:r>
                            <w:rPr>
                              <w:rFonts w:ascii="Times New Roman" w:hAnsi="Times New Roman" w:eastAsia="宋体" w:cs="Times New Roman"/>
                              <w:sz w:val="28"/>
                              <w:szCs w:val="18"/>
                            </w:rPr>
                            <w:fldChar w:fldCharType="begin"/>
                          </w:r>
                          <w:r>
                            <w:rPr>
                              <w:rFonts w:ascii="Times New Roman" w:hAnsi="Times New Roman" w:eastAsia="宋体" w:cs="Times New Roman"/>
                              <w:sz w:val="28"/>
                              <w:szCs w:val="18"/>
                            </w:rPr>
                            <w:instrText xml:space="preserve"> PAGE  \* MERGEFORMAT </w:instrText>
                          </w:r>
                          <w:r>
                            <w:rPr>
                              <w:rFonts w:ascii="Times New Roman" w:hAnsi="Times New Roman" w:eastAsia="宋体" w:cs="Times New Roman"/>
                              <w:sz w:val="28"/>
                              <w:szCs w:val="18"/>
                            </w:rPr>
                            <w:fldChar w:fldCharType="separate"/>
                          </w:r>
                          <w:r>
                            <w:rPr>
                              <w:rFonts w:ascii="Times New Roman" w:hAnsi="Times New Roman" w:eastAsia="宋体" w:cs="Times New Roman"/>
                              <w:sz w:val="28"/>
                              <w:szCs w:val="18"/>
                            </w:rPr>
                            <w:t>2</w:t>
                          </w:r>
                          <w:r>
                            <w:rPr>
                              <w:rFonts w:ascii="Times New Roman" w:hAnsi="Times New Roman" w:eastAsia="宋体" w:cs="Times New Roman"/>
                              <w:sz w:val="28"/>
                              <w:szCs w:val="18"/>
                            </w:rPr>
                            <w:fldChar w:fldCharType="end"/>
                          </w:r>
                          <w:r>
                            <w:rPr>
                              <w:rFonts w:ascii="Times New Roman" w:hAnsi="Times New Roman" w:eastAsia="宋体" w:cs="Times New Roman"/>
                              <w:sz w:val="28"/>
                              <w:szCs w:val="1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4pt;margin-top:-10.9pt;height:144pt;width:144pt;mso-position-horizontal-relative:margin;mso-wrap-style:none;z-index:251660288;mso-width-relative:page;mso-height-relative:page;" filled="f" stroked="f" coordsize="21600,21600" o:gfxdata="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AgjiUHUAAAACQEAAA8AAAAAAAAAAQAgAAAAIgAAAGRycy9kb3ducmV2LnhtbFBLAQIU&#10;ABQAAAAIAIdO4kAPFeUNMAIAAGMEAAAOAAAAAAAAAAEAIAAAACMBAABkcnMvZTJvRG9jLnhtbFBL&#10;BQYAAAAABgAGAFkBAADFBQAAAAA=&#10;">
              <v:fill on="f" focussize="0,0"/>
              <v:stroke on="f" weight="0.5pt"/>
              <v:imagedata o:title=""/>
              <o:lock v:ext="edit" aspectratio="f"/>
              <v:textbox inset="0mm,0mm,0mm,0mm" style="mso-fit-shape-to-text:t;">
                <w:txbxContent>
                  <w:p w14:paraId="640CB332">
                    <w:pPr>
                      <w:tabs>
                        <w:tab w:val="center" w:pos="4153"/>
                        <w:tab w:val="right" w:pos="8306"/>
                      </w:tabs>
                      <w:snapToGrid w:val="0"/>
                      <w:jc w:val="left"/>
                      <w:rPr>
                        <w:rFonts w:ascii="Times New Roman" w:hAnsi="Times New Roman" w:eastAsia="宋体" w:cs="Times New Roman"/>
                        <w:sz w:val="28"/>
                        <w:szCs w:val="18"/>
                      </w:rPr>
                    </w:pPr>
                    <w:r>
                      <w:rPr>
                        <w:rFonts w:ascii="Times New Roman" w:hAnsi="Times New Roman" w:eastAsia="宋体" w:cs="Times New Roman"/>
                        <w:sz w:val="28"/>
                        <w:szCs w:val="18"/>
                      </w:rPr>
                      <w:t xml:space="preserve">— </w:t>
                    </w:r>
                    <w:r>
                      <w:rPr>
                        <w:rFonts w:ascii="Times New Roman" w:hAnsi="Times New Roman" w:eastAsia="宋体" w:cs="Times New Roman"/>
                        <w:sz w:val="28"/>
                        <w:szCs w:val="18"/>
                      </w:rPr>
                      <w:fldChar w:fldCharType="begin"/>
                    </w:r>
                    <w:r>
                      <w:rPr>
                        <w:rFonts w:ascii="Times New Roman" w:hAnsi="Times New Roman" w:eastAsia="宋体" w:cs="Times New Roman"/>
                        <w:sz w:val="28"/>
                        <w:szCs w:val="18"/>
                      </w:rPr>
                      <w:instrText xml:space="preserve"> PAGE  \* MERGEFORMAT </w:instrText>
                    </w:r>
                    <w:r>
                      <w:rPr>
                        <w:rFonts w:ascii="Times New Roman" w:hAnsi="Times New Roman" w:eastAsia="宋体" w:cs="Times New Roman"/>
                        <w:sz w:val="28"/>
                        <w:szCs w:val="18"/>
                      </w:rPr>
                      <w:fldChar w:fldCharType="separate"/>
                    </w:r>
                    <w:r>
                      <w:rPr>
                        <w:rFonts w:ascii="Times New Roman" w:hAnsi="Times New Roman" w:eastAsia="宋体" w:cs="Times New Roman"/>
                        <w:sz w:val="28"/>
                        <w:szCs w:val="18"/>
                      </w:rPr>
                      <w:t>2</w:t>
                    </w:r>
                    <w:r>
                      <w:rPr>
                        <w:rFonts w:ascii="Times New Roman" w:hAnsi="Times New Roman" w:eastAsia="宋体" w:cs="Times New Roman"/>
                        <w:sz w:val="28"/>
                        <w:szCs w:val="18"/>
                      </w:rPr>
                      <w:fldChar w:fldCharType="end"/>
                    </w:r>
                    <w:r>
                      <w:rPr>
                        <w:rFonts w:ascii="Times New Roman" w:hAnsi="Times New Roman" w:eastAsia="宋体" w:cs="Times New Roman"/>
                        <w:sz w:val="28"/>
                        <w:szCs w:val="1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752487"/>
    <w:multiLevelType w:val="singleLevel"/>
    <w:tmpl w:val="92752487"/>
    <w:lvl w:ilvl="0" w:tentative="0">
      <w:start w:val="1"/>
      <w:numFmt w:val="decimal"/>
      <w:suff w:val="nothing"/>
      <w:lvlText w:val="[%1]"/>
      <w:lvlJc w:val="left"/>
    </w:lvl>
  </w:abstractNum>
  <w:abstractNum w:abstractNumId="1">
    <w:nsid w:val="95D74D26"/>
    <w:multiLevelType w:val="singleLevel"/>
    <w:tmpl w:val="95D74D26"/>
    <w:lvl w:ilvl="0" w:tentative="0">
      <w:start w:val="1"/>
      <w:numFmt w:val="decimal"/>
      <w:suff w:val="nothing"/>
      <w:lvlText w:val="%1、"/>
      <w:lvlJc w:val="left"/>
    </w:lvl>
  </w:abstractNum>
  <w:abstractNum w:abstractNumId="2">
    <w:nsid w:val="9C5397FC"/>
    <w:multiLevelType w:val="singleLevel"/>
    <w:tmpl w:val="9C5397FC"/>
    <w:lvl w:ilvl="0" w:tentative="0">
      <w:start w:val="1"/>
      <w:numFmt w:val="decimal"/>
      <w:suff w:val="nothing"/>
      <w:lvlText w:val="%1、"/>
      <w:lvlJc w:val="left"/>
    </w:lvl>
  </w:abstractNum>
  <w:abstractNum w:abstractNumId="3">
    <w:nsid w:val="CFD4F622"/>
    <w:multiLevelType w:val="singleLevel"/>
    <w:tmpl w:val="CFD4F622"/>
    <w:lvl w:ilvl="0" w:tentative="0">
      <w:start w:val="1"/>
      <w:numFmt w:val="decimal"/>
      <w:suff w:val="nothing"/>
      <w:lvlText w:val="%1、"/>
      <w:lvlJc w:val="left"/>
    </w:lvl>
  </w:abstractNum>
  <w:abstractNum w:abstractNumId="4">
    <w:nsid w:val="D9F9A539"/>
    <w:multiLevelType w:val="singleLevel"/>
    <w:tmpl w:val="D9F9A539"/>
    <w:lvl w:ilvl="0" w:tentative="0">
      <w:start w:val="1"/>
      <w:numFmt w:val="decimal"/>
      <w:suff w:val="nothing"/>
      <w:lvlText w:val="%1、"/>
      <w:lvlJc w:val="left"/>
    </w:lvl>
  </w:abstractNum>
  <w:abstractNum w:abstractNumId="5">
    <w:nsid w:val="F6999A00"/>
    <w:multiLevelType w:val="singleLevel"/>
    <w:tmpl w:val="F6999A00"/>
    <w:lvl w:ilvl="0" w:tentative="0">
      <w:start w:val="1"/>
      <w:numFmt w:val="decimal"/>
      <w:suff w:val="nothing"/>
      <w:lvlText w:val="（%1）"/>
      <w:lvlJc w:val="left"/>
    </w:lvl>
  </w:abstractNum>
  <w:abstractNum w:abstractNumId="6">
    <w:nsid w:val="0FBEB845"/>
    <w:multiLevelType w:val="singleLevel"/>
    <w:tmpl w:val="0FBEB845"/>
    <w:lvl w:ilvl="0" w:tentative="0">
      <w:start w:val="1"/>
      <w:numFmt w:val="decimal"/>
      <w:suff w:val="nothing"/>
      <w:lvlText w:val="%1、"/>
      <w:lvlJc w:val="left"/>
    </w:lvl>
  </w:abstractNum>
  <w:abstractNum w:abstractNumId="7">
    <w:nsid w:val="155DD0C0"/>
    <w:multiLevelType w:val="singleLevel"/>
    <w:tmpl w:val="155DD0C0"/>
    <w:lvl w:ilvl="0" w:tentative="0">
      <w:start w:val="1"/>
      <w:numFmt w:val="decimal"/>
      <w:suff w:val="nothing"/>
      <w:lvlText w:val="%1、"/>
      <w:lvlJc w:val="left"/>
    </w:lvl>
  </w:abstractNum>
  <w:abstractNum w:abstractNumId="8">
    <w:nsid w:val="20BD7884"/>
    <w:multiLevelType w:val="singleLevel"/>
    <w:tmpl w:val="20BD7884"/>
    <w:lvl w:ilvl="0" w:tentative="0">
      <w:start w:val="2"/>
      <w:numFmt w:val="chineseCounting"/>
      <w:suff w:val="nothing"/>
      <w:lvlText w:val="（%1）"/>
      <w:lvlJc w:val="left"/>
      <w:rPr>
        <w:rFonts w:hint="eastAsia"/>
      </w:rPr>
    </w:lvl>
  </w:abstractNum>
  <w:num w:numId="1">
    <w:abstractNumId w:val="8"/>
  </w:num>
  <w:num w:numId="2">
    <w:abstractNumId w:val="5"/>
  </w:num>
  <w:num w:numId="3">
    <w:abstractNumId w:val="6"/>
  </w:num>
  <w:num w:numId="4">
    <w:abstractNumId w:val="7"/>
  </w:num>
  <w:num w:numId="5">
    <w:abstractNumId w:val="2"/>
  </w:num>
  <w:num w:numId="6">
    <w:abstractNumId w:val="3"/>
  </w:num>
  <w:num w:numId="7">
    <w:abstractNumId w:val="4"/>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FF7CD020"/>
    <w:rsid w:val="000E4A7D"/>
    <w:rsid w:val="00282C47"/>
    <w:rsid w:val="002C07CE"/>
    <w:rsid w:val="003413E4"/>
    <w:rsid w:val="00447048"/>
    <w:rsid w:val="00622C86"/>
    <w:rsid w:val="0064173C"/>
    <w:rsid w:val="00657C48"/>
    <w:rsid w:val="00756548"/>
    <w:rsid w:val="007802C1"/>
    <w:rsid w:val="007A1658"/>
    <w:rsid w:val="007B3ABF"/>
    <w:rsid w:val="00814B47"/>
    <w:rsid w:val="00934E9A"/>
    <w:rsid w:val="00A0099A"/>
    <w:rsid w:val="00AE34D0"/>
    <w:rsid w:val="00C61369"/>
    <w:rsid w:val="00CD79DA"/>
    <w:rsid w:val="00D74784"/>
    <w:rsid w:val="00DA3EA5"/>
    <w:rsid w:val="00ED3BD8"/>
    <w:rsid w:val="00F1191B"/>
    <w:rsid w:val="00F352DE"/>
    <w:rsid w:val="00FB42F1"/>
    <w:rsid w:val="015E6884"/>
    <w:rsid w:val="01A87AFF"/>
    <w:rsid w:val="022278B2"/>
    <w:rsid w:val="02A62923"/>
    <w:rsid w:val="02CF7A3A"/>
    <w:rsid w:val="02DC2156"/>
    <w:rsid w:val="038A3960"/>
    <w:rsid w:val="03BD3D36"/>
    <w:rsid w:val="04021749"/>
    <w:rsid w:val="04447FB3"/>
    <w:rsid w:val="04820ADC"/>
    <w:rsid w:val="04FE63B4"/>
    <w:rsid w:val="053B7608"/>
    <w:rsid w:val="054B35C3"/>
    <w:rsid w:val="05834B0B"/>
    <w:rsid w:val="05B20F4D"/>
    <w:rsid w:val="05EC26B0"/>
    <w:rsid w:val="063F4ED6"/>
    <w:rsid w:val="06B31420"/>
    <w:rsid w:val="06C70A28"/>
    <w:rsid w:val="07126147"/>
    <w:rsid w:val="07591FC8"/>
    <w:rsid w:val="0768220B"/>
    <w:rsid w:val="07E460D3"/>
    <w:rsid w:val="084367D4"/>
    <w:rsid w:val="08D833C0"/>
    <w:rsid w:val="091F2D9D"/>
    <w:rsid w:val="09297778"/>
    <w:rsid w:val="099F5C8C"/>
    <w:rsid w:val="0ACA12B4"/>
    <w:rsid w:val="0AEA0789"/>
    <w:rsid w:val="0AF81AF7"/>
    <w:rsid w:val="0BD53BE7"/>
    <w:rsid w:val="0BE22281"/>
    <w:rsid w:val="0C6C454B"/>
    <w:rsid w:val="0CD024AF"/>
    <w:rsid w:val="0CF06F2A"/>
    <w:rsid w:val="0D8818DD"/>
    <w:rsid w:val="0D9F44AC"/>
    <w:rsid w:val="0E2055ED"/>
    <w:rsid w:val="0E3015A8"/>
    <w:rsid w:val="0E4B63E2"/>
    <w:rsid w:val="0EB67D00"/>
    <w:rsid w:val="0F07055B"/>
    <w:rsid w:val="0F393E73"/>
    <w:rsid w:val="103B4960"/>
    <w:rsid w:val="10AC13BA"/>
    <w:rsid w:val="10CD30DE"/>
    <w:rsid w:val="110411F6"/>
    <w:rsid w:val="114710E3"/>
    <w:rsid w:val="114A0BD3"/>
    <w:rsid w:val="11671785"/>
    <w:rsid w:val="11877731"/>
    <w:rsid w:val="118C2F9A"/>
    <w:rsid w:val="127E28E2"/>
    <w:rsid w:val="12C7072D"/>
    <w:rsid w:val="12E12E71"/>
    <w:rsid w:val="12E27315"/>
    <w:rsid w:val="13345697"/>
    <w:rsid w:val="13510A26"/>
    <w:rsid w:val="138228A6"/>
    <w:rsid w:val="13A87B5C"/>
    <w:rsid w:val="13C7650B"/>
    <w:rsid w:val="13C94031"/>
    <w:rsid w:val="140C2D2B"/>
    <w:rsid w:val="148461AA"/>
    <w:rsid w:val="14902DA1"/>
    <w:rsid w:val="14EF1875"/>
    <w:rsid w:val="151D6282"/>
    <w:rsid w:val="15581B10"/>
    <w:rsid w:val="15A5287C"/>
    <w:rsid w:val="167C182F"/>
    <w:rsid w:val="16946B78"/>
    <w:rsid w:val="169A1CB5"/>
    <w:rsid w:val="16AB3EC2"/>
    <w:rsid w:val="175C51BC"/>
    <w:rsid w:val="17780248"/>
    <w:rsid w:val="183028D1"/>
    <w:rsid w:val="183F2B14"/>
    <w:rsid w:val="18945C4E"/>
    <w:rsid w:val="19257F5C"/>
    <w:rsid w:val="194B7296"/>
    <w:rsid w:val="19CF1C75"/>
    <w:rsid w:val="19FD4A34"/>
    <w:rsid w:val="1A0E09F0"/>
    <w:rsid w:val="1A1B135F"/>
    <w:rsid w:val="1A253F8B"/>
    <w:rsid w:val="1A3F504D"/>
    <w:rsid w:val="1A9D6FA6"/>
    <w:rsid w:val="1AA72BF2"/>
    <w:rsid w:val="1AB84DFF"/>
    <w:rsid w:val="1B7D4618"/>
    <w:rsid w:val="1B807EA4"/>
    <w:rsid w:val="1BCD6688"/>
    <w:rsid w:val="1CB11B06"/>
    <w:rsid w:val="1CBD66FD"/>
    <w:rsid w:val="1CF643E7"/>
    <w:rsid w:val="1D50131F"/>
    <w:rsid w:val="1D9264D1"/>
    <w:rsid w:val="1DA17DCD"/>
    <w:rsid w:val="1E002D45"/>
    <w:rsid w:val="1E601A36"/>
    <w:rsid w:val="1E6A01BF"/>
    <w:rsid w:val="1EFF4DAB"/>
    <w:rsid w:val="1F4D3D68"/>
    <w:rsid w:val="1F7A0AB6"/>
    <w:rsid w:val="1F8133EF"/>
    <w:rsid w:val="20112FE8"/>
    <w:rsid w:val="203009A6"/>
    <w:rsid w:val="20CE0ED9"/>
    <w:rsid w:val="20F569D8"/>
    <w:rsid w:val="210D57AF"/>
    <w:rsid w:val="21733F5C"/>
    <w:rsid w:val="21A954A2"/>
    <w:rsid w:val="21B10A39"/>
    <w:rsid w:val="21D20555"/>
    <w:rsid w:val="222039B6"/>
    <w:rsid w:val="22723AE6"/>
    <w:rsid w:val="227B299A"/>
    <w:rsid w:val="2375388E"/>
    <w:rsid w:val="24003A9F"/>
    <w:rsid w:val="2409047A"/>
    <w:rsid w:val="243C15D3"/>
    <w:rsid w:val="2446347C"/>
    <w:rsid w:val="24997A50"/>
    <w:rsid w:val="251A293E"/>
    <w:rsid w:val="25247FB6"/>
    <w:rsid w:val="25A4045A"/>
    <w:rsid w:val="25BC1C48"/>
    <w:rsid w:val="25DC5E46"/>
    <w:rsid w:val="25F0369F"/>
    <w:rsid w:val="261A696E"/>
    <w:rsid w:val="266A56CF"/>
    <w:rsid w:val="26751DF6"/>
    <w:rsid w:val="26906C30"/>
    <w:rsid w:val="26C50688"/>
    <w:rsid w:val="26D134D1"/>
    <w:rsid w:val="26E054C2"/>
    <w:rsid w:val="270A5E07"/>
    <w:rsid w:val="2710543C"/>
    <w:rsid w:val="2749750B"/>
    <w:rsid w:val="274F2647"/>
    <w:rsid w:val="276E6F72"/>
    <w:rsid w:val="2786250D"/>
    <w:rsid w:val="27A42993"/>
    <w:rsid w:val="27AC7A9A"/>
    <w:rsid w:val="28125142"/>
    <w:rsid w:val="289522DC"/>
    <w:rsid w:val="28E374EB"/>
    <w:rsid w:val="29CE1F49"/>
    <w:rsid w:val="29D55086"/>
    <w:rsid w:val="29E90B31"/>
    <w:rsid w:val="2A337FFE"/>
    <w:rsid w:val="2AE00186"/>
    <w:rsid w:val="2AEA4B61"/>
    <w:rsid w:val="2AF459E0"/>
    <w:rsid w:val="2BB50560"/>
    <w:rsid w:val="2C027C88"/>
    <w:rsid w:val="2C0559CB"/>
    <w:rsid w:val="2C85348C"/>
    <w:rsid w:val="2D962D7E"/>
    <w:rsid w:val="2E1C2DA0"/>
    <w:rsid w:val="2E513149"/>
    <w:rsid w:val="2E613D4F"/>
    <w:rsid w:val="2EBA484A"/>
    <w:rsid w:val="2F4405B8"/>
    <w:rsid w:val="2FF95846"/>
    <w:rsid w:val="30077F63"/>
    <w:rsid w:val="30937A49"/>
    <w:rsid w:val="30DC319E"/>
    <w:rsid w:val="311C359A"/>
    <w:rsid w:val="31C84FFD"/>
    <w:rsid w:val="31E06CBE"/>
    <w:rsid w:val="32317519"/>
    <w:rsid w:val="323E39E4"/>
    <w:rsid w:val="326C67A3"/>
    <w:rsid w:val="326E42CA"/>
    <w:rsid w:val="32722BA7"/>
    <w:rsid w:val="329F26D5"/>
    <w:rsid w:val="32E0684A"/>
    <w:rsid w:val="330469DC"/>
    <w:rsid w:val="333746BC"/>
    <w:rsid w:val="33380434"/>
    <w:rsid w:val="33446DD8"/>
    <w:rsid w:val="33AF4B9A"/>
    <w:rsid w:val="3422536C"/>
    <w:rsid w:val="345B087E"/>
    <w:rsid w:val="34645984"/>
    <w:rsid w:val="3482405C"/>
    <w:rsid w:val="355C48AD"/>
    <w:rsid w:val="35697251"/>
    <w:rsid w:val="35C6226F"/>
    <w:rsid w:val="374B4BD9"/>
    <w:rsid w:val="37D20E57"/>
    <w:rsid w:val="37E62B54"/>
    <w:rsid w:val="38335E49"/>
    <w:rsid w:val="383B2EA0"/>
    <w:rsid w:val="383B7C5B"/>
    <w:rsid w:val="38523D46"/>
    <w:rsid w:val="388008B3"/>
    <w:rsid w:val="38B11B27"/>
    <w:rsid w:val="399E1764"/>
    <w:rsid w:val="3A2F07E2"/>
    <w:rsid w:val="3A3B099E"/>
    <w:rsid w:val="3A3E0A25"/>
    <w:rsid w:val="3A7206CF"/>
    <w:rsid w:val="3A777A93"/>
    <w:rsid w:val="3ACD1D28"/>
    <w:rsid w:val="3AD87542"/>
    <w:rsid w:val="3ADE5BEC"/>
    <w:rsid w:val="3AFB06C4"/>
    <w:rsid w:val="3B286BFD"/>
    <w:rsid w:val="3B547DD5"/>
    <w:rsid w:val="3BB56AC5"/>
    <w:rsid w:val="3C430575"/>
    <w:rsid w:val="3C7A79CA"/>
    <w:rsid w:val="3CA1529C"/>
    <w:rsid w:val="3CE33B06"/>
    <w:rsid w:val="3D0A4BEF"/>
    <w:rsid w:val="3D0C0967"/>
    <w:rsid w:val="3D324D6D"/>
    <w:rsid w:val="3D9B1CEB"/>
    <w:rsid w:val="3DBD4357"/>
    <w:rsid w:val="3DE73182"/>
    <w:rsid w:val="3E1767D7"/>
    <w:rsid w:val="3E4D7411"/>
    <w:rsid w:val="3E613623"/>
    <w:rsid w:val="3E8B7FB1"/>
    <w:rsid w:val="3EDE27D7"/>
    <w:rsid w:val="3F116709"/>
    <w:rsid w:val="3F1A1142"/>
    <w:rsid w:val="3F49390A"/>
    <w:rsid w:val="3FAE21A9"/>
    <w:rsid w:val="3FCE45FA"/>
    <w:rsid w:val="3FD55988"/>
    <w:rsid w:val="401A339B"/>
    <w:rsid w:val="40580367"/>
    <w:rsid w:val="412D70FE"/>
    <w:rsid w:val="43317379"/>
    <w:rsid w:val="43364990"/>
    <w:rsid w:val="43904469"/>
    <w:rsid w:val="44F158B2"/>
    <w:rsid w:val="44FE14DD"/>
    <w:rsid w:val="45BE6EBE"/>
    <w:rsid w:val="46177859"/>
    <w:rsid w:val="46256F3D"/>
    <w:rsid w:val="462C02CC"/>
    <w:rsid w:val="46380A1F"/>
    <w:rsid w:val="469E47C8"/>
    <w:rsid w:val="46BF2D13"/>
    <w:rsid w:val="46F012F9"/>
    <w:rsid w:val="479E6FA7"/>
    <w:rsid w:val="48004720"/>
    <w:rsid w:val="481E5690"/>
    <w:rsid w:val="486F44A0"/>
    <w:rsid w:val="487274BC"/>
    <w:rsid w:val="48ED5709"/>
    <w:rsid w:val="49DD77FC"/>
    <w:rsid w:val="4AEC002A"/>
    <w:rsid w:val="4B427C4A"/>
    <w:rsid w:val="4BF03B4A"/>
    <w:rsid w:val="4C650094"/>
    <w:rsid w:val="4CB608EF"/>
    <w:rsid w:val="4CC50B32"/>
    <w:rsid w:val="4CCA439B"/>
    <w:rsid w:val="4CE76CFB"/>
    <w:rsid w:val="4D371A30"/>
    <w:rsid w:val="4D4B7289"/>
    <w:rsid w:val="4DB43081"/>
    <w:rsid w:val="4E157897"/>
    <w:rsid w:val="4E21448E"/>
    <w:rsid w:val="4E2A50F1"/>
    <w:rsid w:val="4E944C60"/>
    <w:rsid w:val="4ED908C5"/>
    <w:rsid w:val="4EEF1E97"/>
    <w:rsid w:val="4FEE03A0"/>
    <w:rsid w:val="4FFA6D45"/>
    <w:rsid w:val="509B0528"/>
    <w:rsid w:val="51346287"/>
    <w:rsid w:val="51586419"/>
    <w:rsid w:val="51597D5B"/>
    <w:rsid w:val="519A07DF"/>
    <w:rsid w:val="51AC22C1"/>
    <w:rsid w:val="51B00003"/>
    <w:rsid w:val="529F5982"/>
    <w:rsid w:val="52D03D8D"/>
    <w:rsid w:val="533E519B"/>
    <w:rsid w:val="536C65B8"/>
    <w:rsid w:val="538F3C48"/>
    <w:rsid w:val="539B439B"/>
    <w:rsid w:val="53BA0CC5"/>
    <w:rsid w:val="549118BD"/>
    <w:rsid w:val="550B72FE"/>
    <w:rsid w:val="55480552"/>
    <w:rsid w:val="55BA5EFD"/>
    <w:rsid w:val="56084B94"/>
    <w:rsid w:val="560C77D2"/>
    <w:rsid w:val="56262642"/>
    <w:rsid w:val="566C201F"/>
    <w:rsid w:val="575E405D"/>
    <w:rsid w:val="5778511F"/>
    <w:rsid w:val="57AA72A2"/>
    <w:rsid w:val="57C61656"/>
    <w:rsid w:val="57CC7219"/>
    <w:rsid w:val="57E44562"/>
    <w:rsid w:val="57E502DB"/>
    <w:rsid w:val="58A261CC"/>
    <w:rsid w:val="58AB1524"/>
    <w:rsid w:val="59723DF0"/>
    <w:rsid w:val="5AAB75B9"/>
    <w:rsid w:val="5AE20B01"/>
    <w:rsid w:val="5AE91E90"/>
    <w:rsid w:val="5AF0321E"/>
    <w:rsid w:val="5B1F3B03"/>
    <w:rsid w:val="5B4041A6"/>
    <w:rsid w:val="5BAA04FB"/>
    <w:rsid w:val="5BAC183B"/>
    <w:rsid w:val="5BB406F0"/>
    <w:rsid w:val="5BED775E"/>
    <w:rsid w:val="5BEF797A"/>
    <w:rsid w:val="5D753EAF"/>
    <w:rsid w:val="5D821A39"/>
    <w:rsid w:val="5DFE3EA4"/>
    <w:rsid w:val="5E5B30A5"/>
    <w:rsid w:val="5EE27405"/>
    <w:rsid w:val="5F200DE7"/>
    <w:rsid w:val="5FB4107F"/>
    <w:rsid w:val="5FCB425A"/>
    <w:rsid w:val="60235E44"/>
    <w:rsid w:val="60732927"/>
    <w:rsid w:val="608A36C4"/>
    <w:rsid w:val="60A056E7"/>
    <w:rsid w:val="60CE4002"/>
    <w:rsid w:val="60F872D1"/>
    <w:rsid w:val="612260FC"/>
    <w:rsid w:val="61646714"/>
    <w:rsid w:val="61A3723C"/>
    <w:rsid w:val="625422E5"/>
    <w:rsid w:val="62AA0157"/>
    <w:rsid w:val="62B80AC5"/>
    <w:rsid w:val="630C319F"/>
    <w:rsid w:val="63275C4B"/>
    <w:rsid w:val="63352116"/>
    <w:rsid w:val="63443BFB"/>
    <w:rsid w:val="63BC45E5"/>
    <w:rsid w:val="63E91153"/>
    <w:rsid w:val="64874BF3"/>
    <w:rsid w:val="65000502"/>
    <w:rsid w:val="654900FB"/>
    <w:rsid w:val="65F52031"/>
    <w:rsid w:val="66884C53"/>
    <w:rsid w:val="66A15D14"/>
    <w:rsid w:val="675C0EF6"/>
    <w:rsid w:val="67B35CFF"/>
    <w:rsid w:val="67E91721"/>
    <w:rsid w:val="682015C7"/>
    <w:rsid w:val="68751207"/>
    <w:rsid w:val="68D1407C"/>
    <w:rsid w:val="69456E2B"/>
    <w:rsid w:val="69B55D5F"/>
    <w:rsid w:val="6A0960AB"/>
    <w:rsid w:val="6A1D497B"/>
    <w:rsid w:val="6A276531"/>
    <w:rsid w:val="6A3D5D54"/>
    <w:rsid w:val="6A6432E1"/>
    <w:rsid w:val="6A7C7D40"/>
    <w:rsid w:val="6A7E25F5"/>
    <w:rsid w:val="6AA87672"/>
    <w:rsid w:val="6AAD2EDA"/>
    <w:rsid w:val="6AD93CCF"/>
    <w:rsid w:val="6AFE1987"/>
    <w:rsid w:val="6B113469"/>
    <w:rsid w:val="6B4A697B"/>
    <w:rsid w:val="6B8E4AB9"/>
    <w:rsid w:val="6B945E48"/>
    <w:rsid w:val="6C7D68DC"/>
    <w:rsid w:val="6C88775B"/>
    <w:rsid w:val="6CAF5318"/>
    <w:rsid w:val="6CB542C8"/>
    <w:rsid w:val="6CD40BF2"/>
    <w:rsid w:val="6CDC21D1"/>
    <w:rsid w:val="6D0429DB"/>
    <w:rsid w:val="6D3C0C7A"/>
    <w:rsid w:val="6D65184A"/>
    <w:rsid w:val="6DCE5641"/>
    <w:rsid w:val="6DCF4F15"/>
    <w:rsid w:val="6DF125B8"/>
    <w:rsid w:val="6E4771A1"/>
    <w:rsid w:val="6F392F8E"/>
    <w:rsid w:val="6F4831D1"/>
    <w:rsid w:val="6F862C8D"/>
    <w:rsid w:val="6F8D6E36"/>
    <w:rsid w:val="6FAC19B2"/>
    <w:rsid w:val="706C1141"/>
    <w:rsid w:val="706C570A"/>
    <w:rsid w:val="713F0604"/>
    <w:rsid w:val="714D1082"/>
    <w:rsid w:val="716167CC"/>
    <w:rsid w:val="72244255"/>
    <w:rsid w:val="727662A7"/>
    <w:rsid w:val="72BD586F"/>
    <w:rsid w:val="72DC01FB"/>
    <w:rsid w:val="72F731E4"/>
    <w:rsid w:val="73522870"/>
    <w:rsid w:val="749649DF"/>
    <w:rsid w:val="750000AA"/>
    <w:rsid w:val="750741FE"/>
    <w:rsid w:val="75306BE1"/>
    <w:rsid w:val="75864A53"/>
    <w:rsid w:val="75F55735"/>
    <w:rsid w:val="761E2EDE"/>
    <w:rsid w:val="766C0F32"/>
    <w:rsid w:val="766F7295"/>
    <w:rsid w:val="76E00193"/>
    <w:rsid w:val="76FE3BE5"/>
    <w:rsid w:val="77446974"/>
    <w:rsid w:val="7789082B"/>
    <w:rsid w:val="77E31CE9"/>
    <w:rsid w:val="781C169F"/>
    <w:rsid w:val="783469E8"/>
    <w:rsid w:val="787D213D"/>
    <w:rsid w:val="787E7C64"/>
    <w:rsid w:val="78C86674"/>
    <w:rsid w:val="78CC4E73"/>
    <w:rsid w:val="79183C14"/>
    <w:rsid w:val="79464C25"/>
    <w:rsid w:val="79507852"/>
    <w:rsid w:val="79852283"/>
    <w:rsid w:val="79B24069"/>
    <w:rsid w:val="79C33F5D"/>
    <w:rsid w:val="7A0D418F"/>
    <w:rsid w:val="7A4D5B40"/>
    <w:rsid w:val="7AB91427"/>
    <w:rsid w:val="7B3E36DA"/>
    <w:rsid w:val="7B516D96"/>
    <w:rsid w:val="7B5478E6"/>
    <w:rsid w:val="7BFE787F"/>
    <w:rsid w:val="7C0B7A60"/>
    <w:rsid w:val="7C4D7B7E"/>
    <w:rsid w:val="7C703D67"/>
    <w:rsid w:val="7C896BD7"/>
    <w:rsid w:val="7C8F68E3"/>
    <w:rsid w:val="7CD87A18"/>
    <w:rsid w:val="7D2D071B"/>
    <w:rsid w:val="7D425704"/>
    <w:rsid w:val="7D4E22FA"/>
    <w:rsid w:val="7E7187ED"/>
    <w:rsid w:val="7EF24F07"/>
    <w:rsid w:val="7F853FCE"/>
    <w:rsid w:val="7FAC3308"/>
    <w:rsid w:val="7FB76288"/>
    <w:rsid w:val="7FDE26C3"/>
    <w:rsid w:val="7FDE2B69"/>
    <w:rsid w:val="7FEC45F2"/>
    <w:rsid w:val="7FFC75B6"/>
    <w:rsid w:val="7FFD1216"/>
    <w:rsid w:val="7FFD1DB6"/>
    <w:rsid w:val="AF8AA739"/>
    <w:rsid w:val="BF1B63A0"/>
    <w:rsid w:val="BFC6A911"/>
    <w:rsid w:val="DEFC1483"/>
    <w:rsid w:val="F7FE0A99"/>
    <w:rsid w:val="FCD74FA7"/>
    <w:rsid w:val="FE58618B"/>
    <w:rsid w:val="FEEB9979"/>
    <w:rsid w:val="FF7CD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2"/>
    <w:qFormat/>
    <w:uiPriority w:val="0"/>
    <w:rPr>
      <w:rFonts w:cs="Times New Roman" w:asciiTheme="minorEastAsia" w:hAnsiTheme="minorEastAsia"/>
      <w:color w:val="404040" w:themeColor="text1" w:themeTint="BF"/>
      <w:sz w:val="22"/>
      <w:szCs w:val="22"/>
      <w14:textFill>
        <w14:solidFill>
          <w14:schemeClr w14:val="tx1">
            <w14:lumMod w14:val="75000"/>
            <w14:lumOff w14:val="25000"/>
          </w14:schemeClr>
        </w14:solidFill>
      </w14:textFill>
    </w:rPr>
  </w:style>
  <w:style w:type="paragraph" w:styleId="4">
    <w:name w:val="Balloon Text"/>
    <w:basedOn w:val="1"/>
    <w:link w:val="15"/>
    <w:qFormat/>
    <w:uiPriority w:val="0"/>
    <w:rPr>
      <w:sz w:val="18"/>
      <w:szCs w:val="18"/>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annotation subject"/>
    <w:basedOn w:val="3"/>
    <w:next w:val="3"/>
    <w:link w:val="14"/>
    <w:qFormat/>
    <w:uiPriority w:val="0"/>
    <w:pPr>
      <w:jc w:val="left"/>
    </w:pPr>
    <w:rPr>
      <w:rFonts w:asciiTheme="minorHAnsi" w:hAnsiTheme="minorHAnsi" w:cstheme="minorBidi"/>
      <w:b/>
      <w:bCs/>
      <w:color w:val="auto"/>
      <w:sz w:val="21"/>
      <w:szCs w:val="24"/>
    </w:rPr>
  </w:style>
  <w:style w:type="character" w:styleId="10">
    <w:name w:val="Strong"/>
    <w:basedOn w:val="9"/>
    <w:qFormat/>
    <w:uiPriority w:val="0"/>
    <w:rPr>
      <w:b/>
    </w:rPr>
  </w:style>
  <w:style w:type="character" w:styleId="11">
    <w:name w:val="annotation reference"/>
    <w:basedOn w:val="9"/>
    <w:qFormat/>
    <w:uiPriority w:val="0"/>
    <w:rPr>
      <w:sz w:val="21"/>
      <w:szCs w:val="21"/>
    </w:rPr>
  </w:style>
  <w:style w:type="character" w:customStyle="1" w:styleId="12">
    <w:name w:val="批注文字 字符"/>
    <w:link w:val="3"/>
    <w:semiHidden/>
    <w:qFormat/>
    <w:uiPriority w:val="99"/>
    <w:rPr>
      <w:rFonts w:cs="Times New Roman" w:asciiTheme="minorEastAsia" w:hAnsiTheme="minorEastAsia" w:eastAsiaTheme="minorEastAsia"/>
      <w:color w:val="404040" w:themeColor="text1" w:themeTint="BF"/>
      <w:sz w:val="22"/>
      <w:szCs w:val="22"/>
      <w:u w:val="none"/>
      <w14:textFill>
        <w14:solidFill>
          <w14:schemeClr w14:val="tx1">
            <w14:lumMod w14:val="75000"/>
            <w14:lumOff w14:val="25000"/>
          </w14:schemeClr>
        </w14:solidFill>
      </w14:textFill>
    </w:rPr>
  </w:style>
  <w:style w:type="character" w:customStyle="1" w:styleId="13">
    <w:name w:val="页脚 字符"/>
    <w:basedOn w:val="9"/>
    <w:link w:val="5"/>
    <w:qFormat/>
    <w:uiPriority w:val="0"/>
    <w:rPr>
      <w:kern w:val="2"/>
      <w:sz w:val="18"/>
      <w:szCs w:val="18"/>
    </w:rPr>
  </w:style>
  <w:style w:type="character" w:customStyle="1" w:styleId="14">
    <w:name w:val="批注主题 字符"/>
    <w:basedOn w:val="12"/>
    <w:link w:val="7"/>
    <w:qFormat/>
    <w:uiPriority w:val="0"/>
    <w:rPr>
      <w:rFonts w:cs="Times New Roman" w:asciiTheme="minorEastAsia" w:hAnsiTheme="minorEastAsia" w:eastAsiaTheme="minorEastAsia"/>
      <w:b/>
      <w:bCs/>
      <w:color w:val="404040" w:themeColor="text1" w:themeTint="BF"/>
      <w:kern w:val="2"/>
      <w:sz w:val="21"/>
      <w:szCs w:val="24"/>
      <w:u w:val="none"/>
      <w14:textFill>
        <w14:solidFill>
          <w14:schemeClr w14:val="tx1">
            <w14:lumMod w14:val="75000"/>
            <w14:lumOff w14:val="25000"/>
          </w14:schemeClr>
        </w14:solidFill>
      </w14:textFill>
    </w:rPr>
  </w:style>
  <w:style w:type="character" w:customStyle="1" w:styleId="15">
    <w:name w:val="批注框文本 字符"/>
    <w:basedOn w:val="9"/>
    <w:link w:val="4"/>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17</Pages>
  <Words>3955</Words>
  <Characters>4025</Characters>
  <Lines>63</Lines>
  <Paragraphs>17</Paragraphs>
  <TotalTime>3</TotalTime>
  <ScaleCrop>false</ScaleCrop>
  <LinksUpToDate>false</LinksUpToDate>
  <CharactersWithSpaces>4036</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2026-07-05T10:24:00Z</dcterms:created>
  <dc:creator>王朝壹</dc:creator>
  <cp:lastModifiedBy>王朝壹</cp:lastModifiedBy>
  <dcterms:modified xsi:type="dcterms:W3CDTF">2026-07-27T12:39:48Z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F225C622E0294B94B8875AB424100643_13</vt:lpwstr>
  </property>
  <property fmtid="{D5CDD505-2E9C-101B-9397-08002B2CF9AE}" pid="4" name="KSOTemplateDocerSaveRecord">
    <vt:lpwstr>eyJoZGlkIjoiZjFmZWIzNDg2MmIzZjExOTIzMmViNTBmYTMwYTk0ZWYiLCJ1c2VySWQiOiI0NDI1MDI4NDMifQ==</vt:lpwstr>
  </property>
</Properties>
</file>