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D23F3">
      <w:pPr>
        <w:spacing w:line="520" w:lineRule="exact"/>
        <w:ind w:right="-67" w:rightChars="-32"/>
        <w:jc w:val="center"/>
        <w:rPr>
          <w:rFonts w:hint="eastAsia" w:eastAsia="方正小标宋简体"/>
          <w:sz w:val="44"/>
          <w:szCs w:val="44"/>
          <w:lang w:eastAsia="zh-CN"/>
        </w:rPr>
      </w:pPr>
      <w:r>
        <w:rPr>
          <w:rFonts w:hint="eastAsia" w:eastAsia="方正小标宋简体"/>
          <w:sz w:val="44"/>
          <w:szCs w:val="44"/>
        </w:rPr>
        <w:t>流式细胞仪注册审查指导原则</w:t>
      </w:r>
      <w:r>
        <w:rPr>
          <w:rFonts w:hint="eastAsia" w:eastAsia="方正小标宋简体"/>
          <w:sz w:val="44"/>
          <w:szCs w:val="44"/>
          <w:lang w:eastAsia="zh-CN"/>
        </w:rPr>
        <w:t>（征求意见稿）</w:t>
      </w:r>
    </w:p>
    <w:p w14:paraId="5460108A">
      <w:pPr>
        <w:spacing w:line="520" w:lineRule="exact"/>
        <w:jc w:val="center"/>
        <w:outlineLvl w:val="0"/>
        <w:rPr>
          <w:rFonts w:hint="eastAsia" w:ascii="宋体" w:hAnsi="宋体" w:cs="宋体"/>
          <w:sz w:val="44"/>
          <w:szCs w:val="44"/>
        </w:rPr>
      </w:pPr>
    </w:p>
    <w:p w14:paraId="3D59AF40">
      <w:pPr>
        <w:spacing w:line="520" w:lineRule="exact"/>
        <w:ind w:firstLine="640" w:firstLineChars="200"/>
        <w:rPr>
          <w:rFonts w:eastAsia="仿宋_GB2312"/>
          <w:sz w:val="32"/>
          <w:szCs w:val="32"/>
        </w:rPr>
      </w:pPr>
      <w:r>
        <w:rPr>
          <w:rFonts w:hint="eastAsia" w:eastAsia="仿宋_GB2312"/>
          <w:sz w:val="32"/>
          <w:szCs w:val="32"/>
        </w:rPr>
        <w:t>本指导原则旨在指导注册申请人（以下简称申请人）对流式细胞仪注册申报资料的准备及撰写，同时也为技术审评部门审评注册申报资料提供参考。</w:t>
      </w:r>
    </w:p>
    <w:p w14:paraId="73F12FCF">
      <w:pPr>
        <w:spacing w:line="520" w:lineRule="exact"/>
        <w:ind w:firstLine="640" w:firstLineChars="200"/>
        <w:rPr>
          <w:rFonts w:eastAsia="仿宋_GB2312"/>
          <w:sz w:val="32"/>
          <w:szCs w:val="32"/>
        </w:rPr>
      </w:pPr>
      <w:r>
        <w:rPr>
          <w:rFonts w:hint="eastAsia" w:eastAsia="仿宋_GB2312"/>
          <w:sz w:val="32"/>
          <w:szCs w:val="32"/>
        </w:rPr>
        <w:t>本指导原则是对流式细胞仪的一般要求，申请人应依据产品的具体特性确定其中内容是否适用。若不适用，需具体阐述理由及相应的科学依据，并依据产品的具体特性对注册申报资料的内容进行充实和细化。</w:t>
      </w:r>
    </w:p>
    <w:p w14:paraId="116BC2AA">
      <w:pPr>
        <w:spacing w:line="520" w:lineRule="exact"/>
        <w:ind w:firstLine="640" w:firstLineChars="200"/>
        <w:rPr>
          <w:rFonts w:eastAsia="仿宋_GB2312"/>
          <w:sz w:val="32"/>
          <w:szCs w:val="32"/>
        </w:rPr>
      </w:pPr>
      <w:r>
        <w:rPr>
          <w:rFonts w:hint="eastAsia" w:eastAsia="仿宋_GB2312"/>
          <w:sz w:val="32"/>
          <w:szCs w:val="32"/>
        </w:rPr>
        <w:t>本指导原则是供申请人和技术审评人员使用的指导文件，不涉及注册审批等行政事项，亦不作为法规强制执行，如有能够满足法规要求的其他方法，也可以采用，但应提供详细的研究资料和验证资料。应在遵循相关法规的前提下使用本指导原则。</w:t>
      </w:r>
    </w:p>
    <w:p w14:paraId="0FF1BFCD">
      <w:pPr>
        <w:spacing w:line="520" w:lineRule="exact"/>
        <w:ind w:firstLine="640" w:firstLineChars="200"/>
        <w:rPr>
          <w:rFonts w:eastAsia="仿宋_GB2312"/>
          <w:sz w:val="32"/>
          <w:szCs w:val="32"/>
        </w:rPr>
      </w:pPr>
      <w:r>
        <w:rPr>
          <w:rFonts w:hint="eastAsia" w:eastAsia="仿宋_GB2312"/>
          <w:sz w:val="32"/>
          <w:szCs w:val="32"/>
        </w:rPr>
        <w:t>本指导原则是在现行法规、标准体系及当前认知水平下制定的，随着法规、标准体系的不断完善和科学技术的不断发展，本指导原则相关内容也将适时进行调整。</w:t>
      </w:r>
    </w:p>
    <w:p w14:paraId="4F31704C">
      <w:pPr>
        <w:spacing w:line="520" w:lineRule="exact"/>
        <w:ind w:firstLine="640" w:firstLineChars="200"/>
        <w:outlineLvl w:val="1"/>
        <w:rPr>
          <w:rFonts w:eastAsia="黑体"/>
          <w:sz w:val="32"/>
          <w:szCs w:val="32"/>
        </w:rPr>
      </w:pPr>
      <w:bookmarkStart w:id="0" w:name="_Hlk69042049"/>
      <w:r>
        <w:rPr>
          <w:rFonts w:hint="eastAsia" w:eastAsia="黑体"/>
          <w:sz w:val="32"/>
          <w:szCs w:val="32"/>
        </w:rPr>
        <w:t>一、适用范围</w:t>
      </w:r>
    </w:p>
    <w:bookmarkEnd w:id="0"/>
    <w:p w14:paraId="23BDE308">
      <w:pPr>
        <w:spacing w:line="520" w:lineRule="exact"/>
        <w:ind w:firstLine="640" w:firstLineChars="200"/>
        <w:rPr>
          <w:rStyle w:val="19"/>
          <w:rFonts w:hint="eastAsia" w:eastAsia="仿宋_GB2312"/>
          <w:sz w:val="32"/>
          <w:szCs w:val="32"/>
          <w:lang w:eastAsia="zh-CN"/>
        </w:rPr>
      </w:pPr>
      <w:r>
        <w:rPr>
          <w:rFonts w:hint="eastAsia" w:eastAsia="仿宋_GB2312"/>
          <w:sz w:val="32"/>
          <w:szCs w:val="32"/>
        </w:rPr>
        <w:t>本指导原则适用于临床使用的对单个细胞或其他颗粒表面以及内部的生物化学及生物物理特性成分进行分析的流式细胞仪</w:t>
      </w:r>
      <w:r>
        <w:rPr>
          <w:rStyle w:val="19"/>
          <w:rFonts w:hint="eastAsia" w:eastAsia="仿宋_GB2312"/>
          <w:sz w:val="32"/>
          <w:szCs w:val="32"/>
          <w:lang w:eastAsia="zh-CN"/>
        </w:rPr>
        <w:t>。</w:t>
      </w:r>
    </w:p>
    <w:p w14:paraId="77C7E7E6">
      <w:pPr>
        <w:spacing w:line="520" w:lineRule="exact"/>
        <w:ind w:firstLine="640" w:firstLineChars="200"/>
        <w:rPr>
          <w:rFonts w:eastAsia="仿宋_GB2312"/>
          <w:sz w:val="32"/>
          <w:szCs w:val="32"/>
        </w:rPr>
      </w:pPr>
      <w:r>
        <w:rPr>
          <w:rFonts w:hint="eastAsia" w:eastAsia="仿宋_GB2312"/>
          <w:sz w:val="32"/>
          <w:szCs w:val="32"/>
          <w:lang w:val="en-US" w:eastAsia="zh-CN"/>
        </w:rPr>
        <w:t>采用流式细胞法的血</w:t>
      </w:r>
      <w:bookmarkStart w:id="3" w:name="_GoBack"/>
      <w:bookmarkEnd w:id="3"/>
      <w:r>
        <w:rPr>
          <w:rFonts w:hint="eastAsia" w:eastAsia="仿宋_GB2312"/>
          <w:sz w:val="32"/>
          <w:szCs w:val="32"/>
          <w:lang w:val="en-US" w:eastAsia="zh-CN"/>
        </w:rPr>
        <w:t>细胞分析仪、尿液有形成分分析仪仪、流式点阵仪、分选型流式细胞仪以及纳米流式细胞仪、质谱流式细胞仪、影像流式细胞仪不适用本指导原则</w:t>
      </w:r>
      <w:r>
        <w:rPr>
          <w:rFonts w:hint="eastAsia" w:eastAsia="仿宋_GB2312"/>
          <w:sz w:val="32"/>
          <w:szCs w:val="32"/>
        </w:rPr>
        <w:t>。</w:t>
      </w:r>
    </w:p>
    <w:p w14:paraId="10884A13">
      <w:pPr>
        <w:spacing w:line="520" w:lineRule="exact"/>
        <w:ind w:firstLine="640" w:firstLineChars="200"/>
        <w:rPr>
          <w:rFonts w:hint="eastAsia" w:ascii="黑体" w:hAnsi="黑体" w:eastAsia="黑体" w:cs="宋体"/>
          <w:kern w:val="0"/>
          <w:sz w:val="32"/>
          <w:szCs w:val="32"/>
        </w:rPr>
      </w:pPr>
      <w:r>
        <w:rPr>
          <w:rFonts w:hint="eastAsia" w:ascii="黑体" w:hAnsi="黑体" w:eastAsia="黑体" w:cs="宋体"/>
          <w:kern w:val="0"/>
          <w:sz w:val="32"/>
          <w:szCs w:val="32"/>
        </w:rPr>
        <w:t>二、注册审查要点</w:t>
      </w:r>
    </w:p>
    <w:p w14:paraId="2CC45FF1">
      <w:pPr>
        <w:spacing w:line="520" w:lineRule="exact"/>
        <w:ind w:firstLine="640" w:firstLineChars="200"/>
        <w:rPr>
          <w:rFonts w:eastAsia="楷体_GB2312"/>
          <w:sz w:val="32"/>
          <w:szCs w:val="32"/>
        </w:rPr>
      </w:pPr>
      <w:r>
        <w:rPr>
          <w:rFonts w:hint="eastAsia" w:eastAsia="楷体_GB2312"/>
          <w:sz w:val="32"/>
          <w:szCs w:val="32"/>
        </w:rPr>
        <w:t>（一）监管信息</w:t>
      </w:r>
    </w:p>
    <w:p w14:paraId="6782B969">
      <w:pPr>
        <w:spacing w:line="520" w:lineRule="exact"/>
        <w:ind w:firstLine="640" w:firstLineChars="200"/>
        <w:rPr>
          <w:rFonts w:eastAsia="仿宋_GB2312"/>
          <w:sz w:val="32"/>
          <w:szCs w:val="32"/>
        </w:rPr>
      </w:pPr>
      <w:r>
        <w:rPr>
          <w:rFonts w:hint="eastAsia" w:eastAsia="仿宋_GB2312"/>
          <w:sz w:val="32"/>
          <w:szCs w:val="32"/>
        </w:rPr>
        <w:t>1.产品名称</w:t>
      </w:r>
    </w:p>
    <w:p w14:paraId="633896BC">
      <w:pPr>
        <w:spacing w:line="520" w:lineRule="exact"/>
        <w:ind w:firstLine="640" w:firstLineChars="200"/>
        <w:rPr>
          <w:rFonts w:eastAsia="仿宋_GB2312"/>
          <w:sz w:val="32"/>
          <w:szCs w:val="32"/>
        </w:rPr>
      </w:pPr>
      <w:r>
        <w:rPr>
          <w:rFonts w:hint="eastAsia" w:eastAsia="仿宋_GB2312"/>
          <w:sz w:val="32"/>
          <w:szCs w:val="32"/>
        </w:rPr>
        <w:t>产品命名应符合《医疗器械通用名称命名规则》、</w:t>
      </w:r>
      <w:r>
        <w:rPr>
          <w:rFonts w:eastAsia="仿宋_GB2312"/>
          <w:sz w:val="32"/>
          <w:szCs w:val="32"/>
        </w:rPr>
        <w:t>《临床检验器械通用名称命名指导原则》</w:t>
      </w:r>
      <w:r>
        <w:rPr>
          <w:rFonts w:hint="eastAsia" w:eastAsia="仿宋_GB2312"/>
          <w:sz w:val="32"/>
          <w:szCs w:val="32"/>
        </w:rPr>
        <w:t>、行业标准中通用名称的要求。产品名称通常由一个核心词和不超过三个的特征词组成，并以体现产品技术结构特征、功能属性以及自动化程度为基本准则，例如：流式细胞仪等。</w:t>
      </w:r>
    </w:p>
    <w:p w14:paraId="52764D18">
      <w:pPr>
        <w:spacing w:line="520" w:lineRule="exact"/>
        <w:ind w:firstLine="640" w:firstLineChars="200"/>
        <w:rPr>
          <w:rFonts w:eastAsia="仿宋_GB2312"/>
          <w:sz w:val="32"/>
          <w:szCs w:val="32"/>
        </w:rPr>
      </w:pPr>
      <w:r>
        <w:rPr>
          <w:rFonts w:hint="eastAsia" w:eastAsia="仿宋_GB2312"/>
          <w:sz w:val="32"/>
          <w:szCs w:val="32"/>
        </w:rPr>
        <w:t>2.分类编码</w:t>
      </w:r>
    </w:p>
    <w:p w14:paraId="27980AC8">
      <w:pPr>
        <w:spacing w:line="520" w:lineRule="exact"/>
        <w:ind w:firstLine="640" w:firstLineChars="200"/>
        <w:rPr>
          <w:rFonts w:eastAsia="仿宋_GB2312"/>
          <w:sz w:val="32"/>
          <w:szCs w:val="32"/>
        </w:rPr>
      </w:pPr>
      <w:r>
        <w:rPr>
          <w:rFonts w:hint="eastAsia" w:eastAsia="仿宋_GB2312"/>
          <w:sz w:val="32"/>
          <w:szCs w:val="32"/>
        </w:rPr>
        <w:t>按照《医疗器械分类目录》，产品的管理类别为</w:t>
      </w:r>
      <w:r>
        <w:rPr>
          <w:rFonts w:eastAsia="仿宋_GB2312"/>
          <w:sz w:val="32"/>
          <w:szCs w:val="32"/>
        </w:rPr>
        <w:t>Ⅱ</w:t>
      </w:r>
      <w:r>
        <w:rPr>
          <w:rFonts w:hint="eastAsia" w:eastAsia="仿宋_GB2312"/>
          <w:sz w:val="32"/>
          <w:szCs w:val="32"/>
        </w:rPr>
        <w:t>类，产品分类编码为22-01-08。</w:t>
      </w:r>
    </w:p>
    <w:p w14:paraId="14017A5B">
      <w:pPr>
        <w:spacing w:line="520" w:lineRule="exact"/>
        <w:ind w:firstLine="640" w:firstLineChars="200"/>
        <w:rPr>
          <w:rFonts w:eastAsia="仿宋_GB2312"/>
          <w:sz w:val="32"/>
          <w:szCs w:val="32"/>
        </w:rPr>
      </w:pPr>
      <w:r>
        <w:rPr>
          <w:rFonts w:hint="eastAsia" w:eastAsia="仿宋_GB2312"/>
          <w:sz w:val="32"/>
          <w:szCs w:val="32"/>
        </w:rPr>
        <w:t>3.注册单元划分的原则和实例</w:t>
      </w:r>
    </w:p>
    <w:p w14:paraId="547AD363">
      <w:pPr>
        <w:spacing w:line="520" w:lineRule="exact"/>
        <w:ind w:firstLine="640" w:firstLineChars="200"/>
        <w:rPr>
          <w:rFonts w:eastAsia="仿宋_GB2312"/>
          <w:sz w:val="32"/>
          <w:szCs w:val="32"/>
        </w:rPr>
      </w:pPr>
      <w:r>
        <w:rPr>
          <w:rFonts w:hint="eastAsia" w:eastAsia="仿宋_GB2312"/>
          <w:sz w:val="32"/>
          <w:szCs w:val="32"/>
        </w:rPr>
        <w:t>注册单元划分原则上以产品的技术原理、结构组成、性能指标和适用范围为划分依据。</w:t>
      </w:r>
    </w:p>
    <w:p w14:paraId="260EA066">
      <w:pPr>
        <w:spacing w:line="520" w:lineRule="exact"/>
        <w:ind w:firstLine="640" w:firstLineChars="200"/>
        <w:rPr>
          <w:rFonts w:eastAsia="仿宋_GB2312"/>
          <w:sz w:val="32"/>
          <w:szCs w:val="32"/>
        </w:rPr>
      </w:pPr>
      <w:r>
        <w:rPr>
          <w:rFonts w:hint="eastAsia" w:eastAsia="仿宋_GB2312"/>
          <w:sz w:val="32"/>
          <w:szCs w:val="32"/>
        </w:rPr>
        <w:t>分析型流式细胞仪与分选型流式细胞仪建议划分为不同注册单元。全光谱式流式细胞仪与常规分析型流式细胞仪相比，反应原理与工作原理均差异较大，建议划分为不同注册单元。</w:t>
      </w:r>
    </w:p>
    <w:p w14:paraId="3224407B">
      <w:pPr>
        <w:pStyle w:val="21"/>
      </w:pPr>
    </w:p>
    <w:p w14:paraId="41E6AC8D">
      <w:pPr>
        <w:spacing w:line="520" w:lineRule="exact"/>
        <w:ind w:firstLine="640" w:firstLineChars="200"/>
        <w:rPr>
          <w:rFonts w:eastAsia="楷体_GB2312"/>
          <w:sz w:val="32"/>
          <w:szCs w:val="32"/>
        </w:rPr>
      </w:pPr>
      <w:r>
        <w:rPr>
          <w:rFonts w:hint="eastAsia" w:eastAsia="楷体_GB2312"/>
          <w:sz w:val="32"/>
          <w:szCs w:val="32"/>
        </w:rPr>
        <w:t>（二）综述资料</w:t>
      </w:r>
    </w:p>
    <w:p w14:paraId="2BF6C2CC">
      <w:pPr>
        <w:widowControl/>
        <w:spacing w:line="520" w:lineRule="exact"/>
        <w:ind w:right="-67" w:rightChars="-32" w:firstLine="640" w:firstLineChars="200"/>
        <w:rPr>
          <w:rFonts w:hint="eastAsia" w:eastAsia="仿宋_GB2312"/>
          <w:sz w:val="32"/>
          <w:szCs w:val="32"/>
        </w:rPr>
      </w:pPr>
      <w:r>
        <w:rPr>
          <w:rFonts w:hint="eastAsia" w:eastAsia="仿宋_GB2312"/>
          <w:sz w:val="32"/>
          <w:szCs w:val="32"/>
        </w:rPr>
        <w:t>申请人可根据拟申报产品的具体特征，详细</w:t>
      </w:r>
      <w:r>
        <w:rPr>
          <w:rFonts w:eastAsia="仿宋_GB2312"/>
          <w:sz w:val="32"/>
          <w:szCs w:val="32"/>
        </w:rPr>
        <w:t>描述</w:t>
      </w:r>
      <w:r>
        <w:rPr>
          <w:rFonts w:hint="eastAsia" w:eastAsia="仿宋_GB2312"/>
          <w:sz w:val="32"/>
          <w:szCs w:val="32"/>
        </w:rPr>
        <w:t>产品</w:t>
      </w:r>
      <w:r>
        <w:rPr>
          <w:rFonts w:eastAsia="仿宋_GB2312"/>
          <w:sz w:val="32"/>
          <w:szCs w:val="32"/>
        </w:rPr>
        <w:t>工作原理、结构组成</w:t>
      </w:r>
      <w:r>
        <w:rPr>
          <w:rFonts w:hint="eastAsia" w:eastAsia="仿宋_GB2312"/>
          <w:sz w:val="32"/>
          <w:szCs w:val="32"/>
        </w:rPr>
        <w:t>（包括软件组件以及配合使用的附件</w:t>
      </w:r>
      <w:r>
        <w:rPr>
          <w:rFonts w:eastAsia="仿宋_GB2312"/>
          <w:sz w:val="32"/>
          <w:szCs w:val="32"/>
        </w:rPr>
        <w:t>）</w:t>
      </w:r>
      <w:r>
        <w:rPr>
          <w:rFonts w:hint="eastAsia" w:eastAsia="仿宋_GB2312"/>
          <w:sz w:val="32"/>
          <w:szCs w:val="32"/>
        </w:rPr>
        <w:t>、</w:t>
      </w:r>
      <w:r>
        <w:rPr>
          <w:rFonts w:eastAsia="仿宋_GB2312"/>
          <w:sz w:val="32"/>
          <w:szCs w:val="32"/>
        </w:rPr>
        <w:t>各模块的具体组成</w:t>
      </w:r>
      <w:r>
        <w:rPr>
          <w:rFonts w:hint="eastAsia" w:eastAsia="仿宋_GB2312"/>
          <w:sz w:val="32"/>
          <w:szCs w:val="32"/>
        </w:rPr>
        <w:t>、</w:t>
      </w:r>
      <w:r>
        <w:rPr>
          <w:rFonts w:eastAsia="仿宋_GB2312"/>
          <w:sz w:val="32"/>
          <w:szCs w:val="32"/>
        </w:rPr>
        <w:t>产品的主要功能及各组成</w:t>
      </w:r>
      <w:r>
        <w:rPr>
          <w:rFonts w:hint="eastAsia" w:eastAsia="仿宋_GB2312"/>
          <w:sz w:val="32"/>
          <w:szCs w:val="32"/>
        </w:rPr>
        <w:t>模块</w:t>
      </w:r>
      <w:r>
        <w:rPr>
          <w:rFonts w:eastAsia="仿宋_GB2312"/>
          <w:sz w:val="32"/>
          <w:szCs w:val="32"/>
        </w:rPr>
        <w:t>的功能</w:t>
      </w:r>
      <w:r>
        <w:rPr>
          <w:rFonts w:hint="eastAsia" w:eastAsia="仿宋_GB2312"/>
          <w:sz w:val="32"/>
          <w:szCs w:val="32"/>
        </w:rPr>
        <w:t>、产品图示（如结构示意图等）、</w:t>
      </w:r>
      <w:r>
        <w:rPr>
          <w:rFonts w:eastAsia="仿宋_GB2312"/>
          <w:sz w:val="32"/>
          <w:szCs w:val="32"/>
        </w:rPr>
        <w:t>使用方法以及区别于其他同类产品的特征等内容</w:t>
      </w:r>
      <w:r>
        <w:rPr>
          <w:rFonts w:hint="eastAsia" w:eastAsia="仿宋_GB2312"/>
          <w:sz w:val="32"/>
          <w:szCs w:val="32"/>
        </w:rPr>
        <w:t>。</w:t>
      </w:r>
    </w:p>
    <w:p w14:paraId="3AA7ABA6">
      <w:pPr>
        <w:spacing w:line="520" w:lineRule="exact"/>
        <w:ind w:firstLine="640" w:firstLineChars="200"/>
      </w:pPr>
      <w:r>
        <w:rPr>
          <w:rFonts w:hint="eastAsia" w:eastAsia="仿宋_GB2312"/>
          <w:sz w:val="32"/>
          <w:szCs w:val="32"/>
        </w:rPr>
        <w:t>1.结构及组成</w:t>
      </w:r>
    </w:p>
    <w:p w14:paraId="6AF4762B">
      <w:pPr>
        <w:widowControl/>
        <w:spacing w:line="520" w:lineRule="exact"/>
        <w:ind w:right="-67" w:rightChars="-32" w:firstLine="640" w:firstLineChars="200"/>
        <w:rPr>
          <w:rFonts w:eastAsia="仿宋_GB2312"/>
          <w:sz w:val="32"/>
          <w:szCs w:val="32"/>
        </w:rPr>
      </w:pPr>
      <w:r>
        <w:rPr>
          <w:rFonts w:hint="eastAsia" w:eastAsia="仿宋_GB2312"/>
          <w:sz w:val="32"/>
          <w:szCs w:val="32"/>
        </w:rPr>
        <w:t>产品通常由液流系统、光学系统、光电检测系统、</w:t>
      </w:r>
      <w:r>
        <w:rPr>
          <w:rFonts w:hint="eastAsia" w:eastAsia="仿宋_GB2312"/>
          <w:sz w:val="32"/>
          <w:szCs w:val="32"/>
          <w:lang w:val="en-US" w:eastAsia="zh-CN"/>
        </w:rPr>
        <w:t>计算机（如有）、</w:t>
      </w:r>
      <w:r>
        <w:rPr>
          <w:rFonts w:hint="eastAsia" w:eastAsia="仿宋_GB2312"/>
          <w:sz w:val="32"/>
          <w:szCs w:val="32"/>
        </w:rPr>
        <w:t>分析</w:t>
      </w:r>
      <w:r>
        <w:rPr>
          <w:rFonts w:hint="eastAsia" w:eastAsia="仿宋_GB2312"/>
          <w:sz w:val="32"/>
          <w:szCs w:val="32"/>
          <w:lang w:val="en-US" w:eastAsia="zh-CN"/>
        </w:rPr>
        <w:t>软件</w:t>
      </w:r>
      <w:r>
        <w:rPr>
          <w:rFonts w:hint="eastAsia" w:eastAsia="仿宋_GB2312"/>
          <w:sz w:val="32"/>
          <w:szCs w:val="32"/>
        </w:rPr>
        <w:t>组成。分别描述如下：</w:t>
      </w:r>
      <w:bookmarkStart w:id="1" w:name="_Hlk69140517"/>
    </w:p>
    <w:p w14:paraId="0543C1C8">
      <w:pPr>
        <w:spacing w:line="520" w:lineRule="exact"/>
        <w:ind w:firstLine="640" w:firstLineChars="200"/>
        <w:rPr>
          <w:rFonts w:eastAsia="仿宋_GB2312"/>
          <w:color w:val="0000FF"/>
          <w:sz w:val="32"/>
          <w:szCs w:val="32"/>
        </w:rPr>
      </w:pPr>
      <w:r>
        <w:rPr>
          <w:rFonts w:hint="eastAsia" w:eastAsia="仿宋_GB2312"/>
          <w:sz w:val="32"/>
          <w:szCs w:val="32"/>
        </w:rPr>
        <w:t>1.1 产品结构组成及主要功能</w:t>
      </w:r>
    </w:p>
    <w:p w14:paraId="72FF61BC">
      <w:pPr>
        <w:widowControl/>
        <w:spacing w:line="520" w:lineRule="exact"/>
        <w:ind w:right="-67" w:rightChars="-32" w:firstLine="640" w:firstLineChars="200"/>
        <w:rPr>
          <w:rFonts w:eastAsia="仿宋_GB2312"/>
          <w:sz w:val="32"/>
          <w:szCs w:val="32"/>
        </w:rPr>
      </w:pPr>
      <w:r>
        <w:rPr>
          <w:rFonts w:hint="eastAsia" w:eastAsia="仿宋_GB2312"/>
          <w:sz w:val="32"/>
          <w:szCs w:val="32"/>
        </w:rPr>
        <w:t>液流系统：由流动室、液路、阀门等组成。液流系统在一定的压力下形成鞘流，使样本中的细胞（或颗粒）逐个稳定地从流动室中间通过，让每个细胞（或颗粒）单独接受光源的照射；协同系统完成不同样本测量之间的清洗功能；实现鞘流稳定和系统自动化测量的其他功能，如稳压、流量调节、废液回收等功能。</w:t>
      </w:r>
    </w:p>
    <w:p w14:paraId="7660B35D">
      <w:pPr>
        <w:keepNext w:val="0"/>
        <w:keepLines w:val="0"/>
        <w:widowControl/>
        <w:suppressLineNumbers w:val="0"/>
        <w:jc w:val="left"/>
        <w:rPr>
          <w:rFonts w:hint="eastAsia" w:eastAsia="仿宋_GB2312"/>
          <w:sz w:val="32"/>
          <w:szCs w:val="32"/>
        </w:rPr>
      </w:pPr>
      <w:r>
        <w:rPr>
          <w:rFonts w:hint="eastAsia" w:eastAsia="仿宋_GB2312"/>
          <w:sz w:val="32"/>
          <w:szCs w:val="32"/>
        </w:rPr>
        <w:t>光学系统：由激光器、光束整形与聚焦组件、滤光片</w:t>
      </w:r>
      <w:r>
        <w:rPr>
          <w:rFonts w:hint="eastAsia" w:eastAsia="仿宋_GB2312"/>
          <w:sz w:val="32"/>
          <w:szCs w:val="32"/>
          <w:lang w:eastAsia="zh-CN"/>
        </w:rPr>
        <w:t>或棱镜、光栅</w:t>
      </w:r>
      <w:r>
        <w:rPr>
          <w:rFonts w:hint="eastAsia" w:eastAsia="仿宋_GB2312"/>
          <w:sz w:val="32"/>
          <w:szCs w:val="32"/>
        </w:rPr>
        <w:t>等组成。激光器发射激光，光束整形与聚焦组件完成光束整形与聚焦，对经过光学检测区的细胞（或颗粒）进行照射和激发；光学系统对散射光和荧光进行分光及探测。光收集系统收集细胞（或颗粒）向各个方向发出的散射光与荧光，汇聚至后续光路。</w:t>
      </w:r>
      <w:r>
        <w:rPr>
          <w:rFonts w:hint="eastAsia" w:eastAsia="仿宋_GB2312"/>
          <w:sz w:val="32"/>
          <w:szCs w:val="32"/>
          <w:lang w:eastAsia="zh-CN"/>
        </w:rPr>
        <w:t>流式细胞仪采用</w:t>
      </w:r>
      <w:r>
        <w:rPr>
          <w:rFonts w:hint="eastAsia" w:eastAsia="仿宋_GB2312"/>
          <w:sz w:val="32"/>
          <w:szCs w:val="32"/>
        </w:rPr>
        <w:t>滤光片按所需波段对光束进行分离，将不同波段光导向不同光路通道。滤光片只允许目标波长的光透过，阻断杂散光、非目标荧光，消除信号串扰。</w:t>
      </w:r>
      <w:r>
        <w:rPr>
          <w:rFonts w:hint="eastAsia" w:eastAsia="仿宋_GB2312"/>
          <w:sz w:val="32"/>
          <w:szCs w:val="32"/>
          <w:lang w:eastAsia="zh-CN"/>
        </w:rPr>
        <w:t>全光谱流式细胞仪采用</w:t>
      </w:r>
      <w:r>
        <w:rPr>
          <w:rFonts w:hint="eastAsia" w:ascii="Times New Roman" w:hAnsi="Times New Roman" w:eastAsia="仿宋_GB2312" w:cs="Times New Roman"/>
          <w:kern w:val="2"/>
          <w:sz w:val="32"/>
          <w:szCs w:val="32"/>
          <w:lang w:val="en-US" w:eastAsia="zh-CN" w:bidi="ar"/>
        </w:rPr>
        <w:t>棱镜或光栅，将荧光按波长连续展开</w:t>
      </w:r>
      <w:r>
        <w:rPr>
          <w:rFonts w:hint="eastAsia" w:eastAsia="仿宋_GB2312" w:cs="Times New Roman"/>
          <w:kern w:val="2"/>
          <w:sz w:val="32"/>
          <w:szCs w:val="32"/>
          <w:lang w:val="en-US" w:eastAsia="zh-CN" w:bidi="ar"/>
        </w:rPr>
        <w:t>。</w:t>
      </w:r>
    </w:p>
    <w:p w14:paraId="538668A6">
      <w:pPr>
        <w:widowControl/>
        <w:spacing w:line="520" w:lineRule="exact"/>
        <w:ind w:right="-67" w:rightChars="-32" w:firstLine="640" w:firstLineChars="200"/>
        <w:rPr>
          <w:rFonts w:hint="eastAsia" w:eastAsia="仿宋_GB2312"/>
          <w:sz w:val="32"/>
          <w:szCs w:val="32"/>
        </w:rPr>
      </w:pPr>
      <w:r>
        <w:rPr>
          <w:rFonts w:hint="eastAsia" w:eastAsia="仿宋_GB2312"/>
          <w:sz w:val="32"/>
          <w:szCs w:val="32"/>
        </w:rPr>
        <w:t>光电检测系统：由光电管、信号处理器与放大电路组成。光电管完成光电转换，接收细胞（或颗粒）穿过激光束时产生的散射光、荧光（微弱光信号），将光信号转换成模拟电信号。</w:t>
      </w:r>
    </w:p>
    <w:p w14:paraId="7F35F2AE">
      <w:pPr>
        <w:widowControl/>
        <w:spacing w:line="520" w:lineRule="exact"/>
        <w:ind w:right="-67" w:rightChars="-32" w:firstLine="640" w:firstLineChars="200"/>
        <w:rPr>
          <w:rFonts w:eastAsia="仿宋_GB2312"/>
          <w:sz w:val="32"/>
          <w:szCs w:val="32"/>
        </w:rPr>
      </w:pPr>
      <w:r>
        <w:rPr>
          <w:rFonts w:hint="eastAsia" w:eastAsia="仿宋_GB2312"/>
          <w:sz w:val="32"/>
          <w:szCs w:val="32"/>
        </w:rPr>
        <w:t>模数转换，将连续模拟电信号转为计算机可识别的数字信号，对细胞或颗粒计数及高度、面积、宽度等信号采集。</w:t>
      </w:r>
    </w:p>
    <w:p w14:paraId="4B0D274E">
      <w:pPr>
        <w:widowControl/>
        <w:spacing w:line="520" w:lineRule="exact"/>
        <w:ind w:right="-67" w:rightChars="-32" w:firstLine="640" w:firstLineChars="200"/>
        <w:rPr>
          <w:rFonts w:hint="eastAsia" w:eastAsia="仿宋_GB2312"/>
          <w:sz w:val="32"/>
          <w:szCs w:val="32"/>
          <w:lang w:eastAsia="zh-CN"/>
        </w:rPr>
      </w:pPr>
      <w:r>
        <w:rPr>
          <w:rFonts w:hint="eastAsia" w:eastAsia="仿宋_GB2312"/>
          <w:sz w:val="32"/>
          <w:szCs w:val="32"/>
        </w:rPr>
        <w:t>分析</w:t>
      </w:r>
      <w:r>
        <w:rPr>
          <w:rFonts w:hint="eastAsia" w:eastAsia="仿宋_GB2312"/>
          <w:sz w:val="32"/>
          <w:szCs w:val="32"/>
          <w:lang w:val="en-US" w:eastAsia="zh-CN"/>
        </w:rPr>
        <w:t>软件</w:t>
      </w:r>
      <w:r>
        <w:rPr>
          <w:rFonts w:hint="eastAsia" w:eastAsia="仿宋_GB2312"/>
          <w:sz w:val="32"/>
          <w:szCs w:val="32"/>
        </w:rPr>
        <w:t>：用于控制仪器和数据的采集与处理。全光谱流式通过光谱解混拆分荧光信号</w:t>
      </w:r>
      <w:r>
        <w:rPr>
          <w:rFonts w:hint="eastAsia" w:eastAsia="仿宋_GB2312"/>
          <w:sz w:val="32"/>
          <w:szCs w:val="32"/>
          <w:lang w:eastAsia="zh-CN"/>
        </w:rPr>
        <w:t>。</w:t>
      </w:r>
    </w:p>
    <w:bookmarkEnd w:id="1"/>
    <w:p w14:paraId="306B7E0E">
      <w:pPr>
        <w:widowControl/>
        <w:spacing w:line="520" w:lineRule="exact"/>
        <w:ind w:right="-67" w:rightChars="-32" w:firstLine="640" w:firstLineChars="200"/>
        <w:rPr>
          <w:rFonts w:eastAsia="仿宋_GB2312"/>
          <w:sz w:val="32"/>
          <w:szCs w:val="32"/>
        </w:rPr>
      </w:pPr>
      <w:r>
        <w:rPr>
          <w:rFonts w:hint="eastAsia" w:eastAsia="仿宋_GB2312"/>
          <w:sz w:val="32"/>
          <w:szCs w:val="32"/>
        </w:rPr>
        <w:t>应详细写明通过研究确定的关键组件信息。</w:t>
      </w:r>
    </w:p>
    <w:p w14:paraId="06BFF133">
      <w:pPr>
        <w:pStyle w:val="34"/>
        <w:spacing w:line="520" w:lineRule="exact"/>
        <w:ind w:firstLine="640"/>
        <w:outlineLvl w:val="2"/>
        <w:rPr>
          <w:rFonts w:eastAsia="仿宋_GB2312"/>
          <w:sz w:val="32"/>
          <w:szCs w:val="32"/>
        </w:rPr>
      </w:pPr>
      <w:r>
        <w:rPr>
          <w:rFonts w:hint="eastAsia" w:eastAsia="仿宋_GB2312"/>
          <w:sz w:val="32"/>
          <w:szCs w:val="32"/>
        </w:rPr>
        <w:t>2.产品工作原理</w:t>
      </w:r>
    </w:p>
    <w:p w14:paraId="4F8232D9">
      <w:pPr>
        <w:widowControl/>
        <w:spacing w:line="520" w:lineRule="exact"/>
        <w:ind w:right="-67" w:rightChars="-32" w:firstLine="640" w:firstLineChars="200"/>
        <w:rPr>
          <w:rFonts w:eastAsia="仿宋_GB2312"/>
          <w:sz w:val="32"/>
          <w:szCs w:val="32"/>
        </w:rPr>
      </w:pPr>
      <w:r>
        <w:rPr>
          <w:rFonts w:hint="eastAsia" w:eastAsia="仿宋_GB2312"/>
          <w:sz w:val="32"/>
          <w:szCs w:val="32"/>
        </w:rPr>
        <w:t>产品的工作原理</w:t>
      </w:r>
      <w:r>
        <w:rPr>
          <w:rFonts w:eastAsia="仿宋_GB2312"/>
          <w:sz w:val="32"/>
          <w:szCs w:val="32"/>
        </w:rPr>
        <w:t>一般为通过液流系统使单个</w:t>
      </w:r>
      <w:r>
        <w:rPr>
          <w:rFonts w:hint="eastAsia" w:eastAsia="仿宋_GB2312"/>
          <w:sz w:val="32"/>
          <w:szCs w:val="32"/>
        </w:rPr>
        <w:t>细胞（或颗粒）</w:t>
      </w:r>
      <w:r>
        <w:rPr>
          <w:rFonts w:eastAsia="仿宋_GB2312"/>
          <w:sz w:val="32"/>
          <w:szCs w:val="32"/>
        </w:rPr>
        <w:t>通过流动室并分析单个</w:t>
      </w:r>
      <w:r>
        <w:rPr>
          <w:rFonts w:hint="eastAsia" w:eastAsia="仿宋_GB2312"/>
          <w:sz w:val="32"/>
          <w:szCs w:val="32"/>
        </w:rPr>
        <w:t>细胞（或颗粒）</w:t>
      </w:r>
      <w:r>
        <w:rPr>
          <w:rFonts w:eastAsia="仿宋_GB2312"/>
          <w:sz w:val="32"/>
          <w:szCs w:val="32"/>
        </w:rPr>
        <w:t>的荧光标记信号，实现对其生物特性的分析</w:t>
      </w:r>
      <w:r>
        <w:rPr>
          <w:rFonts w:hint="eastAsia" w:eastAsia="仿宋_GB2312"/>
          <w:sz w:val="32"/>
          <w:szCs w:val="32"/>
        </w:rPr>
        <w:t>。</w:t>
      </w:r>
    </w:p>
    <w:p w14:paraId="2EADA91D">
      <w:pPr>
        <w:spacing w:line="520" w:lineRule="exact"/>
        <w:ind w:right="-67" w:rightChars="-32" w:firstLineChars="200"/>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2.1反应原理：流式细胞法利用抗原-抗体反应的原理，对检</w:t>
      </w:r>
      <w:r>
        <w:rPr>
          <w:rFonts w:hint="eastAsia" w:ascii="Times New Roman" w:hAnsi="Times New Roman" w:eastAsia="仿宋_GB2312"/>
          <w:kern w:val="2"/>
          <w:sz w:val="32"/>
          <w:szCs w:val="32"/>
          <w:lang w:val="en-US" w:eastAsia="zh-CN"/>
        </w:rPr>
        <w:t>测</w:t>
      </w:r>
      <w:r>
        <w:rPr>
          <w:rFonts w:hint="eastAsia" w:ascii="Times New Roman" w:hAnsi="Times New Roman" w:eastAsia="仿宋_GB2312"/>
          <w:kern w:val="2"/>
          <w:sz w:val="32"/>
          <w:szCs w:val="32"/>
        </w:rPr>
        <w:t>的每个</w:t>
      </w:r>
      <w:r>
        <w:rPr>
          <w:rFonts w:hint="eastAsia" w:eastAsia="仿宋_GB2312"/>
          <w:sz w:val="32"/>
          <w:szCs w:val="32"/>
        </w:rPr>
        <w:t>细胞（或颗粒）</w:t>
      </w:r>
      <w:r>
        <w:rPr>
          <w:rFonts w:hint="eastAsia" w:ascii="Times New Roman" w:hAnsi="Times New Roman" w:eastAsia="仿宋_GB2312"/>
          <w:kern w:val="2"/>
          <w:sz w:val="32"/>
          <w:szCs w:val="32"/>
        </w:rPr>
        <w:t>进行荧光素分子标记，从而使</w:t>
      </w:r>
      <w:r>
        <w:rPr>
          <w:rFonts w:hint="eastAsia" w:eastAsia="仿宋_GB2312"/>
          <w:sz w:val="32"/>
          <w:szCs w:val="32"/>
        </w:rPr>
        <w:t>细胞（或颗粒）</w:t>
      </w:r>
      <w:r>
        <w:rPr>
          <w:rFonts w:hint="eastAsia" w:ascii="Times New Roman" w:hAnsi="Times New Roman" w:eastAsia="仿宋_GB2312"/>
          <w:kern w:val="2"/>
          <w:sz w:val="32"/>
          <w:szCs w:val="32"/>
        </w:rPr>
        <w:t>带有荧光素，区别出不同</w:t>
      </w:r>
      <w:r>
        <w:rPr>
          <w:rFonts w:hint="eastAsia" w:eastAsia="仿宋_GB2312"/>
          <w:sz w:val="32"/>
          <w:szCs w:val="32"/>
        </w:rPr>
        <w:t>细胞（或颗粒）</w:t>
      </w:r>
      <w:r>
        <w:rPr>
          <w:rFonts w:hint="eastAsia" w:ascii="Times New Roman" w:hAnsi="Times New Roman" w:eastAsia="仿宋_GB2312"/>
          <w:kern w:val="2"/>
          <w:sz w:val="32"/>
          <w:szCs w:val="32"/>
        </w:rPr>
        <w:t>的数量和性质。当每个</w:t>
      </w:r>
      <w:r>
        <w:rPr>
          <w:rFonts w:hint="eastAsia" w:eastAsia="仿宋_GB2312"/>
          <w:sz w:val="32"/>
          <w:szCs w:val="32"/>
        </w:rPr>
        <w:t>细胞（或颗粒）</w:t>
      </w:r>
      <w:r>
        <w:rPr>
          <w:rFonts w:hint="eastAsia" w:ascii="Times New Roman" w:hAnsi="Times New Roman" w:eastAsia="仿宋_GB2312"/>
          <w:kern w:val="2"/>
          <w:sz w:val="32"/>
          <w:szCs w:val="32"/>
        </w:rPr>
        <w:t>单个通过激光照射后使激光发生散射，同时被染色的</w:t>
      </w:r>
      <w:r>
        <w:rPr>
          <w:rFonts w:hint="eastAsia" w:eastAsia="仿宋_GB2312"/>
          <w:sz w:val="32"/>
          <w:szCs w:val="32"/>
        </w:rPr>
        <w:t>细胞（或颗粒）</w:t>
      </w:r>
      <w:r>
        <w:rPr>
          <w:rFonts w:hint="eastAsia" w:ascii="Times New Roman" w:hAnsi="Times New Roman" w:eastAsia="仿宋_GB2312"/>
          <w:kern w:val="2"/>
          <w:sz w:val="32"/>
          <w:szCs w:val="32"/>
        </w:rPr>
        <w:t>会发出荧光，由于不同的</w:t>
      </w:r>
      <w:r>
        <w:rPr>
          <w:rFonts w:hint="eastAsia" w:eastAsia="仿宋_GB2312"/>
          <w:sz w:val="32"/>
          <w:szCs w:val="32"/>
        </w:rPr>
        <w:t>细胞（或颗粒）</w:t>
      </w:r>
      <w:r>
        <w:rPr>
          <w:rFonts w:hint="eastAsia" w:ascii="Times New Roman" w:hAnsi="Times New Roman" w:eastAsia="仿宋_GB2312"/>
          <w:kern w:val="2"/>
          <w:sz w:val="32"/>
          <w:szCs w:val="32"/>
        </w:rPr>
        <w:t>分子表面携带有不同的荧光色标记物，与相应的抗体/抗原发生抗原-抗体反应，经分析系统处理后检测</w:t>
      </w:r>
      <w:r>
        <w:rPr>
          <w:rFonts w:hint="eastAsia" w:eastAsia="仿宋_GB2312"/>
          <w:sz w:val="32"/>
          <w:szCs w:val="32"/>
        </w:rPr>
        <w:t>细胞（或颗粒）</w:t>
      </w:r>
      <w:r>
        <w:rPr>
          <w:rFonts w:hint="eastAsia" w:ascii="Times New Roman" w:hAnsi="Times New Roman" w:eastAsia="仿宋_GB2312"/>
          <w:kern w:val="2"/>
          <w:sz w:val="32"/>
          <w:szCs w:val="32"/>
        </w:rPr>
        <w:t>的数量以及这些</w:t>
      </w:r>
      <w:r>
        <w:rPr>
          <w:rFonts w:hint="eastAsia" w:eastAsia="仿宋_GB2312"/>
          <w:sz w:val="32"/>
          <w:szCs w:val="32"/>
        </w:rPr>
        <w:t>细胞（或颗粒）</w:t>
      </w:r>
      <w:r>
        <w:rPr>
          <w:rFonts w:hint="eastAsia" w:ascii="Times New Roman" w:hAnsi="Times New Roman" w:eastAsia="仿宋_GB2312"/>
          <w:kern w:val="2"/>
          <w:sz w:val="32"/>
          <w:szCs w:val="32"/>
        </w:rPr>
        <w:t>含有的表面物，通过分析这些信号就能了解关于</w:t>
      </w:r>
      <w:r>
        <w:rPr>
          <w:rFonts w:hint="eastAsia" w:eastAsia="仿宋_GB2312"/>
          <w:sz w:val="32"/>
          <w:szCs w:val="32"/>
        </w:rPr>
        <w:t>细胞（或颗粒）</w:t>
      </w:r>
      <w:r>
        <w:rPr>
          <w:rFonts w:hint="eastAsia" w:ascii="Times New Roman" w:hAnsi="Times New Roman" w:eastAsia="仿宋_GB2312"/>
          <w:kern w:val="2"/>
          <w:sz w:val="32"/>
          <w:szCs w:val="32"/>
        </w:rPr>
        <w:t>的大小、内部复杂程度和相应抗原表达强度等信息。</w:t>
      </w:r>
    </w:p>
    <w:p w14:paraId="3C78EAAA">
      <w:pPr>
        <w:pStyle w:val="21"/>
        <w:ind w:firstLine="640"/>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2.2工作原理：</w:t>
      </w:r>
    </w:p>
    <w:p w14:paraId="748C33E8">
      <w:pPr>
        <w:pStyle w:val="21"/>
        <w:ind w:firstLine="640"/>
        <w:rPr>
          <w:rFonts w:hint="eastAsia" w:ascii="Times New Roman" w:hAnsi="Times New Roman" w:eastAsia="仿宋_GB2312"/>
          <w:kern w:val="2"/>
          <w:sz w:val="32"/>
          <w:szCs w:val="32"/>
        </w:rPr>
      </w:pPr>
      <w:r>
        <w:rPr>
          <w:rFonts w:hint="eastAsia" w:ascii="Times New Roman" w:hAnsi="Times New Roman" w:eastAsia="仿宋_GB2312"/>
          <w:kern w:val="2"/>
          <w:sz w:val="32"/>
          <w:szCs w:val="32"/>
          <w:lang w:val="en-US" w:eastAsia="zh-CN"/>
        </w:rPr>
        <w:t>2.2.1流式细胞仪：</w:t>
      </w:r>
      <w:r>
        <w:rPr>
          <w:rFonts w:hint="eastAsia" w:ascii="Times New Roman" w:hAnsi="Times New Roman" w:eastAsia="仿宋_GB2312"/>
          <w:kern w:val="2"/>
          <w:sz w:val="32"/>
          <w:szCs w:val="32"/>
        </w:rPr>
        <w:t>将待测细胞（或颗粒）染色后，制成单颗粒悬液，由液流驱动部分用一定压力将待测样品压入流动室，同时由鞘液包裹着样品高速流动，待测细胞（或颗粒）在鞘液的包被下单行排列，依次通过检测区域。在信号检测区域，一定波长的激光束聚焦整形后，垂直照射在样品流上，被荧光染色的细胞（或颗粒）在激光束的照射下，产生散射光信号和荧光信号。以上光信号经由光电探测器转换电信号并放大电信号，再由电路处理成数字信号后，</w:t>
      </w:r>
      <w:r>
        <w:rPr>
          <w:rFonts w:hint="eastAsia" w:ascii="Times New Roman" w:hAnsi="Times New Roman" w:eastAsia="仿宋_GB2312"/>
          <w:kern w:val="2"/>
          <w:sz w:val="32"/>
          <w:szCs w:val="32"/>
          <w:lang w:eastAsia="zh-CN"/>
        </w:rPr>
        <w:t>分析软件</w:t>
      </w:r>
      <w:r>
        <w:rPr>
          <w:rFonts w:hint="eastAsia" w:ascii="Times New Roman" w:hAnsi="Times New Roman" w:eastAsia="仿宋_GB2312"/>
          <w:kern w:val="2"/>
          <w:sz w:val="32"/>
          <w:szCs w:val="32"/>
        </w:rPr>
        <w:t>把所测量到的各种信号进行计算处理，将分析结果以图谱和数据显示输出；这些数据反映出了被测细胞（或颗粒）的物理化学信息。</w:t>
      </w:r>
    </w:p>
    <w:p w14:paraId="4DB7516C">
      <w:pPr>
        <w:pStyle w:val="21"/>
        <w:ind w:firstLine="640"/>
        <w:rPr>
          <w:rFonts w:hint="eastAsia" w:ascii="Times New Roman" w:hAnsi="Times New Roman" w:eastAsia="仿宋_GB2312"/>
          <w:kern w:val="2"/>
          <w:sz w:val="32"/>
          <w:szCs w:val="32"/>
          <w:lang w:val="en-US" w:eastAsia="zh-CN"/>
        </w:rPr>
      </w:pPr>
      <w:r>
        <w:rPr>
          <w:rFonts w:hint="eastAsia" w:ascii="Times New Roman" w:hAnsi="Times New Roman" w:eastAsia="仿宋_GB2312"/>
          <w:kern w:val="2"/>
          <w:sz w:val="32"/>
          <w:szCs w:val="32"/>
          <w:lang w:val="en-US" w:eastAsia="zh-CN"/>
        </w:rPr>
        <w:t>2.2.2全光谱流式细胞仪：将待测细胞（或颗粒）染色后，制成单颗粒悬液，由液流驱动部分用一定压力将待测样品压入流动室，同时由鞘液包裹着样品高速流动，待测细胞（或颗粒）在鞘液的包被下单行排列，依次通过检测区域。在信号检测区域，一定波长的激光束聚焦整形后，垂直照射在样品流上，被荧光染色的细胞（或颗粒）在激光束的照射下，产生散射光信号和荧光信号。采用棱镜或光栅分光以及阵列检测器采集完整荧光光谱。以上光信号经由光电探测器转换电信号并放大电信号，再由电路处理成数字信号后，通过光谱解混算法将混合光谱拆分荧光信号，将分析结果以图谱和数据显示输出；这些数据反映出了被测细胞（或颗粒）的物理化学信息。</w:t>
      </w:r>
    </w:p>
    <w:p w14:paraId="243CAB4A">
      <w:pPr>
        <w:pStyle w:val="21"/>
        <w:ind w:firstLine="640"/>
        <w:jc w:val="center"/>
      </w:pPr>
      <w:r>
        <w:drawing>
          <wp:inline distT="0" distB="0" distL="114300" distR="114300">
            <wp:extent cx="5274310" cy="4160520"/>
            <wp:effectExtent l="0" t="0" r="13970" b="0"/>
            <wp:docPr id="1" name="图片 1" descr="1c7c2012ac97a58f9e17b0f2dcea7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c7c2012ac97a58f9e17b0f2dcea75d"/>
                    <pic:cNvPicPr>
                      <a:picLocks noChangeAspect="1"/>
                    </pic:cNvPicPr>
                  </pic:nvPicPr>
                  <pic:blipFill>
                    <a:blip r:embed="rId6"/>
                    <a:stretch>
                      <a:fillRect/>
                    </a:stretch>
                  </pic:blipFill>
                  <pic:spPr>
                    <a:xfrm>
                      <a:off x="0" y="0"/>
                      <a:ext cx="5274310" cy="4160520"/>
                    </a:xfrm>
                    <a:prstGeom prst="rect">
                      <a:avLst/>
                    </a:prstGeom>
                  </pic:spPr>
                </pic:pic>
              </a:graphicData>
            </a:graphic>
          </wp:inline>
        </w:drawing>
      </w:r>
    </w:p>
    <w:p w14:paraId="1D20398A">
      <w:pPr>
        <w:pStyle w:val="21"/>
        <w:ind w:firstLine="640"/>
        <w:jc w:val="center"/>
      </w:pPr>
      <w:r>
        <w:rPr>
          <w:rFonts w:hint="eastAsia"/>
        </w:rPr>
        <w:t>流式细胞仪工作原理</w:t>
      </w:r>
    </w:p>
    <w:p w14:paraId="5B34F332">
      <w:pPr>
        <w:spacing w:line="520" w:lineRule="exact"/>
        <w:ind w:firstLine="640" w:firstLineChars="200"/>
        <w:rPr>
          <w:rFonts w:eastAsia="仿宋_GB2312"/>
          <w:sz w:val="32"/>
          <w:szCs w:val="32"/>
        </w:rPr>
      </w:pPr>
      <w:r>
        <w:rPr>
          <w:rFonts w:hint="eastAsia" w:eastAsia="仿宋_GB2312"/>
          <w:sz w:val="32"/>
          <w:szCs w:val="32"/>
        </w:rPr>
        <w:t>3.产品的适用范围、禁忌证</w:t>
      </w:r>
    </w:p>
    <w:p w14:paraId="33C68056">
      <w:pPr>
        <w:spacing w:line="520" w:lineRule="exact"/>
        <w:ind w:firstLine="640" w:firstLineChars="200"/>
        <w:rPr>
          <w:rFonts w:eastAsia="仿宋_GB2312"/>
          <w:sz w:val="32"/>
          <w:szCs w:val="32"/>
        </w:rPr>
      </w:pPr>
      <w:r>
        <w:rPr>
          <w:rFonts w:hint="eastAsia" w:eastAsia="仿宋_GB2312"/>
          <w:sz w:val="32"/>
          <w:szCs w:val="32"/>
        </w:rPr>
        <w:t>3.1产品适用范围应与申报产品的产品功能保持一致。</w:t>
      </w:r>
    </w:p>
    <w:p w14:paraId="1B71BCE1">
      <w:pPr>
        <w:spacing w:line="520" w:lineRule="exact"/>
        <w:ind w:firstLine="640" w:firstLineChars="200"/>
        <w:rPr>
          <w:rFonts w:eastAsia="仿宋_GB2312"/>
          <w:sz w:val="32"/>
          <w:szCs w:val="32"/>
        </w:rPr>
      </w:pPr>
      <w:r>
        <w:rPr>
          <w:rFonts w:hint="eastAsia" w:eastAsia="仿宋_GB2312"/>
          <w:sz w:val="32"/>
          <w:szCs w:val="32"/>
        </w:rPr>
        <w:t>适用范围一般可描述为：用于对处在液体中的细胞（或颗粒）逐个进行多参数快速定量</w:t>
      </w:r>
      <w:r>
        <w:rPr>
          <w:rFonts w:hint="eastAsia" w:eastAsia="仿宋_GB2312"/>
          <w:kern w:val="2"/>
          <w:sz w:val="32"/>
          <w:szCs w:val="32"/>
        </w:rPr>
        <w:t>和/或</w:t>
      </w:r>
      <w:r>
        <w:rPr>
          <w:rFonts w:hint="eastAsia" w:eastAsia="仿宋_GB2312"/>
          <w:sz w:val="32"/>
          <w:szCs w:val="32"/>
        </w:rPr>
        <w:t>定性分析。</w:t>
      </w:r>
    </w:p>
    <w:p w14:paraId="785AE7AE">
      <w:pPr>
        <w:spacing w:line="520" w:lineRule="exact"/>
        <w:ind w:right="-67" w:rightChars="-32" w:firstLine="640" w:firstLineChars="200"/>
        <w:rPr>
          <w:rFonts w:eastAsia="仿宋_GB2312"/>
          <w:sz w:val="32"/>
          <w:szCs w:val="32"/>
        </w:rPr>
      </w:pPr>
      <w:r>
        <w:rPr>
          <w:rFonts w:hint="eastAsia" w:eastAsia="仿宋_GB2312"/>
          <w:sz w:val="32"/>
          <w:szCs w:val="32"/>
        </w:rPr>
        <w:t>3.2预期使用环境</w:t>
      </w:r>
    </w:p>
    <w:p w14:paraId="252E5E41">
      <w:pPr>
        <w:spacing w:line="520" w:lineRule="exact"/>
        <w:ind w:firstLine="640" w:firstLineChars="200"/>
        <w:rPr>
          <w:rFonts w:eastAsia="仿宋_GB2312"/>
          <w:sz w:val="32"/>
          <w:szCs w:val="32"/>
        </w:rPr>
      </w:pPr>
      <w:r>
        <w:rPr>
          <w:rFonts w:hint="eastAsia" w:eastAsia="仿宋_GB2312"/>
          <w:sz w:val="32"/>
          <w:szCs w:val="32"/>
        </w:rPr>
        <w:t>应明确该产品预期使用的地点</w:t>
      </w:r>
      <w:r>
        <w:rPr>
          <w:rFonts w:hint="eastAsia" w:eastAsia="仿宋_GB2312"/>
          <w:sz w:val="32"/>
          <w:szCs w:val="32"/>
          <w:lang w:eastAsia="zh-CN"/>
        </w:rPr>
        <w:t>为医疗机构</w:t>
      </w:r>
      <w:r>
        <w:rPr>
          <w:rFonts w:hint="eastAsia" w:eastAsia="仿宋_GB2312"/>
          <w:sz w:val="32"/>
          <w:szCs w:val="32"/>
        </w:rPr>
        <w:t>，应说明对安装使用环境要求，如工作电压、温度、湿度、大气压等。</w:t>
      </w:r>
    </w:p>
    <w:p w14:paraId="61791888">
      <w:pPr>
        <w:spacing w:line="520" w:lineRule="exact"/>
        <w:ind w:right="-67" w:rightChars="-32" w:firstLine="640" w:firstLineChars="200"/>
        <w:rPr>
          <w:rFonts w:eastAsia="仿宋_GB2312"/>
          <w:sz w:val="32"/>
          <w:szCs w:val="32"/>
        </w:rPr>
      </w:pPr>
      <w:r>
        <w:rPr>
          <w:rFonts w:hint="eastAsia" w:eastAsia="仿宋_GB2312"/>
          <w:sz w:val="32"/>
          <w:szCs w:val="32"/>
        </w:rPr>
        <w:t>3.3禁忌证</w:t>
      </w:r>
    </w:p>
    <w:p w14:paraId="5E8C6B74">
      <w:pPr>
        <w:spacing w:line="520" w:lineRule="exact"/>
        <w:ind w:firstLine="640" w:firstLineChars="200"/>
        <w:rPr>
          <w:rFonts w:eastAsia="仿宋_GB2312"/>
          <w:sz w:val="32"/>
          <w:szCs w:val="32"/>
        </w:rPr>
      </w:pPr>
      <w:r>
        <w:rPr>
          <w:rFonts w:hint="eastAsia" w:eastAsia="仿宋_GB2312"/>
          <w:sz w:val="32"/>
          <w:szCs w:val="32"/>
        </w:rPr>
        <w:t>目前尚无研究资料或研究结果表明此产品的禁忌证，如申报产品具有相关禁忌证，请详述。</w:t>
      </w:r>
    </w:p>
    <w:p w14:paraId="6AEFA022">
      <w:pPr>
        <w:numPr>
          <w:ilvl w:val="255"/>
          <w:numId w:val="0"/>
        </w:numPr>
        <w:spacing w:line="520" w:lineRule="exact"/>
        <w:ind w:firstLine="640" w:firstLineChars="200"/>
        <w:rPr>
          <w:rFonts w:eastAsia="仿宋_GB2312"/>
          <w:sz w:val="32"/>
          <w:szCs w:val="32"/>
        </w:rPr>
      </w:pPr>
      <w:r>
        <w:rPr>
          <w:rFonts w:hint="eastAsia" w:eastAsia="仿宋_GB2312"/>
          <w:sz w:val="32"/>
          <w:szCs w:val="32"/>
        </w:rPr>
        <w:t>4.参考的同类产品或前代产品的情况</w:t>
      </w:r>
    </w:p>
    <w:p w14:paraId="62004656">
      <w:pPr>
        <w:widowControl/>
        <w:spacing w:line="520" w:lineRule="exact"/>
        <w:ind w:firstLine="640" w:firstLineChars="200"/>
        <w:rPr>
          <w:rFonts w:eastAsia="仿宋_GB2312"/>
          <w:sz w:val="32"/>
          <w:szCs w:val="32"/>
        </w:rPr>
      </w:pPr>
      <w:r>
        <w:rPr>
          <w:rFonts w:hint="eastAsia" w:eastAsia="仿宋_GB2312"/>
          <w:sz w:val="32"/>
          <w:szCs w:val="32"/>
        </w:rPr>
        <w:t>应当提供同类产品（国内外已上市）或前代产品的信息，阐述申请注册产品的研发背景和目的。对于同类产品，应当说明选择其作为研发参考的原因。同时列表说明申请注册产品与参考产品（同类产品或前代产品）在工作原理、结构组成、性能指标以及预期用途等方面的异同，必要时提供图示。</w:t>
      </w:r>
    </w:p>
    <w:p w14:paraId="3F8170F8">
      <w:pPr>
        <w:spacing w:line="520" w:lineRule="exact"/>
        <w:ind w:firstLine="640" w:firstLineChars="200"/>
        <w:rPr>
          <w:rFonts w:eastAsia="楷体_GB2312"/>
          <w:sz w:val="32"/>
          <w:szCs w:val="32"/>
        </w:rPr>
      </w:pPr>
      <w:r>
        <w:rPr>
          <w:rFonts w:hint="eastAsia" w:eastAsia="楷体_GB2312"/>
          <w:sz w:val="32"/>
          <w:szCs w:val="32"/>
        </w:rPr>
        <w:t>（三）非临床资料</w:t>
      </w:r>
    </w:p>
    <w:p w14:paraId="3E91F27F">
      <w:pPr>
        <w:spacing w:line="520" w:lineRule="exact"/>
        <w:ind w:firstLine="640" w:firstLineChars="200"/>
        <w:rPr>
          <w:rFonts w:eastAsia="仿宋_GB2312"/>
          <w:sz w:val="32"/>
          <w:szCs w:val="32"/>
        </w:rPr>
      </w:pPr>
      <w:r>
        <w:rPr>
          <w:rFonts w:hint="eastAsia" w:eastAsia="仿宋_GB2312"/>
          <w:sz w:val="32"/>
          <w:szCs w:val="32"/>
        </w:rPr>
        <w:t>1.产品风险管理资料</w:t>
      </w:r>
    </w:p>
    <w:p w14:paraId="03AA6E12">
      <w:pPr>
        <w:widowControl/>
        <w:spacing w:line="520" w:lineRule="exact"/>
        <w:ind w:firstLine="640" w:firstLineChars="200"/>
        <w:rPr>
          <w:rFonts w:eastAsia="仿宋_GB2312"/>
          <w:sz w:val="32"/>
          <w:szCs w:val="32"/>
        </w:rPr>
      </w:pPr>
      <w:r>
        <w:rPr>
          <w:rFonts w:hint="eastAsia" w:eastAsia="仿宋_GB2312"/>
          <w:sz w:val="32"/>
          <w:szCs w:val="32"/>
        </w:rPr>
        <w:t>应参照GB/T 42062</w:t>
      </w:r>
      <w:r>
        <w:rPr>
          <w:rFonts w:hint="eastAsia" w:ascii="方正仿宋_GB2312" w:hAnsi="方正仿宋_GB2312" w:eastAsia="方正仿宋_GB2312" w:cs="方正仿宋_GB2312"/>
          <w:sz w:val="32"/>
          <w:szCs w:val="32"/>
        </w:rPr>
        <w:t>和</w:t>
      </w:r>
      <w:r>
        <w:rPr>
          <w:rFonts w:hint="eastAsia" w:eastAsia="仿宋_GB2312"/>
          <w:sz w:val="32"/>
          <w:szCs w:val="32"/>
        </w:rPr>
        <w:t xml:space="preserve">YY/T </w:t>
      </w:r>
      <w:r>
        <w:rPr>
          <w:rFonts w:eastAsia="仿宋_GB2312"/>
          <w:sz w:val="32"/>
          <w:szCs w:val="32"/>
        </w:rPr>
        <w:t>0588</w:t>
      </w:r>
      <w:r>
        <w:rPr>
          <w:rFonts w:hint="eastAsia" w:ascii="方正仿宋_GB2312" w:hAnsi="方正仿宋_GB2312" w:eastAsia="方正仿宋_GB2312" w:cs="方正仿宋_GB2312"/>
          <w:sz w:val="32"/>
          <w:szCs w:val="32"/>
        </w:rPr>
        <w:t>的要求，提供风险管理报告</w:t>
      </w:r>
      <w:r>
        <w:rPr>
          <w:rFonts w:hint="eastAsia" w:eastAsia="仿宋_GB2312"/>
          <w:sz w:val="32"/>
          <w:szCs w:val="32"/>
        </w:rPr>
        <w:t>。申请人需识别和判定与产品有关</w:t>
      </w:r>
      <w:r>
        <w:rPr>
          <w:rFonts w:hint="eastAsia" w:eastAsia="仿宋_GB2312"/>
          <w:color w:val="auto"/>
          <w:sz w:val="32"/>
          <w:szCs w:val="32"/>
        </w:rPr>
        <w:t>的危险</w:t>
      </w:r>
      <w:r>
        <w:rPr>
          <w:rFonts w:hint="eastAsia" w:eastAsia="仿宋_GB2312"/>
          <w:sz w:val="32"/>
          <w:szCs w:val="32"/>
        </w:rPr>
        <w:t>，估计和评价相关风险，控制风险并监测风险控制的安全性、有效性。本指导原则提供了产品的可能危险示例的不完全清单，帮助申请人判定与产品有关的危险。申请人可以根据产品特征确定其他可能危险，采取相应控制措施，确保产品风险降至可接受的程度。</w:t>
      </w:r>
    </w:p>
    <w:p w14:paraId="009027C3">
      <w:pPr>
        <w:spacing w:line="520" w:lineRule="exact"/>
        <w:ind w:firstLine="640" w:firstLineChars="200"/>
        <w:rPr>
          <w:rFonts w:eastAsia="仿宋_GB2312"/>
          <w:sz w:val="32"/>
          <w:szCs w:val="32"/>
        </w:rPr>
      </w:pPr>
      <w:r>
        <w:rPr>
          <w:rFonts w:hint="eastAsia" w:eastAsia="仿宋_GB2312"/>
          <w:sz w:val="32"/>
          <w:szCs w:val="32"/>
        </w:rPr>
        <w:t>1.1产品的主要危险</w:t>
      </w:r>
    </w:p>
    <w:p w14:paraId="31D8A506">
      <w:pPr>
        <w:spacing w:line="520" w:lineRule="exact"/>
        <w:ind w:firstLine="640" w:firstLineChars="200"/>
        <w:rPr>
          <w:rFonts w:eastAsia="仿宋_GB2312"/>
          <w:sz w:val="32"/>
          <w:szCs w:val="32"/>
          <w:highlight w:val="yellow"/>
        </w:rPr>
      </w:pPr>
      <w:r>
        <w:rPr>
          <w:rFonts w:hint="eastAsia" w:eastAsia="仿宋_GB2312"/>
          <w:sz w:val="32"/>
          <w:szCs w:val="32"/>
        </w:rPr>
        <w:t>产品的主要危险大致可包括五个方面，即：能量危险、生物学和化学危险、操作危险、信息危险、软件危险。</w:t>
      </w:r>
    </w:p>
    <w:p w14:paraId="05E00CB5">
      <w:pPr>
        <w:spacing w:line="520" w:lineRule="exact"/>
        <w:ind w:firstLine="640" w:firstLineChars="200"/>
        <w:rPr>
          <w:rFonts w:eastAsia="仿宋_GB2312"/>
          <w:sz w:val="32"/>
          <w:szCs w:val="32"/>
        </w:rPr>
      </w:pPr>
      <w:r>
        <w:rPr>
          <w:rFonts w:hint="eastAsia" w:eastAsia="仿宋_GB2312"/>
          <w:sz w:val="32"/>
          <w:szCs w:val="32"/>
        </w:rPr>
        <w:t>1.1.1能量危险</w:t>
      </w:r>
    </w:p>
    <w:p w14:paraId="012E8761">
      <w:pPr>
        <w:spacing w:line="520" w:lineRule="exact"/>
        <w:ind w:firstLine="640" w:firstLineChars="200"/>
        <w:rPr>
          <w:rFonts w:eastAsia="仿宋_GB2312"/>
          <w:sz w:val="32"/>
          <w:szCs w:val="32"/>
        </w:rPr>
      </w:pPr>
      <w:r>
        <w:rPr>
          <w:rFonts w:hint="eastAsia" w:eastAsia="仿宋_GB2312"/>
          <w:sz w:val="32"/>
          <w:szCs w:val="32"/>
        </w:rPr>
        <w:t>电磁能：共同使用的设备（移动电话、离心机、生化分析仪等）对申报产品的电磁干扰，静电放电对申报产品产生的干扰，申报产品正常工作中产生的电磁场对可能共同使用的其他设备的影响等引发的危险。</w:t>
      </w:r>
    </w:p>
    <w:p w14:paraId="152036CA">
      <w:pPr>
        <w:spacing w:line="520" w:lineRule="exact"/>
        <w:ind w:firstLine="640" w:firstLineChars="200"/>
        <w:rPr>
          <w:rStyle w:val="19"/>
        </w:rPr>
      </w:pPr>
      <w:r>
        <w:rPr>
          <w:rFonts w:hint="eastAsia" w:eastAsia="仿宋_GB2312"/>
          <w:sz w:val="32"/>
          <w:szCs w:val="32"/>
        </w:rPr>
        <w:t>漏电流：漏电流过大对使用者造成电击伤害</w:t>
      </w:r>
      <w:r>
        <w:rPr>
          <w:rStyle w:val="19"/>
          <w:rFonts w:hint="eastAsia"/>
        </w:rPr>
        <w:t>。</w:t>
      </w:r>
    </w:p>
    <w:p w14:paraId="1C22EFF3">
      <w:pPr>
        <w:spacing w:line="520" w:lineRule="exact"/>
        <w:ind w:firstLine="640" w:firstLineChars="200"/>
        <w:rPr>
          <w:rFonts w:eastAsia="仿宋_GB2312"/>
          <w:sz w:val="32"/>
          <w:szCs w:val="32"/>
        </w:rPr>
      </w:pPr>
      <w:r>
        <w:rPr>
          <w:rFonts w:hint="eastAsia" w:eastAsia="仿宋_GB2312"/>
          <w:sz w:val="32"/>
          <w:szCs w:val="32"/>
        </w:rPr>
        <w:t>机械能：坠落导致机械部件松动，导致测量错误、误差过大或显示异常。</w:t>
      </w:r>
    </w:p>
    <w:p w14:paraId="7C6C20C8">
      <w:pPr>
        <w:spacing w:line="520" w:lineRule="exact"/>
        <w:ind w:firstLine="640" w:firstLineChars="200"/>
        <w:rPr>
          <w:rFonts w:eastAsia="仿宋_GB2312"/>
          <w:sz w:val="32"/>
          <w:szCs w:val="32"/>
        </w:rPr>
      </w:pPr>
      <w:r>
        <w:rPr>
          <w:rFonts w:hint="eastAsia" w:eastAsia="仿宋_GB2312"/>
          <w:sz w:val="32"/>
          <w:szCs w:val="32"/>
        </w:rPr>
        <w:t>运动零件：部件运动过程中触碰导致机械部件复位故障，测量位置不准，结果异常。</w:t>
      </w:r>
    </w:p>
    <w:p w14:paraId="6B8173E9">
      <w:pPr>
        <w:spacing w:line="520" w:lineRule="exact"/>
        <w:ind w:firstLine="640" w:firstLineChars="200"/>
        <w:rPr>
          <w:rFonts w:eastAsia="仿宋_GB2312"/>
          <w:sz w:val="32"/>
          <w:szCs w:val="32"/>
        </w:rPr>
      </w:pPr>
      <w:r>
        <w:rPr>
          <w:rFonts w:hint="eastAsia" w:eastAsia="仿宋_GB2312"/>
          <w:sz w:val="32"/>
          <w:szCs w:val="32"/>
        </w:rPr>
        <w:t>热能危害：仪器工作过程中，会产生热能，如果电路老化、使用时间过长、防护不当，可能对操作者造成热能伤害。</w:t>
      </w:r>
    </w:p>
    <w:p w14:paraId="12DCC1CF">
      <w:pPr>
        <w:spacing w:line="520" w:lineRule="exact"/>
        <w:ind w:firstLine="640" w:firstLineChars="200"/>
        <w:rPr>
          <w:rFonts w:eastAsia="仿宋_GB2312"/>
          <w:sz w:val="32"/>
          <w:szCs w:val="32"/>
        </w:rPr>
      </w:pPr>
      <w:r>
        <w:rPr>
          <w:rFonts w:hint="eastAsia" w:eastAsia="仿宋_GB2312"/>
          <w:sz w:val="32"/>
          <w:szCs w:val="32"/>
        </w:rPr>
        <w:t>1.1.2生物学和化学危险</w:t>
      </w:r>
    </w:p>
    <w:p w14:paraId="4A93DC94">
      <w:pPr>
        <w:spacing w:line="520" w:lineRule="exact"/>
        <w:ind w:firstLine="640" w:firstLineChars="200"/>
        <w:rPr>
          <w:rFonts w:eastAsia="仿宋_GB2312"/>
          <w:sz w:val="32"/>
          <w:szCs w:val="32"/>
        </w:rPr>
      </w:pPr>
      <w:r>
        <w:rPr>
          <w:rFonts w:hint="eastAsia" w:eastAsia="仿宋_GB2312"/>
          <w:sz w:val="32"/>
          <w:szCs w:val="32"/>
        </w:rPr>
        <w:t>生物学：检测完成后剩余样本、试剂和废弃物处理不当引起的环境污染、交叉感染。</w:t>
      </w:r>
    </w:p>
    <w:p w14:paraId="4B7C1A61">
      <w:pPr>
        <w:spacing w:line="520" w:lineRule="exact"/>
        <w:ind w:firstLine="640" w:firstLineChars="200"/>
        <w:rPr>
          <w:rFonts w:eastAsia="仿宋_GB2312"/>
          <w:sz w:val="32"/>
          <w:szCs w:val="32"/>
        </w:rPr>
      </w:pPr>
      <w:r>
        <w:rPr>
          <w:rFonts w:hint="eastAsia" w:eastAsia="仿宋_GB2312"/>
          <w:sz w:val="32"/>
          <w:szCs w:val="32"/>
        </w:rPr>
        <w:t>化学：使用的清洁剂、消毒剂残留引发的危险。</w:t>
      </w:r>
    </w:p>
    <w:p w14:paraId="2127736F">
      <w:pPr>
        <w:spacing w:line="520" w:lineRule="exact"/>
        <w:ind w:firstLine="640" w:firstLineChars="200"/>
        <w:rPr>
          <w:rFonts w:eastAsia="仿宋_GB2312"/>
          <w:sz w:val="32"/>
          <w:szCs w:val="32"/>
        </w:rPr>
      </w:pPr>
      <w:r>
        <w:rPr>
          <w:rFonts w:hint="eastAsia" w:eastAsia="仿宋_GB2312"/>
          <w:sz w:val="32"/>
          <w:szCs w:val="32"/>
        </w:rPr>
        <w:t>1.1.3操作危险</w:t>
      </w:r>
    </w:p>
    <w:p w14:paraId="387E72BA">
      <w:pPr>
        <w:spacing w:line="520" w:lineRule="exact"/>
        <w:ind w:firstLine="640" w:firstLineChars="200"/>
        <w:rPr>
          <w:rFonts w:eastAsia="仿宋_GB2312"/>
          <w:sz w:val="32"/>
          <w:szCs w:val="32"/>
        </w:rPr>
      </w:pPr>
      <w:r>
        <w:rPr>
          <w:rFonts w:hint="eastAsia" w:eastAsia="仿宋_GB2312"/>
          <w:sz w:val="32"/>
          <w:szCs w:val="32"/>
        </w:rPr>
        <w:t>由不熟练/未经训练的人员使用，未对使用者进行培训或者使用者未按说明书中的要求进行操作，造成的检测失败、检测结果不准确。</w:t>
      </w:r>
    </w:p>
    <w:p w14:paraId="577AF0E7">
      <w:pPr>
        <w:spacing w:line="520" w:lineRule="exact"/>
        <w:ind w:firstLine="640" w:firstLineChars="200"/>
        <w:rPr>
          <w:rFonts w:eastAsia="仿宋_GB2312"/>
          <w:sz w:val="32"/>
          <w:szCs w:val="32"/>
        </w:rPr>
      </w:pPr>
      <w:r>
        <w:rPr>
          <w:rFonts w:hint="eastAsia" w:eastAsia="仿宋_GB2312"/>
          <w:sz w:val="32"/>
          <w:szCs w:val="32"/>
        </w:rPr>
        <w:t>使用不同厂家的或与分析仪不相匹配的试剂，造成的检测失败、检测结果不准确。</w:t>
      </w:r>
    </w:p>
    <w:p w14:paraId="35DEB026">
      <w:pPr>
        <w:spacing w:line="520" w:lineRule="exact"/>
        <w:ind w:firstLine="640" w:firstLineChars="200"/>
        <w:rPr>
          <w:rFonts w:eastAsia="仿宋_GB2312"/>
          <w:sz w:val="32"/>
          <w:szCs w:val="32"/>
        </w:rPr>
      </w:pPr>
      <w:r>
        <w:rPr>
          <w:rFonts w:hint="eastAsia" w:eastAsia="仿宋_GB2312"/>
          <w:sz w:val="32"/>
          <w:szCs w:val="32"/>
        </w:rPr>
        <w:t>产品的检测装置超过寿命或长时间未经校准，导致检测结果不准确。</w:t>
      </w:r>
    </w:p>
    <w:p w14:paraId="54C5AC73">
      <w:pPr>
        <w:spacing w:line="520" w:lineRule="exact"/>
        <w:ind w:firstLine="640" w:firstLineChars="200"/>
        <w:rPr>
          <w:rFonts w:eastAsia="仿宋_GB2312"/>
          <w:sz w:val="32"/>
          <w:szCs w:val="32"/>
        </w:rPr>
      </w:pPr>
      <w:r>
        <w:rPr>
          <w:rFonts w:hint="eastAsia" w:eastAsia="仿宋_GB2312"/>
          <w:sz w:val="32"/>
          <w:szCs w:val="32"/>
        </w:rPr>
        <w:t>未在制造商规定的使用环境条件下使用产品，可能造成检测结果不准确，产品寿命降低。</w:t>
      </w:r>
    </w:p>
    <w:p w14:paraId="000B0C21">
      <w:pPr>
        <w:widowControl/>
        <w:spacing w:line="520" w:lineRule="exact"/>
        <w:ind w:right="-67" w:rightChars="-32" w:firstLine="640" w:firstLineChars="200"/>
        <w:rPr>
          <w:rFonts w:eastAsia="仿宋_GB2312"/>
          <w:sz w:val="32"/>
          <w:szCs w:val="32"/>
        </w:rPr>
      </w:pPr>
      <w:r>
        <w:rPr>
          <w:rFonts w:hint="eastAsia" w:eastAsia="仿宋_GB2312"/>
          <w:sz w:val="32"/>
          <w:szCs w:val="32"/>
        </w:rPr>
        <w:t>未按产品说明书的规定进行保养维护，造成产品工作不正常。</w:t>
      </w:r>
    </w:p>
    <w:p w14:paraId="3C4B8D17">
      <w:pPr>
        <w:spacing w:line="520" w:lineRule="exact"/>
        <w:ind w:firstLine="640" w:firstLineChars="200"/>
        <w:rPr>
          <w:rFonts w:eastAsia="仿宋_GB2312"/>
          <w:sz w:val="32"/>
          <w:szCs w:val="32"/>
        </w:rPr>
      </w:pPr>
      <w:r>
        <w:rPr>
          <w:rFonts w:hint="eastAsia" w:eastAsia="仿宋_GB2312"/>
          <w:sz w:val="32"/>
          <w:szCs w:val="32"/>
        </w:rPr>
        <w:t>1.1.4信息危险</w:t>
      </w:r>
    </w:p>
    <w:p w14:paraId="4BF4C762">
      <w:pPr>
        <w:spacing w:line="520" w:lineRule="exact"/>
        <w:ind w:firstLine="640" w:firstLineChars="200"/>
        <w:rPr>
          <w:rFonts w:eastAsia="仿宋_GB2312"/>
          <w:sz w:val="32"/>
          <w:szCs w:val="32"/>
        </w:rPr>
      </w:pPr>
      <w:r>
        <w:rPr>
          <w:rFonts w:hint="eastAsia" w:eastAsia="仿宋_GB2312"/>
          <w:sz w:val="32"/>
          <w:szCs w:val="32"/>
        </w:rPr>
        <w:t>包括标记缺少或不正确，标记的位置不正确，不能被正确的识别，不能永久贴牢和清晰可辨，不能耐受温度、摩擦及正常使用时可能遇到的溶剂和试剂的影响。</w:t>
      </w:r>
    </w:p>
    <w:p w14:paraId="5D948BFA">
      <w:pPr>
        <w:spacing w:line="520" w:lineRule="exact"/>
        <w:ind w:firstLine="640" w:firstLineChars="200"/>
        <w:rPr>
          <w:rFonts w:eastAsia="仿宋_GB2312"/>
          <w:sz w:val="32"/>
          <w:szCs w:val="32"/>
        </w:rPr>
      </w:pPr>
      <w:r>
        <w:rPr>
          <w:rFonts w:hint="eastAsia" w:eastAsia="仿宋_GB2312"/>
          <w:sz w:val="32"/>
          <w:szCs w:val="32"/>
        </w:rPr>
        <w:t>未对不正确的操作、与其他设备共同使用时易产生的危险进行警告，未正确标示包装储运条件、消毒方法、维护信息、对所有标识警告符号的阐述，未对因长期使用产生功能丧失而可能引发的危险进行警告，未对合理可预见的误用进行警告等引发的危险。</w:t>
      </w:r>
    </w:p>
    <w:p w14:paraId="1CECED06">
      <w:pPr>
        <w:spacing w:line="520" w:lineRule="exact"/>
        <w:ind w:firstLine="640" w:firstLineChars="200"/>
        <w:rPr>
          <w:rFonts w:eastAsia="仿宋_GB2312"/>
          <w:sz w:val="32"/>
          <w:szCs w:val="32"/>
        </w:rPr>
      </w:pPr>
      <w:r>
        <w:rPr>
          <w:rFonts w:hint="eastAsia" w:eastAsia="仿宋_GB2312"/>
          <w:sz w:val="32"/>
          <w:szCs w:val="32"/>
        </w:rPr>
        <w:t>1.1.5软件危险</w:t>
      </w:r>
    </w:p>
    <w:p w14:paraId="06BD4013">
      <w:pPr>
        <w:spacing w:line="520" w:lineRule="exact"/>
        <w:ind w:firstLine="640" w:firstLineChars="200"/>
        <w:rPr>
          <w:rFonts w:hint="eastAsia" w:eastAsia="仿宋_GB2312"/>
          <w:sz w:val="32"/>
          <w:szCs w:val="32"/>
        </w:rPr>
      </w:pPr>
      <w:r>
        <w:rPr>
          <w:rFonts w:hint="eastAsia" w:eastAsia="仿宋_GB2312"/>
          <w:sz w:val="32"/>
          <w:szCs w:val="32"/>
        </w:rPr>
        <w:t>数据交换时医疗器械相关数据未设计授权访问、修改、删除，无法保证数据的保密性、完整性和可得性。</w:t>
      </w:r>
    </w:p>
    <w:p w14:paraId="3F2D1EE3">
      <w:pPr>
        <w:spacing w:line="520" w:lineRule="exact"/>
        <w:ind w:firstLine="640" w:firstLineChars="200"/>
        <w:rPr>
          <w:rFonts w:hint="eastAsia" w:eastAsia="仿宋_GB2312"/>
          <w:sz w:val="32"/>
          <w:szCs w:val="32"/>
        </w:rPr>
      </w:pPr>
      <w:r>
        <w:rPr>
          <w:rFonts w:hint="eastAsia" w:eastAsia="仿宋_GB2312"/>
          <w:sz w:val="32"/>
          <w:szCs w:val="32"/>
        </w:rPr>
        <w:t>2.医疗器械安全和性能基本原则清单</w:t>
      </w:r>
    </w:p>
    <w:p w14:paraId="0D337143">
      <w:pPr>
        <w:spacing w:line="520" w:lineRule="exact"/>
        <w:ind w:firstLine="640" w:firstLineChars="200"/>
        <w:rPr>
          <w:rFonts w:hint="eastAsia" w:eastAsia="仿宋_GB2312"/>
          <w:sz w:val="32"/>
          <w:szCs w:val="32"/>
        </w:rPr>
      </w:pPr>
      <w:r>
        <w:rPr>
          <w:rFonts w:hint="eastAsia" w:eastAsia="仿宋_GB2312"/>
          <w:sz w:val="32"/>
          <w:szCs w:val="32"/>
        </w:rPr>
        <w:t>参考《医疗器械安全和性能基本原则符合性技术指南》的要求，根据《医疗器械安全和性能的基本原则》中的各项要求明确适用性。对于不适用的要求，应当逐项说明不适用的理由。对于适用要求，应逐项说明为符合要求所采用的方法，以及证明其符合性的文件。关于证明各项要求符合性的文件，如果包含在产品注册申报资料中，应当说明其在申报资料中的具体位置。对于未包含在产品注册申报资料中的文件，应当注明该证据文件名称及其在质量管理体系文件中的编号。</w:t>
      </w:r>
    </w:p>
    <w:p w14:paraId="2A108CF2">
      <w:pPr>
        <w:spacing w:line="52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.产品技术要求及检验报告</w:t>
      </w:r>
    </w:p>
    <w:p w14:paraId="4E6EC09C">
      <w:pPr>
        <w:spacing w:line="52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.1产品技术要求</w:t>
      </w:r>
    </w:p>
    <w:p w14:paraId="2873D956">
      <w:pPr>
        <w:spacing w:line="520" w:lineRule="exact"/>
        <w:ind w:firstLine="640" w:firstLineChars="200"/>
        <w:rPr>
          <w:rFonts w:eastAsia="仿宋_GB2312"/>
          <w:sz w:val="32"/>
          <w:szCs w:val="32"/>
        </w:rPr>
      </w:pPr>
      <w:r>
        <w:rPr>
          <w:rFonts w:hint="eastAsia" w:eastAsia="仿宋_GB2312"/>
          <w:sz w:val="32"/>
          <w:szCs w:val="32"/>
        </w:rPr>
        <w:t>根据《医疗器械产品技术要求编写指导原则》的要求，产品技术要求应包含产品名称、产品型号/规格及其划分说明、性能指标和检验方法。</w:t>
      </w:r>
    </w:p>
    <w:p w14:paraId="0326B946">
      <w:pPr>
        <w:spacing w:line="52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.1.1产品名称、产品型号/规格及其划分说明</w:t>
      </w:r>
    </w:p>
    <w:p w14:paraId="2216E5E0">
      <w:pPr>
        <w:spacing w:line="520" w:lineRule="exact"/>
        <w:ind w:firstLine="640" w:firstLineChars="200"/>
        <w:rPr>
          <w:rFonts w:eastAsia="仿宋_GB2312"/>
          <w:sz w:val="32"/>
          <w:szCs w:val="32"/>
        </w:rPr>
      </w:pPr>
      <w:r>
        <w:rPr>
          <w:rFonts w:hint="eastAsia" w:eastAsia="仿宋_GB2312"/>
          <w:sz w:val="32"/>
          <w:szCs w:val="32"/>
        </w:rPr>
        <w:t>产品名称、型号/规格应与综述资料的相应内容保持一致。</w:t>
      </w:r>
    </w:p>
    <w:p w14:paraId="3A8358CA">
      <w:pPr>
        <w:spacing w:line="520" w:lineRule="exact"/>
        <w:rPr>
          <w:rFonts w:eastAsia="仿宋_GB2312"/>
          <w:sz w:val="32"/>
          <w:szCs w:val="32"/>
        </w:rPr>
      </w:pPr>
      <w:r>
        <w:rPr>
          <w:rFonts w:hint="eastAsia" w:eastAsia="仿宋_GB2312"/>
          <w:sz w:val="32"/>
          <w:szCs w:val="32"/>
        </w:rPr>
        <w:t>明确软件的名称、型号规格（若适用）、发布版本、版本命名规则，软件模块（含医用中间件）若有单独的版本、版本命名规则均需说明。</w:t>
      </w:r>
    </w:p>
    <w:p w14:paraId="2104DB69">
      <w:pPr>
        <w:spacing w:line="520" w:lineRule="exact"/>
        <w:ind w:firstLine="640" w:firstLineChars="200"/>
        <w:rPr>
          <w:rFonts w:eastAsia="仿宋_GB2312"/>
          <w:sz w:val="32"/>
          <w:szCs w:val="32"/>
        </w:rPr>
      </w:pPr>
      <w:r>
        <w:rPr>
          <w:rFonts w:hint="eastAsia" w:eastAsia="仿宋_GB2312"/>
          <w:sz w:val="32"/>
          <w:szCs w:val="32"/>
          <w:lang w:val="en-US" w:eastAsia="zh-CN"/>
        </w:rPr>
        <w:t>3</w:t>
      </w:r>
      <w:r>
        <w:rPr>
          <w:rFonts w:eastAsia="仿宋_GB2312"/>
          <w:sz w:val="32"/>
          <w:szCs w:val="32"/>
        </w:rPr>
        <w:t>.1.2</w:t>
      </w:r>
      <w:r>
        <w:rPr>
          <w:rFonts w:hint="eastAsia" w:eastAsia="仿宋_GB2312"/>
          <w:sz w:val="32"/>
          <w:szCs w:val="32"/>
        </w:rPr>
        <w:t>性能指标、检验方法</w:t>
      </w:r>
    </w:p>
    <w:p w14:paraId="54E2AD18">
      <w:pPr>
        <w:spacing w:line="520" w:lineRule="exact"/>
        <w:ind w:firstLine="640" w:firstLineChars="200"/>
        <w:rPr>
          <w:rFonts w:hint="eastAsia" w:eastAsia="仿宋_GB2312"/>
          <w:sz w:val="32"/>
          <w:szCs w:val="32"/>
        </w:rPr>
      </w:pPr>
      <w:r>
        <w:rPr>
          <w:rFonts w:hint="eastAsia" w:eastAsia="仿宋_GB2312"/>
          <w:sz w:val="32"/>
          <w:szCs w:val="32"/>
        </w:rPr>
        <w:t>产品可参考YY</w:t>
      </w:r>
      <w:r>
        <w:rPr>
          <w:rFonts w:eastAsia="仿宋_GB2312"/>
          <w:sz w:val="32"/>
          <w:szCs w:val="32"/>
        </w:rPr>
        <w:t>/T</w:t>
      </w:r>
      <w:r>
        <w:rPr>
          <w:rFonts w:hint="eastAsia" w:eastAsia="仿宋_GB2312"/>
          <w:sz w:val="32"/>
          <w:szCs w:val="32"/>
        </w:rPr>
        <w:t xml:space="preserve"> 0588制定，如荧光检出限、荧光线性、前向角散射光检出限、仪器分辨率、前向角散射光和侧向角散射光分辨率、倍体分析线性</w:t>
      </w:r>
      <w:r>
        <w:rPr>
          <w:rFonts w:hint="eastAsia" w:eastAsia="仿宋_GB2312"/>
          <w:sz w:val="32"/>
          <w:szCs w:val="32"/>
          <w:lang w:val="en-US" w:eastAsia="zh-CN"/>
        </w:rPr>
        <w:t>(如适用)</w:t>
      </w:r>
      <w:r>
        <w:rPr>
          <w:rFonts w:hint="eastAsia" w:eastAsia="仿宋_GB2312"/>
          <w:sz w:val="32"/>
          <w:szCs w:val="32"/>
        </w:rPr>
        <w:t>、表面标志物检测准确性、表面标志物检测的重复性、携带污染率、仪器稳定性、外观。</w:t>
      </w:r>
    </w:p>
    <w:p w14:paraId="23B1209A">
      <w:pPr>
        <w:spacing w:line="52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3.1.3 激光源</w:t>
      </w:r>
    </w:p>
    <w:p w14:paraId="037011BF">
      <w:pPr>
        <w:spacing w:line="520" w:lineRule="exact"/>
        <w:ind w:firstLine="640" w:firstLineChars="200"/>
        <w:rPr>
          <w:rFonts w:hint="default" w:eastAsia="仿宋_GB2312"/>
          <w:sz w:val="32"/>
          <w:szCs w:val="32"/>
          <w:lang w:val="en-US" w:eastAsia="zh-CN"/>
        </w:rPr>
      </w:pPr>
      <w:r>
        <w:rPr>
          <w:rFonts w:hint="eastAsia" w:eastAsia="仿宋_GB2312"/>
          <w:sz w:val="32"/>
          <w:szCs w:val="32"/>
          <w:lang w:val="en-US" w:eastAsia="zh-CN"/>
        </w:rPr>
        <w:t>符合GB/T 7247.1的要求。</w:t>
      </w:r>
    </w:p>
    <w:p w14:paraId="1337FDBE">
      <w:pPr>
        <w:spacing w:line="520" w:lineRule="exact"/>
        <w:ind w:firstLine="640" w:firstLineChars="200"/>
        <w:rPr>
          <w:rFonts w:eastAsia="仿宋_GB2312"/>
          <w:sz w:val="32"/>
          <w:szCs w:val="32"/>
        </w:rPr>
      </w:pPr>
      <w:r>
        <w:rPr>
          <w:rFonts w:hint="eastAsia" w:eastAsia="仿宋_GB2312"/>
          <w:sz w:val="32"/>
          <w:szCs w:val="32"/>
          <w:lang w:val="en-US" w:eastAsia="zh-CN"/>
        </w:rPr>
        <w:t>3</w:t>
      </w:r>
      <w:r>
        <w:rPr>
          <w:rFonts w:eastAsia="仿宋_GB2312"/>
          <w:sz w:val="32"/>
          <w:szCs w:val="32"/>
        </w:rPr>
        <w:t>.1.</w:t>
      </w:r>
      <w:r>
        <w:rPr>
          <w:rFonts w:hint="eastAsia" w:eastAsia="仿宋_GB2312"/>
          <w:sz w:val="32"/>
          <w:szCs w:val="32"/>
          <w:lang w:val="en-US" w:eastAsia="zh-CN"/>
        </w:rPr>
        <w:t>4</w:t>
      </w:r>
      <w:r>
        <w:rPr>
          <w:rFonts w:hint="eastAsia" w:eastAsia="仿宋_GB2312"/>
          <w:sz w:val="32"/>
          <w:szCs w:val="32"/>
        </w:rPr>
        <w:t>电气安全要求</w:t>
      </w:r>
    </w:p>
    <w:p w14:paraId="627DD520">
      <w:pPr>
        <w:spacing w:line="520" w:lineRule="exact"/>
        <w:ind w:firstLine="640" w:firstLineChars="200"/>
        <w:rPr>
          <w:rFonts w:eastAsia="仿宋_GB2312"/>
          <w:sz w:val="32"/>
          <w:szCs w:val="32"/>
        </w:rPr>
      </w:pPr>
      <w:r>
        <w:rPr>
          <w:rFonts w:hint="eastAsia" w:eastAsia="仿宋_GB2312"/>
          <w:sz w:val="32"/>
          <w:szCs w:val="32"/>
        </w:rPr>
        <w:t>符合GB 4793、GB/T 42125.1、</w:t>
      </w:r>
      <w:r>
        <w:rPr>
          <w:rFonts w:eastAsia="仿宋_GB2312"/>
          <w:sz w:val="32"/>
          <w:szCs w:val="32"/>
        </w:rPr>
        <w:t xml:space="preserve">YY </w:t>
      </w:r>
      <w:r>
        <w:rPr>
          <w:rFonts w:hint="eastAsia" w:eastAsia="仿宋_GB2312"/>
          <w:sz w:val="32"/>
          <w:szCs w:val="32"/>
          <w:lang w:val="en-US" w:eastAsia="zh-CN"/>
        </w:rPr>
        <w:t xml:space="preserve">/T </w:t>
      </w:r>
      <w:r>
        <w:rPr>
          <w:rFonts w:eastAsia="仿宋_GB2312"/>
          <w:sz w:val="32"/>
          <w:szCs w:val="32"/>
        </w:rPr>
        <w:t>0648</w:t>
      </w:r>
      <w:r>
        <w:rPr>
          <w:rFonts w:hint="eastAsia" w:eastAsia="仿宋_GB2312"/>
          <w:sz w:val="32"/>
          <w:szCs w:val="32"/>
        </w:rPr>
        <w:t>的要求。</w:t>
      </w:r>
    </w:p>
    <w:p w14:paraId="00F30044">
      <w:pPr>
        <w:spacing w:line="500" w:lineRule="exact"/>
        <w:ind w:right="-67" w:rightChars="-32" w:firstLine="640" w:firstLineChars="200"/>
        <w:rPr>
          <w:rFonts w:eastAsia="仿宋_GB2312"/>
          <w:sz w:val="32"/>
          <w:szCs w:val="32"/>
        </w:rPr>
      </w:pPr>
      <w:r>
        <w:rPr>
          <w:rFonts w:hint="eastAsia" w:eastAsia="仿宋_GB2312"/>
          <w:sz w:val="32"/>
          <w:szCs w:val="32"/>
        </w:rPr>
        <w:t>若</w:t>
      </w:r>
      <w:r>
        <w:rPr>
          <w:rFonts w:eastAsia="仿宋_GB2312"/>
          <w:sz w:val="32"/>
          <w:szCs w:val="32"/>
        </w:rPr>
        <w:t>具有加热</w:t>
      </w:r>
      <w:r>
        <w:rPr>
          <w:rFonts w:hint="eastAsia" w:eastAsia="仿宋_GB2312"/>
          <w:sz w:val="32"/>
          <w:szCs w:val="32"/>
        </w:rPr>
        <w:t>模块</w:t>
      </w:r>
      <w:r>
        <w:rPr>
          <w:rFonts w:eastAsia="仿宋_GB2312"/>
          <w:sz w:val="32"/>
          <w:szCs w:val="32"/>
        </w:rPr>
        <w:t>，</w:t>
      </w:r>
      <w:r>
        <w:rPr>
          <w:rFonts w:hint="eastAsia" w:eastAsia="仿宋_GB2312"/>
          <w:sz w:val="32"/>
          <w:szCs w:val="32"/>
        </w:rPr>
        <w:t>还</w:t>
      </w:r>
      <w:r>
        <w:rPr>
          <w:rFonts w:eastAsia="仿宋_GB2312"/>
          <w:sz w:val="32"/>
          <w:szCs w:val="32"/>
        </w:rPr>
        <w:t>应符合</w:t>
      </w:r>
      <w:r>
        <w:rPr>
          <w:rFonts w:hint="eastAsia" w:eastAsia="仿宋_GB2312"/>
          <w:sz w:val="32"/>
          <w:szCs w:val="32"/>
        </w:rPr>
        <w:t>GB/T 42125.2的要求。</w:t>
      </w:r>
    </w:p>
    <w:p w14:paraId="47766591">
      <w:pPr>
        <w:spacing w:line="52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.1.</w:t>
      </w:r>
      <w:r>
        <w:rPr>
          <w:rFonts w:hint="eastAsia" w:eastAsia="仿宋_GB2312"/>
          <w:sz w:val="32"/>
          <w:szCs w:val="32"/>
          <w:lang w:val="en-US" w:eastAsia="zh-CN"/>
        </w:rPr>
        <w:t>5</w:t>
      </w:r>
      <w:r>
        <w:rPr>
          <w:rFonts w:hint="eastAsia" w:eastAsia="仿宋_GB2312"/>
          <w:sz w:val="32"/>
          <w:szCs w:val="32"/>
        </w:rPr>
        <w:t>电磁兼容要求</w:t>
      </w:r>
    </w:p>
    <w:p w14:paraId="07D335A6">
      <w:pPr>
        <w:spacing w:line="520" w:lineRule="exact"/>
        <w:ind w:firstLine="640" w:firstLineChars="200"/>
        <w:rPr>
          <w:rFonts w:eastAsia="仿宋_GB2312"/>
          <w:sz w:val="32"/>
          <w:szCs w:val="32"/>
        </w:rPr>
      </w:pPr>
      <w:r>
        <w:rPr>
          <w:rFonts w:hint="eastAsia" w:eastAsia="仿宋_GB2312"/>
          <w:sz w:val="32"/>
          <w:szCs w:val="32"/>
        </w:rPr>
        <w:t>符合GB/T 18268.1、GB/T 18268.26的要求。</w:t>
      </w:r>
    </w:p>
    <w:p w14:paraId="2B1C9207">
      <w:pPr>
        <w:spacing w:line="52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.1.</w:t>
      </w:r>
      <w:r>
        <w:rPr>
          <w:rFonts w:hint="eastAsia" w:eastAsia="仿宋_GB2312"/>
          <w:sz w:val="32"/>
          <w:szCs w:val="32"/>
          <w:lang w:val="en-US" w:eastAsia="zh-CN"/>
        </w:rPr>
        <w:t>6</w:t>
      </w:r>
      <w:r>
        <w:rPr>
          <w:rFonts w:hint="eastAsia" w:eastAsia="仿宋_GB2312"/>
          <w:sz w:val="32"/>
          <w:szCs w:val="32"/>
        </w:rPr>
        <w:t>软件功能要求</w:t>
      </w:r>
    </w:p>
    <w:p w14:paraId="3C794567">
      <w:pPr>
        <w:spacing w:line="500" w:lineRule="exact"/>
        <w:ind w:right="-67" w:rightChars="-32" w:firstLine="640" w:firstLineChars="200"/>
        <w:rPr>
          <w:rFonts w:eastAsia="仿宋_GB2312"/>
          <w:sz w:val="32"/>
          <w:szCs w:val="32"/>
        </w:rPr>
      </w:pPr>
      <w:bookmarkStart w:id="2" w:name="_Hlk53392964"/>
      <w:r>
        <w:rPr>
          <w:rFonts w:eastAsia="仿宋_GB2312"/>
          <w:sz w:val="32"/>
          <w:szCs w:val="32"/>
        </w:rPr>
        <w:t>软件组件的性能指标要求具体参照《医疗器械软件注册审查指导原则（2022年修订版）》</w:t>
      </w:r>
      <w:r>
        <w:rPr>
          <w:rFonts w:hint="eastAsia" w:eastAsia="仿宋_GB2312"/>
          <w:sz w:val="32"/>
          <w:szCs w:val="32"/>
        </w:rPr>
        <w:t>制定</w:t>
      </w:r>
      <w:r>
        <w:rPr>
          <w:rFonts w:eastAsia="仿宋_GB2312"/>
          <w:sz w:val="32"/>
          <w:szCs w:val="32"/>
        </w:rPr>
        <w:t>。</w:t>
      </w:r>
      <w:r>
        <w:rPr>
          <w:rFonts w:hint="eastAsia" w:eastAsia="仿宋_GB2312"/>
          <w:sz w:val="32"/>
          <w:szCs w:val="32"/>
        </w:rPr>
        <w:t>主要</w:t>
      </w:r>
      <w:r>
        <w:rPr>
          <w:rFonts w:eastAsia="仿宋_GB2312"/>
          <w:sz w:val="32"/>
          <w:szCs w:val="32"/>
        </w:rPr>
        <w:t>包括</w:t>
      </w:r>
      <w:r>
        <w:rPr>
          <w:rFonts w:hint="eastAsia" w:eastAsia="仿宋_GB2312"/>
          <w:sz w:val="32"/>
          <w:szCs w:val="32"/>
        </w:rPr>
        <w:t>软件的</w:t>
      </w:r>
      <w:r>
        <w:rPr>
          <w:rFonts w:eastAsia="仿宋_GB2312"/>
          <w:sz w:val="32"/>
          <w:szCs w:val="32"/>
        </w:rPr>
        <w:t>功能、使用限制、接口、访问控制、运行环境（若适用）、性能效率（若适用）等要求。</w:t>
      </w:r>
    </w:p>
    <w:p w14:paraId="2D94FA38">
      <w:pPr>
        <w:spacing w:line="500" w:lineRule="exact"/>
        <w:ind w:right="-67" w:rightChars="-32" w:firstLine="640" w:firstLineChars="200"/>
        <w:rPr>
          <w:rFonts w:hint="eastAsia" w:eastAsia="仿宋_GB2312"/>
          <w:sz w:val="32"/>
          <w:szCs w:val="32"/>
          <w:lang w:val="en-US" w:eastAsia="zh-CN"/>
        </w:rPr>
      </w:pPr>
      <w:r>
        <w:rPr>
          <w:rFonts w:hint="eastAsia" w:eastAsia="仿宋_GB2312"/>
          <w:sz w:val="32"/>
          <w:szCs w:val="32"/>
          <w:lang w:val="en-US" w:eastAsia="zh-CN"/>
        </w:rPr>
        <w:t>3.1.7其他</w:t>
      </w:r>
    </w:p>
    <w:p w14:paraId="24F0C79C">
      <w:pPr>
        <w:spacing w:line="500" w:lineRule="exact"/>
        <w:ind w:right="-67" w:rightChars="-32" w:firstLine="640" w:firstLineChars="200"/>
        <w:rPr>
          <w:rFonts w:hint="eastAsia" w:eastAsia="仿宋_GB2312"/>
          <w:sz w:val="32"/>
          <w:szCs w:val="32"/>
          <w:lang w:val="en-US" w:eastAsia="zh-CN"/>
        </w:rPr>
      </w:pPr>
      <w:r>
        <w:rPr>
          <w:rFonts w:hint="eastAsia" w:eastAsia="仿宋_GB2312"/>
          <w:sz w:val="32"/>
          <w:szCs w:val="32"/>
          <w:lang w:val="en-US" w:eastAsia="zh-CN"/>
        </w:rPr>
        <w:t>如果含有样本前处理功能，需制定相应要求。</w:t>
      </w:r>
    </w:p>
    <w:p w14:paraId="46C681CB">
      <w:pPr>
        <w:spacing w:line="500" w:lineRule="exact"/>
        <w:ind w:right="-67" w:rightChars="-32" w:firstLine="640" w:firstLineChars="200"/>
        <w:rPr>
          <w:rFonts w:hint="default" w:eastAsia="仿宋_GB2312"/>
          <w:sz w:val="32"/>
          <w:szCs w:val="32"/>
          <w:lang w:val="en-US" w:eastAsia="zh-CN"/>
        </w:rPr>
      </w:pPr>
    </w:p>
    <w:bookmarkEnd w:id="2"/>
    <w:p w14:paraId="3A2FE9FC">
      <w:pPr>
        <w:spacing w:line="52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.2检验报告</w:t>
      </w:r>
    </w:p>
    <w:p w14:paraId="3DCF5976">
      <w:pPr>
        <w:spacing w:line="52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.2.1检验报告可以是申请人出具的自检报告，也可以是委托有资质的医疗器械检验机构出具的检验报告。如提交自检报告，应符合《医疗器械注册自检管理规定》相关要求。</w:t>
      </w:r>
    </w:p>
    <w:p w14:paraId="313EB82F">
      <w:pPr>
        <w:spacing w:line="52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.2.2同一注册单元内所检验的产品应当能够代表本注册单元内其他产品的安全性和有效性。对同一注册单元内代表产品的选取应考虑产品适用范围、性能指标、安全指标、结构组成等，具体原则如下：</w:t>
      </w:r>
    </w:p>
    <w:p w14:paraId="66277AE6">
      <w:pPr>
        <w:spacing w:line="520" w:lineRule="exact"/>
        <w:ind w:firstLine="640" w:firstLineChars="200"/>
        <w:rPr>
          <w:rFonts w:hint="eastAsia" w:eastAsia="仿宋_GB2312"/>
          <w:sz w:val="32"/>
          <w:szCs w:val="32"/>
        </w:rPr>
      </w:pPr>
      <w:r>
        <w:rPr>
          <w:rFonts w:hint="eastAsia" w:eastAsia="仿宋_GB2312"/>
          <w:sz w:val="32"/>
          <w:szCs w:val="32"/>
          <w:lang w:val="en-US" w:eastAsia="zh-CN"/>
        </w:rPr>
        <w:t>3</w:t>
      </w:r>
      <w:r>
        <w:rPr>
          <w:rFonts w:hint="eastAsia" w:eastAsia="仿宋_GB2312"/>
          <w:sz w:val="32"/>
          <w:szCs w:val="32"/>
        </w:rPr>
        <w:t>.2.2.1覆盖应按照最不利的原则确定，不能覆盖的差异性应分别进行检测。</w:t>
      </w:r>
    </w:p>
    <w:p w14:paraId="7880BF1A">
      <w:pPr>
        <w:spacing w:line="52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.2.2.2若涉及关键元器件不一致，申请人则应当考虑安全关键元器件不一致对电气安全性能以及电磁兼容要求的影响。</w:t>
      </w:r>
    </w:p>
    <w:p w14:paraId="435ADF5D">
      <w:pPr>
        <w:widowControl/>
        <w:spacing w:line="520" w:lineRule="exact"/>
        <w:ind w:firstLine="640" w:firstLineChars="200"/>
        <w:rPr>
          <w:rFonts w:eastAsia="仿宋_GB2312"/>
          <w:sz w:val="32"/>
          <w:szCs w:val="32"/>
        </w:rPr>
      </w:pPr>
      <w:r>
        <w:rPr>
          <w:rFonts w:hint="eastAsia" w:eastAsia="仿宋_GB2312"/>
          <w:sz w:val="32"/>
          <w:szCs w:val="32"/>
          <w:lang w:val="en-US" w:eastAsia="zh-CN"/>
        </w:rPr>
        <w:t>3</w:t>
      </w:r>
      <w:r>
        <w:rPr>
          <w:rFonts w:hint="eastAsia" w:eastAsia="仿宋_GB2312"/>
          <w:sz w:val="32"/>
          <w:szCs w:val="32"/>
        </w:rPr>
        <w:t>.2.2.3当没有充足证据能够证明同一注册单元内不同型号规格产品之间电磁兼容性可以覆盖时，应选取每一型号规格产品进行电磁兼容项目检测。</w:t>
      </w:r>
    </w:p>
    <w:p w14:paraId="1D5A627E">
      <w:pPr>
        <w:widowControl/>
        <w:spacing w:line="520" w:lineRule="exact"/>
        <w:ind w:firstLine="640" w:firstLineChars="200"/>
        <w:rPr>
          <w:rFonts w:hint="eastAsia" w:eastAsia="仿宋_GB2312"/>
          <w:sz w:val="32"/>
          <w:szCs w:val="32"/>
          <w:lang w:eastAsia="zh-CN"/>
        </w:rPr>
      </w:pPr>
      <w:r>
        <w:rPr>
          <w:rFonts w:hint="eastAsia" w:eastAsia="仿宋_GB2312"/>
          <w:sz w:val="32"/>
          <w:szCs w:val="32"/>
        </w:rPr>
        <w:t>如激光器波长不同可导致光学系统差异较大，不能互相覆盖，建议分别检测</w:t>
      </w:r>
      <w:r>
        <w:rPr>
          <w:rFonts w:hint="eastAsia" w:eastAsia="仿宋_GB2312"/>
          <w:sz w:val="32"/>
          <w:szCs w:val="32"/>
          <w:lang w:eastAsia="zh-CN"/>
        </w:rPr>
        <w:t>。激光器相同荧光通道不同时，应选取荧光通道最全的产品进行检测。</w:t>
      </w:r>
    </w:p>
    <w:p w14:paraId="44449B7B">
      <w:pPr>
        <w:widowControl/>
        <w:spacing w:line="520" w:lineRule="exact"/>
        <w:ind w:firstLine="640" w:firstLineChars="200"/>
        <w:rPr>
          <w:rFonts w:eastAsia="仿宋_GB2312"/>
          <w:sz w:val="32"/>
          <w:szCs w:val="32"/>
        </w:rPr>
      </w:pPr>
      <w:r>
        <w:rPr>
          <w:rFonts w:hint="eastAsia" w:eastAsia="仿宋_GB2312"/>
          <w:sz w:val="32"/>
          <w:szCs w:val="32"/>
        </w:rPr>
        <w:t>对于代表产品的选择，申请人应当提供相关资料予以证明。</w:t>
      </w:r>
    </w:p>
    <w:p w14:paraId="42A91F08">
      <w:pPr>
        <w:widowControl/>
        <w:spacing w:line="520" w:lineRule="exact"/>
        <w:ind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.研究资料</w:t>
      </w:r>
    </w:p>
    <w:p w14:paraId="2B73C687">
      <w:pPr>
        <w:widowControl/>
        <w:spacing w:line="520" w:lineRule="exact"/>
        <w:ind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.1产品性能研究资料</w:t>
      </w:r>
    </w:p>
    <w:p w14:paraId="792EFC76">
      <w:pPr>
        <w:widowControl/>
        <w:spacing w:line="520" w:lineRule="exact"/>
        <w:ind w:firstLine="640" w:firstLineChars="200"/>
        <w:rPr>
          <w:rFonts w:hint="eastAsia" w:eastAsia="仿宋_GB2312"/>
          <w:sz w:val="32"/>
          <w:szCs w:val="32"/>
          <w:u w:val="single"/>
          <w:lang w:eastAsia="zh-CN"/>
        </w:rPr>
      </w:pPr>
      <w:r>
        <w:rPr>
          <w:rFonts w:hint="eastAsia" w:eastAsia="仿宋_GB2312"/>
          <w:sz w:val="32"/>
          <w:szCs w:val="32"/>
        </w:rPr>
        <w:t>申报产品各组成模块性能的研究资料：应根据综述资料中有关申报产品结构组成和各主要组成模块的情况，提供的研究资料，</w:t>
      </w:r>
      <w:r>
        <w:rPr>
          <w:rFonts w:eastAsia="仿宋_GB2312"/>
          <w:sz w:val="32"/>
          <w:szCs w:val="32"/>
        </w:rPr>
        <w:t>明确产品功能性指标的评价方式</w:t>
      </w:r>
      <w:r>
        <w:rPr>
          <w:rFonts w:hint="eastAsia" w:eastAsia="仿宋_GB2312"/>
          <w:sz w:val="32"/>
          <w:szCs w:val="32"/>
        </w:rPr>
        <w:t>。</w:t>
      </w:r>
    </w:p>
    <w:p w14:paraId="54701C6A">
      <w:pPr>
        <w:spacing w:line="500" w:lineRule="exact"/>
        <w:ind w:right="-67" w:rightChars="-32" w:firstLine="640" w:firstLineChars="200"/>
        <w:rPr>
          <w:rFonts w:hint="eastAsia" w:eastAsia="仿宋_GB2312"/>
          <w:sz w:val="32"/>
          <w:szCs w:val="32"/>
          <w:highlight w:val="none"/>
        </w:rPr>
      </w:pPr>
      <w:r>
        <w:rPr>
          <w:rFonts w:hint="eastAsia" w:eastAsia="仿宋_GB2312"/>
          <w:sz w:val="32"/>
          <w:szCs w:val="32"/>
        </w:rPr>
        <w:t>提供</w:t>
      </w:r>
      <w:r>
        <w:rPr>
          <w:rFonts w:hint="eastAsia" w:eastAsia="仿宋_GB2312"/>
          <w:sz w:val="32"/>
          <w:szCs w:val="32"/>
          <w:lang w:eastAsia="zh-CN"/>
        </w:rPr>
        <w:t>制定荧光检出限、仪器分辨率等指标</w:t>
      </w:r>
      <w:r>
        <w:rPr>
          <w:rFonts w:hint="eastAsia" w:eastAsia="仿宋_GB2312"/>
          <w:sz w:val="32"/>
          <w:szCs w:val="32"/>
          <w:lang w:val="en-US" w:eastAsia="zh-CN"/>
        </w:rPr>
        <w:t>制定</w:t>
      </w:r>
      <w:r>
        <w:rPr>
          <w:rFonts w:hint="eastAsia" w:eastAsia="仿宋_GB2312"/>
          <w:sz w:val="32"/>
          <w:szCs w:val="32"/>
          <w:lang w:eastAsia="zh-CN"/>
        </w:rPr>
        <w:t>的研究资料</w:t>
      </w:r>
      <w:r>
        <w:rPr>
          <w:rFonts w:hint="eastAsia"/>
          <w:lang w:eastAsia="zh-CN"/>
        </w:rPr>
        <w:t>，</w:t>
      </w:r>
      <w:r>
        <w:rPr>
          <w:rFonts w:hint="eastAsia" w:eastAsia="仿宋_GB2312"/>
          <w:sz w:val="32"/>
          <w:szCs w:val="32"/>
          <w:lang w:val="en-US" w:eastAsia="zh-CN"/>
        </w:rPr>
        <w:t>需覆盖产品所应用的激光器及荧光通道</w:t>
      </w:r>
      <w:r>
        <w:rPr>
          <w:rFonts w:hint="eastAsia" w:eastAsia="仿宋_GB2312"/>
          <w:sz w:val="32"/>
          <w:szCs w:val="32"/>
        </w:rPr>
        <w:t>。</w:t>
      </w:r>
    </w:p>
    <w:p w14:paraId="4E2DCF8A">
      <w:pPr>
        <w:spacing w:line="500" w:lineRule="exact"/>
        <w:ind w:right="-67" w:rightChars="-32"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.2临床项目分析性能的研究资料</w:t>
      </w:r>
    </w:p>
    <w:p w14:paraId="0CF79DEE">
      <w:pPr>
        <w:spacing w:line="520" w:lineRule="exact"/>
        <w:ind w:firstLine="640" w:firstLineChars="200"/>
        <w:rPr>
          <w:rFonts w:eastAsia="仿宋_GB2312"/>
          <w:sz w:val="32"/>
          <w:szCs w:val="32"/>
        </w:rPr>
      </w:pPr>
      <w:r>
        <w:rPr>
          <w:rFonts w:hint="eastAsia" w:eastAsia="仿宋_GB2312"/>
          <w:sz w:val="32"/>
          <w:szCs w:val="32"/>
        </w:rPr>
        <w:t>建议申请人综合考虑申报产品的适用范围、可检测临床样本类型和可检测的项目，选择检测项目最全的型号，对产品可检测的所有临床样本类型进行研究。研究资料应结合配套试剂，对主要性能进行系统性评估，</w:t>
      </w:r>
      <w:r>
        <w:rPr>
          <w:rFonts w:hint="eastAsia" w:eastAsia="仿宋_GB2312"/>
          <w:kern w:val="0"/>
          <w:sz w:val="32"/>
          <w:szCs w:val="32"/>
        </w:rPr>
        <w:t>可包含表面标志物检测准确性、表面标志物检测的重复性等。</w:t>
      </w:r>
    </w:p>
    <w:p w14:paraId="51B8F4FA">
      <w:pPr>
        <w:widowControl/>
        <w:spacing w:line="520" w:lineRule="exact"/>
        <w:ind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.3 环境试验</w:t>
      </w:r>
    </w:p>
    <w:p w14:paraId="48F209F8">
      <w:pPr>
        <w:spacing w:line="500" w:lineRule="exact"/>
        <w:ind w:right="-67" w:rightChars="-32" w:firstLine="640" w:firstLineChars="200"/>
        <w:rPr>
          <w:rFonts w:eastAsia="仿宋_GB2312"/>
          <w:sz w:val="32"/>
          <w:szCs w:val="32"/>
        </w:rPr>
      </w:pPr>
      <w:r>
        <w:rPr>
          <w:rFonts w:hint="eastAsia" w:eastAsia="仿宋_GB2312"/>
          <w:sz w:val="32"/>
          <w:szCs w:val="32"/>
        </w:rPr>
        <w:t>可参考GB/T 14710中气候环境</w:t>
      </w:r>
      <w:r>
        <w:rPr>
          <w:rFonts w:hint="eastAsia" w:ascii="仿宋_GB2312" w:hAnsi="仿宋_GB2312" w:eastAsia="仿宋_GB2312" w:cs="仿宋_GB2312"/>
          <w:sz w:val="32"/>
          <w:szCs w:val="32"/>
        </w:rPr>
        <w:t>I</w:t>
      </w:r>
      <w:r>
        <w:rPr>
          <w:rFonts w:hint="eastAsia" w:eastAsia="仿宋_GB2312"/>
          <w:sz w:val="32"/>
          <w:szCs w:val="32"/>
        </w:rPr>
        <w:t>组，机械环境</w:t>
      </w:r>
      <w:r>
        <w:rPr>
          <w:rFonts w:hint="eastAsia" w:ascii="仿宋_GB2312" w:hAnsi="仿宋_GB2312" w:eastAsia="仿宋_GB2312" w:cs="仿宋_GB2312"/>
          <w:sz w:val="32"/>
          <w:szCs w:val="32"/>
        </w:rPr>
        <w:t>I</w:t>
      </w:r>
      <w:r>
        <w:rPr>
          <w:rFonts w:hint="eastAsia" w:eastAsia="仿宋_GB2312"/>
          <w:sz w:val="32"/>
          <w:szCs w:val="32"/>
        </w:rPr>
        <w:t>的要求开展，也可采用其他适用的标准进行，主要包括气候环境条件、机械环境条件、运输条件等。申请人应对上述项目进行研究，并提交相应的研究报告。</w:t>
      </w:r>
    </w:p>
    <w:p w14:paraId="34FE63CC">
      <w:pPr>
        <w:spacing w:line="500" w:lineRule="exact"/>
        <w:ind w:right="-67" w:rightChars="-32" w:firstLine="640" w:firstLineChars="200"/>
        <w:rPr>
          <w:rFonts w:eastAsia="仿宋_GB2312"/>
          <w:sz w:val="32"/>
          <w:szCs w:val="32"/>
        </w:rPr>
      </w:pPr>
      <w:r>
        <w:rPr>
          <w:rFonts w:hint="eastAsia" w:eastAsia="仿宋_GB2312"/>
          <w:sz w:val="32"/>
          <w:szCs w:val="32"/>
        </w:rPr>
        <w:t>正常工作环境以产品标称为准，但需经相应环境试验验证。明确标识供电类型、电压。</w:t>
      </w:r>
    </w:p>
    <w:p w14:paraId="4A237B61">
      <w:pPr>
        <w:widowControl/>
        <w:spacing w:line="520" w:lineRule="exact"/>
        <w:ind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.4产品有效期和包装研究</w:t>
      </w:r>
    </w:p>
    <w:p w14:paraId="681ADA4B">
      <w:pPr>
        <w:widowControl/>
        <w:spacing w:line="520" w:lineRule="exact"/>
        <w:ind w:firstLine="640" w:firstLineChars="200"/>
        <w:rPr>
          <w:rFonts w:hint="eastAsia" w:eastAsia="仿宋_GB2312"/>
          <w:sz w:val="32"/>
          <w:szCs w:val="32"/>
        </w:rPr>
      </w:pPr>
      <w:r>
        <w:rPr>
          <w:rFonts w:hint="eastAsia" w:eastAsia="仿宋_GB2312"/>
          <w:sz w:val="32"/>
          <w:szCs w:val="32"/>
        </w:rPr>
        <w:t>应当提供产品有效期的验证报告，报告中应对申报产品中包含的易耗、易损、需定期更换或者具有固定使用寿命的主要元器件的情况进行描述。详述确定产品使用期限或者失效期的具体理由，给出产品使用期限或者产品失效期。具体参见《有源医疗器械使用期限注册技术审查指导原则》的相关要求。</w:t>
      </w:r>
    </w:p>
    <w:p w14:paraId="20CAC829">
      <w:pPr>
        <w:widowControl/>
        <w:spacing w:line="520" w:lineRule="exact"/>
        <w:ind w:firstLine="640" w:firstLineChars="200"/>
        <w:rPr>
          <w:rFonts w:eastAsia="仿宋_GB2312"/>
          <w:sz w:val="32"/>
          <w:szCs w:val="32"/>
        </w:rPr>
      </w:pPr>
      <w:r>
        <w:rPr>
          <w:rFonts w:hint="eastAsia" w:eastAsia="仿宋_GB2312"/>
          <w:sz w:val="32"/>
          <w:szCs w:val="32"/>
        </w:rPr>
        <w:t>包装及包装完整性：在宣称的有效期内以及运输储存条件下，保持包装完整性的依据。</w:t>
      </w:r>
    </w:p>
    <w:p w14:paraId="3E37AE18">
      <w:pPr>
        <w:widowControl/>
        <w:spacing w:line="520" w:lineRule="exact"/>
        <w:ind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.5软件研究</w:t>
      </w:r>
    </w:p>
    <w:p w14:paraId="105236B0">
      <w:pPr>
        <w:widowControl/>
        <w:spacing w:line="520" w:lineRule="exact"/>
        <w:ind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 xml:space="preserve">.5.1 软件 </w:t>
      </w:r>
    </w:p>
    <w:p w14:paraId="2208F9FD">
      <w:pPr>
        <w:widowControl/>
        <w:spacing w:line="520" w:lineRule="exact"/>
        <w:ind w:firstLine="640" w:firstLineChars="200"/>
        <w:rPr>
          <w:rFonts w:eastAsia="仿宋_GB2312"/>
          <w:sz w:val="32"/>
          <w:szCs w:val="32"/>
        </w:rPr>
      </w:pPr>
      <w:r>
        <w:rPr>
          <w:rFonts w:hint="eastAsia" w:eastAsia="仿宋_GB2312"/>
          <w:sz w:val="32"/>
          <w:szCs w:val="32"/>
        </w:rPr>
        <w:t>该产品通常含有内嵌</w:t>
      </w:r>
      <w:r>
        <w:rPr>
          <w:rFonts w:hint="eastAsia" w:eastAsia="仿宋_GB2312"/>
          <w:sz w:val="32"/>
          <w:szCs w:val="32"/>
          <w:lang w:eastAsia="zh-CN"/>
        </w:rPr>
        <w:t>型</w:t>
      </w:r>
      <w:r>
        <w:rPr>
          <w:rFonts w:hint="eastAsia" w:eastAsia="仿宋_GB2312"/>
          <w:sz w:val="32"/>
          <w:szCs w:val="32"/>
        </w:rPr>
        <w:t>软件和外控型软件。注册人应按照《医疗器械软件注册审查指导原则（2022年修订版）》要求提供软件研究资料、外部软件环境评估报告（若适用）以及GB/T 25000.51自测报告。内容包括基本信息、实现过程和核心算法等内容。软件的安全性级别需结合软件的预期用途、使用场景、核心功能综合判定，通常为中等级别。</w:t>
      </w:r>
    </w:p>
    <w:p w14:paraId="7D73B417">
      <w:pPr>
        <w:widowControl/>
        <w:spacing w:line="520" w:lineRule="exact"/>
        <w:ind w:firstLine="640" w:firstLineChars="200"/>
        <w:rPr>
          <w:rFonts w:hint="eastAsia" w:eastAsia="仿宋_GB2312"/>
          <w:sz w:val="32"/>
          <w:szCs w:val="32"/>
        </w:rPr>
      </w:pPr>
      <w:r>
        <w:rPr>
          <w:rFonts w:hint="eastAsia" w:eastAsia="仿宋_GB2312"/>
          <w:sz w:val="32"/>
          <w:szCs w:val="32"/>
        </w:rPr>
        <w:t>软件版本命名规则：明确软件完整版本全部字段的位数、范围、含义，若软件模块（含医用中间件）单独进行版本控制亦需提供其版本命名规则，并明确与软件版本命名规则的关系。软件和软件模块的版本命名规则均需与质量管理体系保持一致。</w:t>
      </w:r>
    </w:p>
    <w:p w14:paraId="087554BC">
      <w:pPr>
        <w:widowControl/>
        <w:spacing w:line="520" w:lineRule="exact"/>
        <w:ind w:firstLine="640" w:firstLineChars="200"/>
        <w:rPr>
          <w:rFonts w:hint="default" w:eastAsia="仿宋_GB2312"/>
          <w:sz w:val="32"/>
          <w:szCs w:val="32"/>
          <w:lang w:val="en-US" w:eastAsia="zh-CN"/>
        </w:rPr>
      </w:pPr>
      <w:r>
        <w:rPr>
          <w:rFonts w:hint="eastAsia" w:eastAsia="仿宋_GB2312"/>
          <w:sz w:val="32"/>
          <w:szCs w:val="32"/>
          <w:lang w:eastAsia="zh-CN"/>
        </w:rPr>
        <w:t>全光谱流式细胞仪需提供光谱解混拆分荧光信号算法的研究资料。</w:t>
      </w:r>
    </w:p>
    <w:p w14:paraId="0E34EF6B">
      <w:pPr>
        <w:widowControl/>
        <w:spacing w:line="520" w:lineRule="exact"/>
        <w:ind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.5.2 网络安全</w:t>
      </w:r>
    </w:p>
    <w:p w14:paraId="51C222FF">
      <w:pPr>
        <w:widowControl/>
        <w:spacing w:line="520" w:lineRule="exact"/>
        <w:ind w:firstLine="640" w:firstLineChars="200"/>
        <w:rPr>
          <w:rFonts w:eastAsia="仿宋_GB2312"/>
          <w:sz w:val="32"/>
          <w:szCs w:val="32"/>
          <w:highlight w:val="yellow"/>
        </w:rPr>
      </w:pPr>
      <w:r>
        <w:rPr>
          <w:rFonts w:hint="eastAsia" w:eastAsia="仿宋_GB2312"/>
          <w:sz w:val="32"/>
          <w:szCs w:val="32"/>
        </w:rPr>
        <w:t>若产品涉及电子数据交换（网络、U盘等）、远程访问与控制（实时、非实时）、用户访问（如医务人员、患者、维护人员等），建议按照《医疗器械网络安全注册审查指导原则（2022年修订版）》的要求，提供网络安全研究资料。</w:t>
      </w:r>
    </w:p>
    <w:p w14:paraId="36284379">
      <w:pPr>
        <w:widowControl/>
        <w:spacing w:line="520" w:lineRule="exact"/>
        <w:ind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.6清洁、消毒研究</w:t>
      </w:r>
    </w:p>
    <w:p w14:paraId="6E80D3B0">
      <w:pPr>
        <w:widowControl/>
        <w:spacing w:line="520" w:lineRule="exact"/>
        <w:ind w:firstLine="640" w:firstLineChars="200"/>
        <w:rPr>
          <w:rFonts w:eastAsia="仿宋_GB2312"/>
          <w:sz w:val="32"/>
          <w:szCs w:val="32"/>
        </w:rPr>
      </w:pPr>
      <w:r>
        <w:rPr>
          <w:rFonts w:hint="eastAsia" w:eastAsia="仿宋_GB2312"/>
          <w:sz w:val="32"/>
          <w:szCs w:val="32"/>
        </w:rPr>
        <w:t>应当明确推荐的清洁和消毒方法及确定依据，并提交验证的相关研究资料。</w:t>
      </w:r>
    </w:p>
    <w:p w14:paraId="05FABAF3">
      <w:pPr>
        <w:widowControl/>
        <w:spacing w:line="520" w:lineRule="exact"/>
        <w:ind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.7可用性研究</w:t>
      </w:r>
    </w:p>
    <w:p w14:paraId="1A930CD0">
      <w:pPr>
        <w:spacing w:line="520" w:lineRule="exact"/>
        <w:ind w:firstLine="640" w:firstLineChars="200"/>
        <w:rPr>
          <w:rFonts w:eastAsia="仿宋_GB2312"/>
          <w:sz w:val="32"/>
          <w:szCs w:val="32"/>
        </w:rPr>
      </w:pPr>
      <w:r>
        <w:rPr>
          <w:rFonts w:hint="eastAsia" w:eastAsia="仿宋_GB2312"/>
          <w:sz w:val="32"/>
          <w:szCs w:val="32"/>
        </w:rPr>
        <w:t>应参照《医疗器械可用性工程注册审查指导原则》要求，按照中、低使用风险医疗器械要求提交使用错误评估报告，包括基本信息、使用风险级别、核心要素、同类医疗器械上市后使用问题分析、使用风险管理、结论等内容。</w:t>
      </w:r>
    </w:p>
    <w:p w14:paraId="5FBCDA88">
      <w:pPr>
        <w:widowControl/>
        <w:spacing w:line="520" w:lineRule="exact"/>
        <w:ind w:firstLine="640" w:firstLineChars="200"/>
        <w:rPr>
          <w:rFonts w:eastAsia="仿宋_GB2312"/>
          <w:sz w:val="32"/>
          <w:szCs w:val="32"/>
        </w:rPr>
      </w:pPr>
      <w:r>
        <w:rPr>
          <w:rFonts w:hint="eastAsia" w:eastAsia="仿宋_GB2312"/>
          <w:sz w:val="32"/>
          <w:szCs w:val="32"/>
          <w:lang w:val="en-US" w:eastAsia="zh-CN"/>
        </w:rPr>
        <w:t>4</w:t>
      </w:r>
      <w:r>
        <w:rPr>
          <w:rFonts w:hint="eastAsia" w:eastAsia="仿宋_GB2312"/>
          <w:sz w:val="32"/>
          <w:szCs w:val="32"/>
        </w:rPr>
        <w:t>.8其他资料</w:t>
      </w:r>
    </w:p>
    <w:p w14:paraId="36B81B33">
      <w:pPr>
        <w:spacing w:line="520" w:lineRule="exact"/>
        <w:ind w:firstLine="640" w:firstLineChars="200"/>
        <w:rPr>
          <w:rFonts w:eastAsia="仿宋_GB2312"/>
          <w:sz w:val="32"/>
          <w:szCs w:val="32"/>
        </w:rPr>
      </w:pPr>
      <w:r>
        <w:rPr>
          <w:rFonts w:hint="eastAsia" w:eastAsia="仿宋_GB2312"/>
          <w:sz w:val="32"/>
          <w:szCs w:val="32"/>
        </w:rPr>
        <w:t>该产品（22-01-08）属于列入《免于临床评价医疗器械目录》（2025年）（以下简称《目录》），应按照《列入免于临床评价医疗器械目录产品对比说明技术指导原则》要求，提交申报产品与《目录》所述内容的对比资料，以及申报产品与《目录》中已获准境内注册医疗器械的对比说明资料。若有差异的，应提交差异部分对安全有效性影响的分析研究资料。证明申报产品与《目录》中产品具有基本等同性。</w:t>
      </w:r>
    </w:p>
    <w:p w14:paraId="5B41803C">
      <w:pPr>
        <w:spacing w:line="520" w:lineRule="exact"/>
        <w:ind w:firstLine="640" w:firstLineChars="200"/>
        <w:rPr>
          <w:rFonts w:eastAsia="楷体_GB2312"/>
          <w:sz w:val="32"/>
          <w:szCs w:val="32"/>
        </w:rPr>
      </w:pPr>
      <w:r>
        <w:rPr>
          <w:rFonts w:hint="eastAsia" w:eastAsia="楷体_GB2312"/>
          <w:sz w:val="32"/>
          <w:szCs w:val="32"/>
        </w:rPr>
        <w:t>（四）临床评价资料</w:t>
      </w:r>
    </w:p>
    <w:p w14:paraId="596BF9FA">
      <w:pPr>
        <w:spacing w:line="520" w:lineRule="exact"/>
        <w:ind w:firstLine="640" w:firstLineChars="200"/>
        <w:rPr>
          <w:rFonts w:eastAsia="仿宋_GB2312"/>
          <w:sz w:val="32"/>
          <w:szCs w:val="32"/>
        </w:rPr>
      </w:pPr>
      <w:r>
        <w:rPr>
          <w:rFonts w:hint="eastAsia" w:eastAsia="仿宋_GB2312"/>
          <w:sz w:val="32"/>
          <w:szCs w:val="32"/>
        </w:rPr>
        <w:t>该产品属于列入《免于</w:t>
      </w:r>
      <w:r>
        <w:rPr>
          <w:rFonts w:hint="eastAsia" w:eastAsia="仿宋_GB2312"/>
          <w:sz w:val="32"/>
          <w:szCs w:val="32"/>
          <w:lang w:val="en-US" w:eastAsia="zh-CN"/>
        </w:rPr>
        <w:t>进行</w:t>
      </w:r>
      <w:r>
        <w:rPr>
          <w:rFonts w:hint="eastAsia" w:eastAsia="仿宋_GB2312"/>
          <w:sz w:val="32"/>
          <w:szCs w:val="32"/>
        </w:rPr>
        <w:t>临床评价医疗器械目录》，若申报产品与《目录》中产品具有基本等同性，申请人无需提交临床评价资料。若无法证明具有基本等同性，应提供临床评价资料。</w:t>
      </w:r>
    </w:p>
    <w:p w14:paraId="36CBE7A1">
      <w:pPr>
        <w:spacing w:line="520" w:lineRule="exact"/>
        <w:ind w:firstLine="640" w:firstLineChars="200"/>
        <w:rPr>
          <w:rFonts w:eastAsia="楷体_GB2312"/>
          <w:sz w:val="32"/>
          <w:szCs w:val="32"/>
        </w:rPr>
      </w:pPr>
      <w:r>
        <w:rPr>
          <w:rFonts w:hint="eastAsia" w:eastAsia="楷体_GB2312"/>
          <w:sz w:val="32"/>
          <w:szCs w:val="32"/>
        </w:rPr>
        <w:t>（五）产品说明书和标签样稿</w:t>
      </w:r>
    </w:p>
    <w:p w14:paraId="6CD97EDF">
      <w:pPr>
        <w:spacing w:line="520" w:lineRule="exact"/>
        <w:ind w:firstLine="640" w:firstLineChars="200"/>
        <w:rPr>
          <w:rFonts w:eastAsia="仿宋_GB2312"/>
          <w:sz w:val="32"/>
          <w:szCs w:val="32"/>
        </w:rPr>
      </w:pPr>
      <w:r>
        <w:rPr>
          <w:rFonts w:hint="eastAsia" w:eastAsia="仿宋_GB2312"/>
          <w:sz w:val="32"/>
          <w:szCs w:val="32"/>
        </w:rPr>
        <w:t>产品的说明书、标签应当符合《医疗器械说明书和标签管理规定》</w:t>
      </w:r>
      <w:r>
        <w:rPr>
          <w:rFonts w:eastAsia="仿宋_GB2312"/>
          <w:kern w:val="0"/>
          <w:sz w:val="32"/>
          <w:szCs w:val="32"/>
        </w:rPr>
        <w:t>和YY/T 0466.1的相关要求</w:t>
      </w:r>
      <w:r>
        <w:rPr>
          <w:rFonts w:eastAsia="仿宋_GB2312"/>
          <w:sz w:val="32"/>
          <w:szCs w:val="32"/>
        </w:rPr>
        <w:t>。同时，</w:t>
      </w:r>
      <w:r>
        <w:rPr>
          <w:rFonts w:eastAsia="仿宋_GB2312"/>
          <w:kern w:val="0"/>
          <w:sz w:val="32"/>
          <w:szCs w:val="32"/>
        </w:rPr>
        <w:t>结合产品特点重点关注以下内容：</w:t>
      </w:r>
    </w:p>
    <w:p w14:paraId="06E14429">
      <w:pPr>
        <w:spacing w:line="520" w:lineRule="exact"/>
        <w:ind w:firstLine="640" w:firstLineChars="200"/>
        <w:rPr>
          <w:rFonts w:eastAsia="仿宋_GB2312"/>
          <w:sz w:val="32"/>
          <w:szCs w:val="32"/>
        </w:rPr>
      </w:pPr>
      <w:r>
        <w:rPr>
          <w:rFonts w:hint="eastAsia" w:eastAsia="仿宋_GB2312"/>
          <w:sz w:val="32"/>
          <w:szCs w:val="32"/>
        </w:rPr>
        <w:t>1.主要结构组成</w:t>
      </w:r>
    </w:p>
    <w:p w14:paraId="438D21EE">
      <w:pPr>
        <w:spacing w:line="520" w:lineRule="exact"/>
        <w:ind w:firstLine="640" w:firstLineChars="200"/>
        <w:rPr>
          <w:rFonts w:eastAsia="仿宋_GB2312"/>
          <w:sz w:val="32"/>
          <w:szCs w:val="32"/>
        </w:rPr>
      </w:pPr>
      <w:r>
        <w:rPr>
          <w:rFonts w:hint="eastAsia" w:eastAsia="仿宋_GB2312"/>
          <w:sz w:val="32"/>
          <w:szCs w:val="32"/>
        </w:rPr>
        <w:t>建议以实物照片/示意图加文字的形式对申报产品的整体结构进行描述，标明各主要模块的名称。</w:t>
      </w:r>
    </w:p>
    <w:p w14:paraId="54FF35E7">
      <w:pPr>
        <w:spacing w:line="520" w:lineRule="exact"/>
        <w:ind w:firstLine="640" w:firstLineChars="200"/>
        <w:rPr>
          <w:rFonts w:eastAsia="仿宋_GB2312"/>
          <w:sz w:val="32"/>
          <w:szCs w:val="32"/>
        </w:rPr>
      </w:pPr>
      <w:r>
        <w:rPr>
          <w:rFonts w:hint="eastAsia" w:eastAsia="仿宋_GB2312"/>
          <w:sz w:val="32"/>
          <w:szCs w:val="32"/>
        </w:rPr>
        <w:t>2.软件内容</w:t>
      </w:r>
    </w:p>
    <w:p w14:paraId="0F6BC57C">
      <w:pPr>
        <w:spacing w:line="520" w:lineRule="exact"/>
        <w:ind w:firstLine="640" w:firstLineChars="200"/>
        <w:rPr>
          <w:rFonts w:eastAsia="仿宋_GB2312"/>
          <w:sz w:val="32"/>
          <w:szCs w:val="32"/>
        </w:rPr>
      </w:pPr>
      <w:r>
        <w:rPr>
          <w:rFonts w:hint="eastAsia" w:eastAsia="仿宋_GB2312"/>
          <w:sz w:val="32"/>
          <w:szCs w:val="32"/>
        </w:rPr>
        <w:t>说明书需明确软件发布版本。体现软件的功能、必备软硬件、最大并发数、接口、运行环境（若适用）、性能效率（若适用）等信息。</w:t>
      </w:r>
    </w:p>
    <w:p w14:paraId="43EF5607">
      <w:pPr>
        <w:spacing w:line="520" w:lineRule="exact"/>
        <w:ind w:firstLine="640" w:firstLineChars="200"/>
        <w:rPr>
          <w:rFonts w:eastAsia="仿宋_GB2312"/>
          <w:sz w:val="32"/>
          <w:szCs w:val="32"/>
        </w:rPr>
      </w:pPr>
      <w:r>
        <w:rPr>
          <w:rFonts w:hint="eastAsia" w:eastAsia="仿宋_GB2312"/>
          <w:sz w:val="32"/>
          <w:szCs w:val="32"/>
        </w:rPr>
        <w:t>如产品涉及医疗器械网络安全，说明书应提供网络安全说明和使用指导，明确用户访问控制机制、电子接口及其数据类型和技术特征、网络安全特征配置、数据备份与灾难恢复、运行环境等要求。</w:t>
      </w:r>
    </w:p>
    <w:p w14:paraId="1B97F383">
      <w:pPr>
        <w:spacing w:line="520" w:lineRule="exact"/>
        <w:ind w:firstLine="640" w:firstLineChars="200"/>
        <w:rPr>
          <w:rFonts w:eastAsia="仿宋_GB2312"/>
          <w:sz w:val="32"/>
          <w:szCs w:val="32"/>
        </w:rPr>
      </w:pPr>
      <w:r>
        <w:rPr>
          <w:rFonts w:hint="eastAsia" w:eastAsia="仿宋_GB2312"/>
          <w:sz w:val="32"/>
          <w:szCs w:val="32"/>
        </w:rPr>
        <w:t>3.安装和使用说明或者图示</w:t>
      </w:r>
    </w:p>
    <w:p w14:paraId="2AED037D">
      <w:pPr>
        <w:spacing w:line="520" w:lineRule="exact"/>
        <w:ind w:firstLine="640" w:firstLineChars="200"/>
        <w:rPr>
          <w:rFonts w:eastAsia="仿宋_GB2312"/>
          <w:sz w:val="32"/>
          <w:szCs w:val="32"/>
        </w:rPr>
      </w:pPr>
      <w:r>
        <w:rPr>
          <w:rFonts w:hint="eastAsia" w:eastAsia="仿宋_GB2312"/>
          <w:sz w:val="32"/>
          <w:szCs w:val="32"/>
        </w:rPr>
        <w:t>建议包括：产品安装说明及技术图；产品正确安装所必须的环境条件及鉴别是否正确安装的技术信息；其他特殊安装要求等。</w:t>
      </w:r>
    </w:p>
    <w:p w14:paraId="33BB2EB9">
      <w:pPr>
        <w:spacing w:line="520" w:lineRule="exact"/>
        <w:ind w:firstLine="640" w:firstLineChars="200"/>
        <w:rPr>
          <w:rFonts w:eastAsia="仿宋_GB2312"/>
          <w:sz w:val="32"/>
          <w:szCs w:val="32"/>
        </w:rPr>
      </w:pPr>
      <w:r>
        <w:rPr>
          <w:rFonts w:hint="eastAsia" w:eastAsia="仿宋_GB2312"/>
          <w:sz w:val="32"/>
          <w:szCs w:val="32"/>
        </w:rPr>
        <w:t>建议以图示加文字的形式详细描述具体操作过程，包括样本处理、校准、质控、检测、维护、结果处理等步骤。</w:t>
      </w:r>
    </w:p>
    <w:p w14:paraId="51BE4060">
      <w:pPr>
        <w:spacing w:line="520" w:lineRule="exact"/>
        <w:ind w:firstLine="640" w:firstLineChars="200"/>
        <w:rPr>
          <w:rFonts w:eastAsia="仿宋_GB2312"/>
          <w:sz w:val="32"/>
          <w:szCs w:val="32"/>
        </w:rPr>
      </w:pPr>
      <w:r>
        <w:rPr>
          <w:rFonts w:hint="eastAsia" w:eastAsia="仿宋_GB2312"/>
          <w:sz w:val="32"/>
          <w:szCs w:val="32"/>
        </w:rPr>
        <w:t>4.维护和保养</w:t>
      </w:r>
    </w:p>
    <w:p w14:paraId="461EE5ED">
      <w:pPr>
        <w:spacing w:line="520" w:lineRule="exact"/>
        <w:ind w:firstLine="640" w:firstLineChars="200"/>
        <w:rPr>
          <w:rFonts w:eastAsia="仿宋_GB2312"/>
          <w:sz w:val="32"/>
          <w:szCs w:val="32"/>
        </w:rPr>
      </w:pPr>
      <w:r>
        <w:rPr>
          <w:rFonts w:hint="eastAsia" w:eastAsia="仿宋_GB2312"/>
          <w:sz w:val="32"/>
          <w:szCs w:val="32"/>
        </w:rPr>
        <w:t>4.1 明确维护保养措施，包括不同周期（如每日、每周、每月）维护项目和方法。重点零部件维护的周期和方法可详细描述。</w:t>
      </w:r>
    </w:p>
    <w:p w14:paraId="3251BB0D">
      <w:pPr>
        <w:spacing w:line="520" w:lineRule="exact"/>
        <w:ind w:firstLine="640" w:firstLineChars="200"/>
        <w:rPr>
          <w:rFonts w:eastAsia="仿宋_GB2312"/>
          <w:sz w:val="32"/>
          <w:szCs w:val="32"/>
        </w:rPr>
      </w:pPr>
      <w:r>
        <w:rPr>
          <w:rFonts w:hint="eastAsia" w:eastAsia="仿宋_GB2312"/>
          <w:sz w:val="32"/>
          <w:szCs w:val="32"/>
        </w:rPr>
        <w:t>4.2故障排除</w:t>
      </w:r>
    </w:p>
    <w:p w14:paraId="4694F168">
      <w:pPr>
        <w:spacing w:line="520" w:lineRule="exact"/>
        <w:ind w:firstLine="640" w:firstLineChars="200"/>
        <w:rPr>
          <w:rFonts w:eastAsia="仿宋_GB2312"/>
          <w:sz w:val="32"/>
          <w:szCs w:val="32"/>
        </w:rPr>
      </w:pPr>
      <w:r>
        <w:rPr>
          <w:rFonts w:hint="eastAsia" w:eastAsia="仿宋_GB2312"/>
          <w:sz w:val="32"/>
          <w:szCs w:val="32"/>
        </w:rPr>
        <w:t>建议以列表方式对申报产品正常使用过程中可能出现的可由使用者自行排除的故障进行详细描述，应当至少写明故障的表现、可能原因、建议的处理方式。</w:t>
      </w:r>
    </w:p>
    <w:p w14:paraId="6A364B6E">
      <w:pPr>
        <w:spacing w:line="520" w:lineRule="exact"/>
        <w:ind w:right="-67" w:rightChars="-32" w:firstLine="640" w:firstLineChars="200"/>
        <w:rPr>
          <w:rFonts w:eastAsia="仿宋_GB2312"/>
          <w:spacing w:val="-1"/>
          <w:sz w:val="32"/>
          <w:szCs w:val="32"/>
        </w:rPr>
      </w:pPr>
      <w:r>
        <w:rPr>
          <w:rFonts w:hint="eastAsia" w:eastAsia="仿宋_GB2312"/>
          <w:sz w:val="32"/>
          <w:szCs w:val="32"/>
        </w:rPr>
        <w:t>4</w:t>
      </w:r>
      <w:r>
        <w:rPr>
          <w:rFonts w:eastAsia="仿宋_GB2312"/>
          <w:spacing w:val="-1"/>
          <w:sz w:val="32"/>
          <w:szCs w:val="32"/>
        </w:rPr>
        <w:t>.3废弃物处理</w:t>
      </w:r>
    </w:p>
    <w:p w14:paraId="5ACBC028">
      <w:pPr>
        <w:spacing w:line="520" w:lineRule="exact"/>
        <w:ind w:right="-67" w:rightChars="-32" w:firstLine="636" w:firstLineChars="200"/>
      </w:pPr>
      <w:r>
        <w:rPr>
          <w:rFonts w:eastAsia="仿宋_GB2312"/>
          <w:spacing w:val="-1"/>
          <w:sz w:val="32"/>
          <w:szCs w:val="32"/>
        </w:rPr>
        <w:t>建议明确废弃物（例如废气、废液）的处理要求</w:t>
      </w:r>
      <w:r>
        <w:rPr>
          <w:rFonts w:hint="eastAsia" w:eastAsia="仿宋_GB2312"/>
          <w:spacing w:val="-1"/>
          <w:sz w:val="32"/>
          <w:szCs w:val="32"/>
        </w:rPr>
        <w:t>。</w:t>
      </w:r>
    </w:p>
    <w:p w14:paraId="27D76F1C">
      <w:pPr>
        <w:pStyle w:val="5"/>
        <w:ind w:firstLine="636" w:firstLineChars="200"/>
        <w:rPr>
          <w:rFonts w:hint="default" w:ascii="Times New Roman" w:hAnsi="Times New Roman" w:eastAsia="仿宋_GB2312"/>
          <w:spacing w:val="-1"/>
          <w:kern w:val="2"/>
          <w:sz w:val="32"/>
          <w:szCs w:val="32"/>
          <w:lang w:val="en-US" w:eastAsia="zh-CN"/>
        </w:rPr>
      </w:pPr>
      <w:r>
        <w:rPr>
          <w:rFonts w:hint="eastAsia" w:eastAsia="仿宋_GB2312"/>
          <w:spacing w:val="-1"/>
          <w:sz w:val="32"/>
          <w:szCs w:val="32"/>
          <w:lang w:val="en-US" w:eastAsia="zh-CN"/>
        </w:rPr>
        <w:t>5.试剂及质控物选择的要求。提示产</w:t>
      </w:r>
      <w:r>
        <w:rPr>
          <w:rFonts w:hint="default" w:eastAsia="仿宋_GB2312"/>
          <w:spacing w:val="-1"/>
          <w:sz w:val="32"/>
          <w:szCs w:val="32"/>
          <w:lang w:val="en-US" w:eastAsia="zh-CN"/>
        </w:rPr>
        <w:t>品可适用的</w:t>
      </w:r>
      <w:r>
        <w:rPr>
          <w:rFonts w:hint="default" w:eastAsia="仿宋_GB2312"/>
          <w:spacing w:val="-1"/>
          <w:sz w:val="32"/>
          <w:szCs w:val="32"/>
          <w:lang w:eastAsia="zh-CN"/>
        </w:rPr>
        <w:t>样本类型、细胞、生物颗粒类型</w:t>
      </w:r>
      <w:r>
        <w:rPr>
          <w:rFonts w:hint="eastAsia" w:eastAsia="仿宋_GB2312"/>
          <w:spacing w:val="-1"/>
          <w:sz w:val="32"/>
          <w:szCs w:val="32"/>
          <w:lang w:eastAsia="zh-CN"/>
        </w:rPr>
        <w:t>。</w:t>
      </w:r>
    </w:p>
    <w:p w14:paraId="4142EEA1">
      <w:pPr>
        <w:spacing w:line="520" w:lineRule="exact"/>
        <w:ind w:right="-67" w:rightChars="-32" w:firstLine="640" w:firstLineChars="200"/>
        <w:rPr>
          <w:rFonts w:eastAsia="楷体_GB2312"/>
          <w:sz w:val="32"/>
          <w:szCs w:val="32"/>
        </w:rPr>
      </w:pPr>
      <w:r>
        <w:rPr>
          <w:rFonts w:eastAsia="楷体_GB2312"/>
          <w:sz w:val="32"/>
          <w:szCs w:val="32"/>
        </w:rPr>
        <w:t>（六）质量管理体系文件</w:t>
      </w:r>
    </w:p>
    <w:p w14:paraId="4B7F8C6C">
      <w:pPr>
        <w:spacing w:line="520" w:lineRule="exact"/>
        <w:ind w:right="-67" w:rightChars="-32" w:firstLine="636" w:firstLineChars="200"/>
        <w:rPr>
          <w:rFonts w:eastAsia="仿宋_GB2312"/>
          <w:spacing w:val="-1"/>
          <w:sz w:val="32"/>
          <w:szCs w:val="32"/>
        </w:rPr>
      </w:pPr>
      <w:r>
        <w:rPr>
          <w:rFonts w:eastAsia="仿宋_GB2312"/>
          <w:spacing w:val="-1"/>
          <w:sz w:val="32"/>
          <w:szCs w:val="32"/>
        </w:rPr>
        <w:t>确保产品和质量管理体系符合性的具体要求。</w:t>
      </w:r>
    </w:p>
    <w:p w14:paraId="7E353D7D">
      <w:pPr>
        <w:spacing w:line="520" w:lineRule="exact"/>
        <w:ind w:right="-67" w:rightChars="-32" w:firstLine="636" w:firstLineChars="200"/>
        <w:rPr>
          <w:rFonts w:eastAsia="仿宋_GB2312"/>
          <w:spacing w:val="-1"/>
          <w:sz w:val="32"/>
          <w:szCs w:val="32"/>
        </w:rPr>
      </w:pPr>
      <w:r>
        <w:rPr>
          <w:rFonts w:eastAsia="仿宋_GB2312"/>
          <w:spacing w:val="-1"/>
          <w:sz w:val="32"/>
          <w:szCs w:val="32"/>
        </w:rPr>
        <w:t>1.产品生产制造相关要求</w:t>
      </w:r>
    </w:p>
    <w:p w14:paraId="429ADB75">
      <w:pPr>
        <w:spacing w:line="520" w:lineRule="exact"/>
        <w:ind w:right="-67" w:rightChars="-32" w:firstLine="636" w:firstLineChars="200"/>
        <w:rPr>
          <w:rFonts w:eastAsia="仿宋_GB2312"/>
          <w:spacing w:val="-1"/>
          <w:sz w:val="32"/>
          <w:szCs w:val="32"/>
        </w:rPr>
      </w:pPr>
      <w:r>
        <w:rPr>
          <w:rFonts w:eastAsia="仿宋_GB2312"/>
          <w:spacing w:val="-1"/>
          <w:sz w:val="32"/>
          <w:szCs w:val="32"/>
        </w:rPr>
        <w:t>1.1生产工艺过程及过程控制点</w:t>
      </w:r>
    </w:p>
    <w:p w14:paraId="22DDD75C">
      <w:pPr>
        <w:spacing w:line="520" w:lineRule="exact"/>
        <w:ind w:right="-67" w:rightChars="-32" w:firstLine="636" w:firstLineChars="200"/>
        <w:rPr>
          <w:rFonts w:eastAsia="仿宋_GB2312"/>
          <w:spacing w:val="-1"/>
          <w:sz w:val="32"/>
          <w:szCs w:val="32"/>
        </w:rPr>
      </w:pPr>
      <w:r>
        <w:rPr>
          <w:rFonts w:eastAsia="仿宋_GB2312"/>
          <w:spacing w:val="-1"/>
          <w:sz w:val="32"/>
          <w:szCs w:val="32"/>
        </w:rPr>
        <w:t>建议根据申报产品的实际情况，以流程图的形式对生产工艺过程进行详细描述，并根据流程图逐一描述其中的过程控制点。</w:t>
      </w:r>
    </w:p>
    <w:p w14:paraId="119A6803">
      <w:pPr>
        <w:spacing w:line="520" w:lineRule="exact"/>
        <w:ind w:right="-67" w:rightChars="-32" w:firstLine="636" w:firstLineChars="200"/>
        <w:rPr>
          <w:rFonts w:eastAsia="仿宋_GB2312"/>
          <w:spacing w:val="-1"/>
          <w:sz w:val="32"/>
          <w:szCs w:val="32"/>
        </w:rPr>
      </w:pPr>
      <w:r>
        <w:rPr>
          <w:rFonts w:eastAsia="仿宋_GB2312"/>
          <w:spacing w:val="-1"/>
          <w:sz w:val="32"/>
          <w:szCs w:val="32"/>
        </w:rPr>
        <w:t>1.2生产场地</w:t>
      </w:r>
    </w:p>
    <w:p w14:paraId="595FB2E8">
      <w:pPr>
        <w:spacing w:line="520" w:lineRule="exact"/>
        <w:ind w:right="-67" w:rightChars="-32" w:firstLine="636" w:firstLineChars="200"/>
        <w:rPr>
          <w:rFonts w:eastAsia="仿宋_GB2312"/>
          <w:sz w:val="32"/>
          <w:szCs w:val="32"/>
          <w:highlight w:val="yellow"/>
        </w:rPr>
      </w:pPr>
      <w:r>
        <w:rPr>
          <w:rFonts w:eastAsia="仿宋_GB2312"/>
          <w:spacing w:val="-1"/>
          <w:sz w:val="32"/>
          <w:szCs w:val="32"/>
        </w:rPr>
        <w:t>申请人应当对与申报产品有关的研制场地和生产场地情况进行概述。提交研发、生产、检验场地布局图。明确不同工序的完成地点。如申报产品具有多个研制、生产场地，则对每一研制、生产场地的情况均应进行概述。</w:t>
      </w:r>
    </w:p>
    <w:p w14:paraId="68058F71">
      <w:pPr>
        <w:numPr>
          <w:ilvl w:val="0"/>
          <w:numId w:val="1"/>
        </w:numPr>
        <w:spacing w:line="520" w:lineRule="exact"/>
        <w:ind w:firstLine="640" w:firstLineChars="200"/>
        <w:outlineLvl w:val="0"/>
        <w:rPr>
          <w:rFonts w:hint="eastAsia" w:ascii="黑体" w:hAnsi="黑体" w:eastAsia="黑体" w:cs="宋体"/>
          <w:kern w:val="0"/>
          <w:sz w:val="32"/>
          <w:szCs w:val="32"/>
        </w:rPr>
      </w:pPr>
      <w:r>
        <w:rPr>
          <w:rFonts w:hint="eastAsia" w:ascii="黑体" w:hAnsi="黑体" w:eastAsia="黑体" w:cs="宋体"/>
          <w:kern w:val="0"/>
          <w:sz w:val="32"/>
          <w:szCs w:val="32"/>
        </w:rPr>
        <w:t>参考文献</w:t>
      </w:r>
    </w:p>
    <w:p w14:paraId="0F23DD6B">
      <w:pPr>
        <w:spacing w:line="520" w:lineRule="exact"/>
        <w:ind w:right="-67" w:rightChars="-32" w:firstLine="640" w:firstLineChars="200"/>
        <w:rPr>
          <w:rFonts w:eastAsia="仿宋_GB2312"/>
          <w:sz w:val="32"/>
          <w:szCs w:val="32"/>
        </w:rPr>
      </w:pPr>
      <w:r>
        <w:rPr>
          <w:rFonts w:hint="eastAsia" w:eastAsia="仿宋_GB2312"/>
          <w:sz w:val="32"/>
          <w:szCs w:val="32"/>
        </w:rPr>
        <w:t>[1]国家食品药品监督管理局.医疗器械通用名称命名规则：国家食品药品监督管理总局令第19号[Z].</w:t>
      </w:r>
    </w:p>
    <w:p w14:paraId="0F6126E2">
      <w:pPr>
        <w:spacing w:line="520" w:lineRule="exact"/>
        <w:ind w:right="-67" w:rightChars="-32" w:firstLine="640" w:firstLineChars="200"/>
        <w:rPr>
          <w:rFonts w:eastAsia="仿宋_GB2312"/>
          <w:sz w:val="32"/>
          <w:szCs w:val="32"/>
        </w:rPr>
      </w:pPr>
      <w:r>
        <w:rPr>
          <w:rFonts w:hint="eastAsia" w:eastAsia="仿宋_GB2312"/>
          <w:sz w:val="32"/>
          <w:szCs w:val="32"/>
        </w:rPr>
        <w:t>[2]国家食品药品监督管理局.医疗器械注册单元划分指导原则:总局关于发布医疗器械注册单元划分指导原则的通告2017年第187号[Z].</w:t>
      </w:r>
    </w:p>
    <w:p w14:paraId="4CB13068">
      <w:pPr>
        <w:widowControl/>
        <w:spacing w:line="520" w:lineRule="exact"/>
        <w:ind w:firstLine="640" w:firstLineChars="200"/>
        <w:jc w:val="left"/>
        <w:rPr>
          <w:rFonts w:eastAsia="仿宋_GB2312"/>
          <w:sz w:val="32"/>
          <w:szCs w:val="32"/>
        </w:rPr>
      </w:pPr>
      <w:r>
        <w:rPr>
          <w:rFonts w:hint="eastAsia" w:eastAsia="仿宋_GB2312"/>
          <w:sz w:val="32"/>
          <w:szCs w:val="32"/>
        </w:rPr>
        <w:t>[3]</w:t>
      </w:r>
      <w:r>
        <w:rPr>
          <w:rFonts w:hint="eastAsia" w:eastAsia="仿宋_GB2312"/>
          <w:kern w:val="0"/>
          <w:sz w:val="32"/>
          <w:szCs w:val="32"/>
        </w:rPr>
        <w:t>国家药品监督管理局医疗器械审评中心</w:t>
      </w:r>
      <w:r>
        <w:rPr>
          <w:rFonts w:eastAsia="仿宋_GB2312"/>
          <w:sz w:val="32"/>
          <w:szCs w:val="32"/>
        </w:rPr>
        <w:t>.医疗器械网络安全注册审查指导原则（2022年修订版）</w:t>
      </w:r>
      <w:r>
        <w:rPr>
          <w:rFonts w:hint="eastAsia" w:eastAsia="仿宋_GB2312"/>
          <w:sz w:val="32"/>
          <w:szCs w:val="32"/>
        </w:rPr>
        <w:t>:</w:t>
      </w:r>
      <w:r>
        <w:rPr>
          <w:rFonts w:hint="eastAsia" w:eastAsia="仿宋_GB2312"/>
          <w:kern w:val="0"/>
          <w:sz w:val="32"/>
          <w:szCs w:val="32"/>
        </w:rPr>
        <w:t>国家药监局器审中心通告2022年第7号</w:t>
      </w:r>
      <w:r>
        <w:rPr>
          <w:rFonts w:eastAsia="仿宋_GB2312"/>
          <w:sz w:val="32"/>
          <w:szCs w:val="32"/>
        </w:rPr>
        <w:t>[Z].</w:t>
      </w:r>
    </w:p>
    <w:p w14:paraId="03C732E6">
      <w:pPr>
        <w:widowControl/>
        <w:spacing w:line="520" w:lineRule="exact"/>
        <w:ind w:firstLine="640" w:firstLineChars="200"/>
        <w:jc w:val="left"/>
        <w:rPr>
          <w:rFonts w:eastAsia="仿宋_GB2312"/>
          <w:sz w:val="32"/>
          <w:szCs w:val="32"/>
        </w:rPr>
      </w:pPr>
      <w:r>
        <w:rPr>
          <w:rFonts w:hint="eastAsia" w:eastAsia="仿宋_GB2312"/>
          <w:sz w:val="32"/>
          <w:szCs w:val="32"/>
        </w:rPr>
        <w:t>[4]</w:t>
      </w:r>
      <w:r>
        <w:rPr>
          <w:rFonts w:hint="eastAsia" w:eastAsia="仿宋_GB2312"/>
          <w:kern w:val="0"/>
          <w:sz w:val="32"/>
          <w:szCs w:val="32"/>
        </w:rPr>
        <w:t>国家药品监督管理局医疗器械审评中心.</w:t>
      </w:r>
      <w:r>
        <w:rPr>
          <w:rFonts w:eastAsia="仿宋_GB2312"/>
          <w:kern w:val="0"/>
          <w:sz w:val="32"/>
          <w:szCs w:val="32"/>
        </w:rPr>
        <w:t>医疗器械软件注册审查指导原则</w:t>
      </w:r>
      <w:r>
        <w:rPr>
          <w:rFonts w:hint="eastAsia" w:eastAsia="仿宋_GB2312"/>
          <w:kern w:val="0"/>
          <w:sz w:val="32"/>
          <w:szCs w:val="32"/>
        </w:rPr>
        <w:t>（2022年修订版）:国家药监局器审中心通告2022年第9号</w:t>
      </w:r>
      <w:r>
        <w:rPr>
          <w:rFonts w:eastAsia="仿宋_GB2312"/>
          <w:sz w:val="32"/>
          <w:szCs w:val="32"/>
        </w:rPr>
        <w:t>[Z].</w:t>
      </w:r>
    </w:p>
    <w:p w14:paraId="44569BF0">
      <w:pPr>
        <w:widowControl/>
        <w:spacing w:line="520" w:lineRule="exact"/>
        <w:ind w:firstLine="640" w:firstLineChars="200"/>
        <w:jc w:val="left"/>
        <w:rPr>
          <w:rFonts w:eastAsia="仿宋_GB2312"/>
          <w:sz w:val="32"/>
          <w:szCs w:val="32"/>
        </w:rPr>
      </w:pPr>
      <w:r>
        <w:rPr>
          <w:rFonts w:hint="eastAsia" w:eastAsia="仿宋_GB2312"/>
          <w:sz w:val="32"/>
          <w:szCs w:val="32"/>
        </w:rPr>
        <w:t>[5]GB4793-2024,测量、控制和实验室用电气设备安全技术规范[S].</w:t>
      </w:r>
    </w:p>
    <w:p w14:paraId="78FC5FF3">
      <w:pPr>
        <w:spacing w:line="520" w:lineRule="exact"/>
        <w:ind w:firstLine="640" w:firstLineChars="200"/>
        <w:rPr>
          <w:rFonts w:eastAsia="仿宋_GB2312"/>
          <w:sz w:val="32"/>
          <w:szCs w:val="32"/>
        </w:rPr>
      </w:pPr>
      <w:r>
        <w:rPr>
          <w:rFonts w:hint="eastAsia" w:eastAsia="仿宋_GB2312"/>
          <w:sz w:val="32"/>
          <w:szCs w:val="32"/>
        </w:rPr>
        <w:t>[6]GB/T 14710-2009,医用电器环境要求及试验方法[S].</w:t>
      </w:r>
    </w:p>
    <w:p w14:paraId="3ADD16BA">
      <w:pPr>
        <w:spacing w:line="520" w:lineRule="exact"/>
        <w:ind w:firstLine="640" w:firstLineChars="200"/>
        <w:rPr>
          <w:rFonts w:eastAsia="仿宋_GB2312"/>
          <w:sz w:val="32"/>
          <w:szCs w:val="32"/>
        </w:rPr>
      </w:pPr>
      <w:r>
        <w:rPr>
          <w:rFonts w:hint="eastAsia" w:eastAsia="仿宋_GB2312"/>
          <w:sz w:val="32"/>
          <w:szCs w:val="32"/>
        </w:rPr>
        <w:t>[7]GB/T 18268.1-2010,测量、控制和实验室用的电设备 电磁兼容性要求 第1部分：通用要求[S].</w:t>
      </w:r>
    </w:p>
    <w:p w14:paraId="031CC925">
      <w:pPr>
        <w:spacing w:line="520" w:lineRule="exact"/>
        <w:ind w:firstLine="640" w:firstLineChars="200"/>
        <w:rPr>
          <w:rFonts w:eastAsia="仿宋_GB2312"/>
          <w:sz w:val="32"/>
          <w:szCs w:val="32"/>
        </w:rPr>
      </w:pPr>
      <w:r>
        <w:rPr>
          <w:rFonts w:hint="eastAsia" w:eastAsia="仿宋_GB2312"/>
          <w:sz w:val="32"/>
          <w:szCs w:val="32"/>
        </w:rPr>
        <w:t>[8]GB/T 18268.1-2025,测量、控制和实验室用的电设备 电磁兼容性要求 第1部分：通用要求[S].</w:t>
      </w:r>
    </w:p>
    <w:p w14:paraId="28A6BE7A">
      <w:pPr>
        <w:spacing w:line="520" w:lineRule="exact"/>
        <w:ind w:firstLine="640" w:firstLineChars="200"/>
        <w:rPr>
          <w:rFonts w:eastAsia="仿宋_GB2312"/>
          <w:sz w:val="32"/>
          <w:szCs w:val="32"/>
        </w:rPr>
      </w:pPr>
      <w:r>
        <w:rPr>
          <w:rFonts w:hint="eastAsia" w:eastAsia="仿宋_GB2312"/>
          <w:sz w:val="32"/>
          <w:szCs w:val="32"/>
        </w:rPr>
        <w:t>[9]GB/T 18268.26-2010,测量、控制和实验室用的电设备 电磁兼容性要求 第26部分：特殊要求 体外诊断（IVD）医疗设备[S].</w:t>
      </w:r>
    </w:p>
    <w:p w14:paraId="6710B663">
      <w:pPr>
        <w:spacing w:line="520" w:lineRule="exact"/>
        <w:ind w:firstLine="640" w:firstLineChars="200"/>
        <w:rPr>
          <w:rFonts w:eastAsia="仿宋_GB2312"/>
          <w:sz w:val="32"/>
          <w:szCs w:val="32"/>
        </w:rPr>
      </w:pPr>
      <w:r>
        <w:rPr>
          <w:rFonts w:hint="eastAsia" w:eastAsia="仿宋_GB2312"/>
          <w:sz w:val="32"/>
          <w:szCs w:val="32"/>
        </w:rPr>
        <w:t>[1</w:t>
      </w:r>
      <w:r>
        <w:rPr>
          <w:rFonts w:hint="eastAsia" w:eastAsia="仿宋_GB2312"/>
          <w:sz w:val="32"/>
          <w:szCs w:val="32"/>
          <w:lang w:val="en-US" w:eastAsia="zh-CN"/>
        </w:rPr>
        <w:t>0</w:t>
      </w:r>
      <w:r>
        <w:rPr>
          <w:rFonts w:hint="eastAsia" w:eastAsia="仿宋_GB2312"/>
          <w:sz w:val="32"/>
          <w:szCs w:val="32"/>
        </w:rPr>
        <w:t>]GB/T 29791.3-2013,体外诊断医疗器械 制造商提供的信息（标示）第3部分：专业用体外诊断仪器[S].</w:t>
      </w:r>
    </w:p>
    <w:p w14:paraId="39BF4725">
      <w:pPr>
        <w:spacing w:line="520" w:lineRule="exact"/>
        <w:ind w:firstLine="640" w:firstLineChars="200"/>
        <w:rPr>
          <w:rFonts w:eastAsia="仿宋_GB2312"/>
          <w:sz w:val="32"/>
          <w:szCs w:val="32"/>
        </w:rPr>
      </w:pPr>
      <w:r>
        <w:rPr>
          <w:rFonts w:hint="eastAsia" w:eastAsia="仿宋_GB2312"/>
          <w:sz w:val="32"/>
          <w:szCs w:val="32"/>
        </w:rPr>
        <w:t>[1</w:t>
      </w:r>
      <w:r>
        <w:rPr>
          <w:rFonts w:hint="eastAsia" w:eastAsia="仿宋_GB2312"/>
          <w:sz w:val="32"/>
          <w:szCs w:val="32"/>
          <w:lang w:val="en-US" w:eastAsia="zh-CN"/>
        </w:rPr>
        <w:t>1</w:t>
      </w:r>
      <w:r>
        <w:rPr>
          <w:rFonts w:hint="eastAsia" w:eastAsia="仿宋_GB2312"/>
          <w:sz w:val="32"/>
          <w:szCs w:val="32"/>
        </w:rPr>
        <w:t>]GB/T 42125.1-2024,测量、控制和实验室用电气设备的安全要求 第1部分：通用要求[S].</w:t>
      </w:r>
    </w:p>
    <w:p w14:paraId="67D71B62">
      <w:pPr>
        <w:spacing w:line="500" w:lineRule="exact"/>
        <w:ind w:right="-67" w:rightChars="-32" w:firstLine="640" w:firstLineChars="200"/>
        <w:rPr>
          <w:rFonts w:eastAsia="仿宋_GB2312"/>
          <w:sz w:val="32"/>
          <w:szCs w:val="32"/>
        </w:rPr>
      </w:pPr>
      <w:r>
        <w:rPr>
          <w:rFonts w:hint="eastAsia" w:eastAsia="仿宋_GB2312"/>
          <w:sz w:val="32"/>
          <w:szCs w:val="32"/>
        </w:rPr>
        <w:t>[1</w:t>
      </w:r>
      <w:r>
        <w:rPr>
          <w:rFonts w:hint="eastAsia" w:eastAsia="仿宋_GB2312"/>
          <w:sz w:val="32"/>
          <w:szCs w:val="32"/>
          <w:lang w:val="en-US" w:eastAsia="zh-CN"/>
        </w:rPr>
        <w:t>2</w:t>
      </w:r>
      <w:r>
        <w:rPr>
          <w:rFonts w:hint="eastAsia" w:eastAsia="仿宋_GB2312"/>
          <w:sz w:val="32"/>
          <w:szCs w:val="32"/>
        </w:rPr>
        <w:t>]GB/T 42125.2 -2024,</w:t>
      </w:r>
      <w:r>
        <w:rPr>
          <w:rFonts w:eastAsia="仿宋_GB2312"/>
          <w:sz w:val="32"/>
          <w:szCs w:val="28"/>
        </w:rPr>
        <w:t>测量、控制和实验室用电气设备的安全要求 第</w:t>
      </w:r>
      <w:r>
        <w:rPr>
          <w:rFonts w:hint="eastAsia" w:eastAsia="仿宋_GB2312"/>
          <w:sz w:val="32"/>
          <w:szCs w:val="28"/>
        </w:rPr>
        <w:t>2</w:t>
      </w:r>
      <w:r>
        <w:rPr>
          <w:rFonts w:eastAsia="仿宋_GB2312"/>
          <w:sz w:val="32"/>
          <w:szCs w:val="28"/>
        </w:rPr>
        <w:t>部分：材料加热</w:t>
      </w:r>
      <w:r>
        <w:rPr>
          <w:rFonts w:hint="eastAsia" w:eastAsia="仿宋_GB2312"/>
          <w:sz w:val="32"/>
          <w:szCs w:val="28"/>
        </w:rPr>
        <w:t>用</w:t>
      </w:r>
      <w:r>
        <w:rPr>
          <w:rFonts w:eastAsia="仿宋_GB2312"/>
          <w:sz w:val="32"/>
          <w:szCs w:val="28"/>
        </w:rPr>
        <w:t>实验室设备的特殊要求[S].</w:t>
      </w:r>
    </w:p>
    <w:p w14:paraId="3697AB57">
      <w:pPr>
        <w:spacing w:line="520" w:lineRule="exact"/>
        <w:ind w:firstLine="640" w:firstLineChars="200"/>
        <w:rPr>
          <w:rFonts w:eastAsia="仿宋_GB2312"/>
          <w:sz w:val="32"/>
          <w:szCs w:val="32"/>
        </w:rPr>
      </w:pPr>
      <w:r>
        <w:rPr>
          <w:rFonts w:hint="eastAsia" w:eastAsia="仿宋_GB2312"/>
          <w:sz w:val="32"/>
          <w:szCs w:val="32"/>
        </w:rPr>
        <w:t>[1</w:t>
      </w:r>
      <w:r>
        <w:rPr>
          <w:rFonts w:hint="eastAsia" w:eastAsia="仿宋_GB2312"/>
          <w:sz w:val="32"/>
          <w:szCs w:val="32"/>
          <w:lang w:val="en-US" w:eastAsia="zh-CN"/>
        </w:rPr>
        <w:t>3</w:t>
      </w:r>
      <w:r>
        <w:rPr>
          <w:rFonts w:hint="eastAsia" w:eastAsia="仿宋_GB2312"/>
          <w:sz w:val="32"/>
          <w:szCs w:val="32"/>
        </w:rPr>
        <w:t>]GB/T 42062-2022,医疗器械风险管理对医疗器械的应用</w:t>
      </w:r>
      <w:r>
        <w:rPr>
          <w:rFonts w:eastAsia="仿宋_GB2312"/>
          <w:sz w:val="32"/>
          <w:szCs w:val="28"/>
        </w:rPr>
        <w:t>[S].</w:t>
      </w:r>
    </w:p>
    <w:p w14:paraId="3368DC86">
      <w:pPr>
        <w:spacing w:line="520" w:lineRule="exact"/>
        <w:ind w:firstLine="640" w:firstLineChars="200"/>
        <w:rPr>
          <w:rFonts w:eastAsia="仿宋_GB2312"/>
          <w:sz w:val="32"/>
          <w:szCs w:val="32"/>
        </w:rPr>
      </w:pPr>
      <w:r>
        <w:rPr>
          <w:rFonts w:hint="eastAsia" w:eastAsia="仿宋_GB2312"/>
          <w:sz w:val="32"/>
          <w:szCs w:val="32"/>
        </w:rPr>
        <w:t>[1</w:t>
      </w:r>
      <w:r>
        <w:rPr>
          <w:rFonts w:hint="eastAsia" w:eastAsia="仿宋_GB2312"/>
          <w:sz w:val="32"/>
          <w:szCs w:val="32"/>
          <w:lang w:val="en-US" w:eastAsia="zh-CN"/>
        </w:rPr>
        <w:t>4</w:t>
      </w:r>
      <w:r>
        <w:rPr>
          <w:rFonts w:hint="eastAsia" w:eastAsia="仿宋_GB2312"/>
          <w:sz w:val="32"/>
          <w:szCs w:val="32"/>
        </w:rPr>
        <w:t>]YY 0648-2025,测量、控制和实验室用电气设备的安全要求 第2-101部分：体外诊断（IVD）医用设备的专用要求[S].</w:t>
      </w:r>
    </w:p>
    <w:p w14:paraId="329072C7">
      <w:pPr>
        <w:widowControl/>
        <w:spacing w:line="520" w:lineRule="exact"/>
        <w:ind w:firstLine="640" w:firstLineChars="200"/>
        <w:jc w:val="left"/>
        <w:rPr>
          <w:rFonts w:eastAsia="仿宋_GB2312"/>
          <w:sz w:val="32"/>
          <w:szCs w:val="32"/>
        </w:rPr>
      </w:pPr>
      <w:r>
        <w:rPr>
          <w:rFonts w:hint="eastAsia" w:eastAsia="仿宋_GB2312"/>
          <w:sz w:val="32"/>
          <w:szCs w:val="32"/>
        </w:rPr>
        <w:t>[1</w:t>
      </w:r>
      <w:r>
        <w:rPr>
          <w:rFonts w:hint="eastAsia" w:eastAsia="仿宋_GB2312"/>
          <w:sz w:val="32"/>
          <w:szCs w:val="32"/>
          <w:lang w:val="en-US" w:eastAsia="zh-CN"/>
        </w:rPr>
        <w:t>5</w:t>
      </w:r>
      <w:r>
        <w:rPr>
          <w:rFonts w:hint="eastAsia" w:eastAsia="仿宋_GB2312"/>
          <w:sz w:val="32"/>
          <w:szCs w:val="32"/>
        </w:rPr>
        <w:t>]YY/T 1437-2023,医疗器械 GB/T 42062应用指南[S].</w:t>
      </w:r>
    </w:p>
    <w:p w14:paraId="57102625">
      <w:pPr>
        <w:spacing w:line="520" w:lineRule="exact"/>
        <w:ind w:firstLine="640" w:firstLineChars="200"/>
        <w:rPr>
          <w:rFonts w:hint="eastAsia" w:eastAsia="仿宋_GB2312"/>
          <w:sz w:val="32"/>
          <w:szCs w:val="32"/>
        </w:rPr>
      </w:pPr>
      <w:r>
        <w:rPr>
          <w:rFonts w:hint="eastAsia" w:eastAsia="仿宋_GB2312"/>
          <w:sz w:val="32"/>
          <w:szCs w:val="32"/>
        </w:rPr>
        <w:t>[</w:t>
      </w:r>
      <w:r>
        <w:rPr>
          <w:rFonts w:hint="eastAsia" w:eastAsia="仿宋_GB2312"/>
          <w:sz w:val="32"/>
          <w:szCs w:val="32"/>
          <w:lang w:val="en-US" w:eastAsia="zh-CN"/>
        </w:rPr>
        <w:t>16</w:t>
      </w:r>
      <w:r>
        <w:rPr>
          <w:rFonts w:hint="eastAsia" w:eastAsia="仿宋_GB2312"/>
          <w:sz w:val="32"/>
          <w:szCs w:val="32"/>
        </w:rPr>
        <w:t>]YY/T 0588-2017,流式细胞仪[S].</w:t>
      </w:r>
    </w:p>
    <w:p w14:paraId="491EB5EB">
      <w:pPr>
        <w:spacing w:line="520" w:lineRule="exact"/>
        <w:ind w:firstLine="640" w:firstLineChars="200"/>
        <w:rPr>
          <w:rFonts w:hint="eastAsia" w:eastAsia="仿宋_GB2312"/>
          <w:sz w:val="32"/>
          <w:szCs w:val="32"/>
        </w:rPr>
      </w:pPr>
      <w:r>
        <w:rPr>
          <w:rFonts w:hint="eastAsia" w:eastAsia="仿宋_GB2312"/>
          <w:sz w:val="32"/>
          <w:szCs w:val="32"/>
        </w:rPr>
        <w:t>[1</w:t>
      </w:r>
      <w:r>
        <w:rPr>
          <w:rFonts w:hint="eastAsia" w:eastAsia="仿宋_GB2312"/>
          <w:sz w:val="32"/>
          <w:szCs w:val="32"/>
          <w:lang w:val="en-US" w:eastAsia="zh-CN"/>
        </w:rPr>
        <w:t>7</w:t>
      </w:r>
      <w:r>
        <w:rPr>
          <w:rFonts w:hint="eastAsia" w:eastAsia="仿宋_GB2312"/>
          <w:sz w:val="32"/>
          <w:szCs w:val="32"/>
        </w:rPr>
        <w:t>]GB/T 7247.1-2024,激光产品的安全 第1部分：设备分类和要求[S].</w:t>
      </w:r>
    </w:p>
    <w:p w14:paraId="196B8755">
      <w:pPr>
        <w:spacing w:line="520" w:lineRule="exact"/>
        <w:ind w:firstLine="640" w:firstLineChars="200"/>
        <w:rPr>
          <w:rFonts w:hint="eastAsia" w:eastAsia="仿宋_GB2312"/>
          <w:sz w:val="32"/>
          <w:szCs w:val="32"/>
        </w:rPr>
      </w:pPr>
    </w:p>
    <w:sectPr>
      <w:footerReference r:id="rId3" w:type="default"/>
      <w:footerReference r:id="rId4" w:type="even"/>
      <w:pgSz w:w="11906" w:h="16838"/>
      <w:pgMar w:top="1440" w:right="1800" w:bottom="1440" w:left="1800" w:header="851" w:footer="992" w:gutter="0"/>
      <w:lnNumType w:countBy="1" w:restart="continuou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8A185B-F1B7-4F13-8940-B9AC0B1906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137469DD-6D93-4D07-AF19-52D9C7FC9ABF}"/>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S Shell Dlg">
    <w:altName w:val="Microsoft Sans Serif"/>
    <w:panose1 w:val="020B0604020202020204"/>
    <w:charset w:val="00"/>
    <w:family w:val="swiss"/>
    <w:pitch w:val="default"/>
    <w:sig w:usb0="00000000" w:usb1="00000000" w:usb2="00000029" w:usb3="00000000" w:csb0="000101FF" w:csb1="00000000"/>
  </w:font>
  <w:font w:name="Microsoft Sans Serif">
    <w:panose1 w:val="020B0604020202020204"/>
    <w:charset w:val="00"/>
    <w:family w:val="auto"/>
    <w:pitch w:val="default"/>
    <w:sig w:usb0="E5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3" w:fontKey="{C930E6B2-B727-4791-924A-E0F86153A4E8}"/>
  </w:font>
  <w:font w:name="楷体_GB2312">
    <w:altName w:val="楷体"/>
    <w:panose1 w:val="02010609030101010101"/>
    <w:charset w:val="86"/>
    <w:family w:val="modern"/>
    <w:pitch w:val="default"/>
    <w:sig w:usb0="00000000" w:usb1="00000000" w:usb2="00000000" w:usb3="00000000" w:csb0="00040000" w:csb1="00000000"/>
    <w:embedRegular r:id="rId4" w:fontKey="{A4E77CD2-C855-4F58-949F-4936465DA09F}"/>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5" w:fontKey="{915BB515-B79F-4560-88B6-3E56501D77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D6333">
    <w:pPr>
      <w:pStyle w:val="7"/>
    </w:pPr>
    <w:r>
      <mc:AlternateContent>
        <mc:Choice Requires="wps">
          <w:drawing>
            <wp:anchor distT="0" distB="0" distL="114300" distR="114300" simplePos="0" relativeHeight="251659264" behindDoc="0" locked="0" layoutInCell="1" allowOverlap="1">
              <wp:simplePos x="0" y="0"/>
              <wp:positionH relativeFrom="margin">
                <wp:posOffset>4744085</wp:posOffset>
              </wp:positionH>
              <wp:positionV relativeFrom="paragraph">
                <wp:posOffset>-147320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D670F3">
                          <w:pPr>
                            <w:pStyle w:val="7"/>
                            <w:jc w:val="both"/>
                            <w:rPr>
                              <w:sz w:val="28"/>
                              <w:szCs w:val="28"/>
                            </w:rPr>
                          </w:pPr>
                          <w:r>
                            <w:rPr>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left:373.55pt;margin-top:-11.6pt;height:144pt;width:144pt;mso-position-horizontal-relative:margin;mso-wrap-style:none;z-index:251659264;mso-width-relative:page;mso-height-relative:page;" filled="f" stroked="f" coordsize="21600,21600" o:gfxdata="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n/1nU2QAAAAwBAAAPAAAAAAAAAAEAIAAAACIAAABkcnMvZG93bnJldi54&#10;bWxQSwECFAAUAAAACACHTuJACdAenzICAABjBAAADgAAAAAAAAABACAAAAAoAQAAZHJzL2Uyb0Rv&#10;Yy54bWxQSwUGAAAAAAYABgBZAQAAzAUAAAAA&#10;">
              <v:fill on="f" focussize="0,0"/>
              <v:stroke on="f" weight="0.5pt"/>
              <v:imagedata o:title=""/>
              <o:lock v:ext="edit" aspectratio="f"/>
              <v:textbox inset="0mm,0mm,0mm,0mm" style="mso-fit-shape-to-text:t;">
                <w:txbxContent>
                  <w:p w14:paraId="37D670F3">
                    <w:pPr>
                      <w:pStyle w:val="7"/>
                      <w:jc w:val="both"/>
                      <w:rPr>
                        <w:sz w:val="28"/>
                        <w:szCs w:val="28"/>
                      </w:rPr>
                    </w:pPr>
                    <w:r>
                      <w:rPr>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rPr>
                      <w:t xml:space="preserve"> </w:t>
                    </w:r>
                    <w:r>
                      <w:rPr>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8BC21">
    <w:pPr>
      <w:pStyle w:val="7"/>
    </w:pPr>
    <w:r>
      <mc:AlternateContent>
        <mc:Choice Requires="wps">
          <w:drawing>
            <wp:anchor distT="0" distB="0" distL="114300" distR="114300" simplePos="0" relativeHeight="251660288" behindDoc="0" locked="0" layoutInCell="1" allowOverlap="1">
              <wp:simplePos x="0" y="0"/>
              <wp:positionH relativeFrom="margin">
                <wp:posOffset>17780</wp:posOffset>
              </wp:positionH>
              <wp:positionV relativeFrom="paragraph">
                <wp:posOffset>-138430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BD1A6">
                          <w:pPr>
                            <w:pStyle w:val="7"/>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2</w:t>
                          </w:r>
                          <w:r>
                            <w:rPr>
                              <w:sz w:val="28"/>
                            </w:rPr>
                            <w:fldChar w:fldCharType="end"/>
                          </w:r>
                          <w:r>
                            <w:rPr>
                              <w:sz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4pt;margin-top:-10.9pt;height:144pt;width:144pt;mso-position-horizontal-relative:margin;mso-wrap-style:none;z-index:251660288;mso-width-relative:page;mso-height-relative:page;" filled="f" stroked="f" coordsize="21600,21600" o:gfxdata="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gjiUHUAAAACQEAAA8AAAAAAAAAAQAgAAAAIgAAAGRycy9kb3ducmV2LnhtbFBLAQIUABQAAAAI&#10;AIdO4kAm1VpzKgIAAFUEAAAOAAAAAAAAAAEAIAAAACMBAABkcnMvZTJvRG9jLnhtbFBLBQYAAAAA&#10;BgAGAFkBAAC/BQAAAAA=&#10;">
              <v:fill on="f" focussize="0,0"/>
              <v:stroke on="f" weight="0.5pt"/>
              <v:imagedata o:title=""/>
              <o:lock v:ext="edit" aspectratio="f"/>
              <v:textbox inset="0mm,0mm,0mm,0mm" style="mso-fit-shape-to-text:t;">
                <w:txbxContent>
                  <w:p w14:paraId="2DDBD1A6">
                    <w:pPr>
                      <w:pStyle w:val="7"/>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2</w:t>
                    </w:r>
                    <w:r>
                      <w:rPr>
                        <w:sz w:val="28"/>
                      </w:rPr>
                      <w:fldChar w:fldCharType="end"/>
                    </w:r>
                    <w:r>
                      <w:rPr>
                        <w:sz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9E9C2"/>
    <w:multiLevelType w:val="singleLevel"/>
    <w:tmpl w:val="0209E9C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FkMmRkMDIxNGJjNDk3Mjk0ZjdkMDgwNjM0OTNhNmQifQ=="/>
  </w:docVars>
  <w:rsids>
    <w:rsidRoot w:val="00172A27"/>
    <w:rsid w:val="000563BF"/>
    <w:rsid w:val="00061B85"/>
    <w:rsid w:val="00083EB0"/>
    <w:rsid w:val="000D2E06"/>
    <w:rsid w:val="0013635E"/>
    <w:rsid w:val="00157007"/>
    <w:rsid w:val="00172A27"/>
    <w:rsid w:val="001A2E6C"/>
    <w:rsid w:val="002C3A71"/>
    <w:rsid w:val="00344A7E"/>
    <w:rsid w:val="003D4DFE"/>
    <w:rsid w:val="00427453"/>
    <w:rsid w:val="004451AC"/>
    <w:rsid w:val="005618F7"/>
    <w:rsid w:val="00644B2F"/>
    <w:rsid w:val="006551F5"/>
    <w:rsid w:val="00683433"/>
    <w:rsid w:val="006C06B2"/>
    <w:rsid w:val="006C7808"/>
    <w:rsid w:val="00717A9E"/>
    <w:rsid w:val="00782D30"/>
    <w:rsid w:val="00A5108E"/>
    <w:rsid w:val="00A90931"/>
    <w:rsid w:val="00AD6604"/>
    <w:rsid w:val="00AF6B98"/>
    <w:rsid w:val="00B100E1"/>
    <w:rsid w:val="00B93AB0"/>
    <w:rsid w:val="00BC525C"/>
    <w:rsid w:val="00C52EB9"/>
    <w:rsid w:val="00CC025F"/>
    <w:rsid w:val="00DA590C"/>
    <w:rsid w:val="00DB5D18"/>
    <w:rsid w:val="00E1565E"/>
    <w:rsid w:val="00E21AA3"/>
    <w:rsid w:val="00F005B8"/>
    <w:rsid w:val="00F662DA"/>
    <w:rsid w:val="00FF5EE0"/>
    <w:rsid w:val="01133A6D"/>
    <w:rsid w:val="01A9642C"/>
    <w:rsid w:val="029545F8"/>
    <w:rsid w:val="02B01DC9"/>
    <w:rsid w:val="03182880"/>
    <w:rsid w:val="032D558E"/>
    <w:rsid w:val="032E52AF"/>
    <w:rsid w:val="03563CB7"/>
    <w:rsid w:val="03C304C1"/>
    <w:rsid w:val="042B0494"/>
    <w:rsid w:val="04D81FFB"/>
    <w:rsid w:val="05BB2046"/>
    <w:rsid w:val="06274735"/>
    <w:rsid w:val="06770305"/>
    <w:rsid w:val="0692550B"/>
    <w:rsid w:val="06BF391E"/>
    <w:rsid w:val="07317DD4"/>
    <w:rsid w:val="0750431D"/>
    <w:rsid w:val="07FF62B6"/>
    <w:rsid w:val="08082213"/>
    <w:rsid w:val="087D3A94"/>
    <w:rsid w:val="093638EF"/>
    <w:rsid w:val="094572C6"/>
    <w:rsid w:val="097142E3"/>
    <w:rsid w:val="099A3BAB"/>
    <w:rsid w:val="099B0BB7"/>
    <w:rsid w:val="0A464404"/>
    <w:rsid w:val="0A5B5D65"/>
    <w:rsid w:val="0AA95014"/>
    <w:rsid w:val="0AB37262"/>
    <w:rsid w:val="0B0C7351"/>
    <w:rsid w:val="0C7A5A00"/>
    <w:rsid w:val="0DD17838"/>
    <w:rsid w:val="0EAB3B4F"/>
    <w:rsid w:val="10BB6314"/>
    <w:rsid w:val="10C30491"/>
    <w:rsid w:val="10FC159D"/>
    <w:rsid w:val="11576D6C"/>
    <w:rsid w:val="11E62704"/>
    <w:rsid w:val="12134044"/>
    <w:rsid w:val="12190AED"/>
    <w:rsid w:val="12501FC1"/>
    <w:rsid w:val="12FA79A0"/>
    <w:rsid w:val="130003A3"/>
    <w:rsid w:val="134A05C5"/>
    <w:rsid w:val="137671EA"/>
    <w:rsid w:val="13BEFAF5"/>
    <w:rsid w:val="13D5541A"/>
    <w:rsid w:val="13E470BD"/>
    <w:rsid w:val="149E0ABD"/>
    <w:rsid w:val="155B5CF0"/>
    <w:rsid w:val="157D4591"/>
    <w:rsid w:val="15B47E40"/>
    <w:rsid w:val="16265916"/>
    <w:rsid w:val="162A33A1"/>
    <w:rsid w:val="16CC56E2"/>
    <w:rsid w:val="170E28DF"/>
    <w:rsid w:val="175653EE"/>
    <w:rsid w:val="178561D8"/>
    <w:rsid w:val="189A0B8E"/>
    <w:rsid w:val="19906BF7"/>
    <w:rsid w:val="19CD20C3"/>
    <w:rsid w:val="1A4F0D39"/>
    <w:rsid w:val="1A7A3218"/>
    <w:rsid w:val="1AB27051"/>
    <w:rsid w:val="1B582F14"/>
    <w:rsid w:val="1BEA302F"/>
    <w:rsid w:val="1C006A5E"/>
    <w:rsid w:val="1C8271FE"/>
    <w:rsid w:val="1CD079CB"/>
    <w:rsid w:val="1CEE180D"/>
    <w:rsid w:val="1DFEAD70"/>
    <w:rsid w:val="1E7E0553"/>
    <w:rsid w:val="1EF87EC0"/>
    <w:rsid w:val="1EFF364D"/>
    <w:rsid w:val="1F2A48D3"/>
    <w:rsid w:val="1F5569B6"/>
    <w:rsid w:val="1F860C48"/>
    <w:rsid w:val="1FA12286"/>
    <w:rsid w:val="1FB55D33"/>
    <w:rsid w:val="1FD84ED8"/>
    <w:rsid w:val="20502399"/>
    <w:rsid w:val="207F3E99"/>
    <w:rsid w:val="20B53199"/>
    <w:rsid w:val="20BF3438"/>
    <w:rsid w:val="20C5300B"/>
    <w:rsid w:val="21141A15"/>
    <w:rsid w:val="212E3725"/>
    <w:rsid w:val="218A4FA3"/>
    <w:rsid w:val="22C745EF"/>
    <w:rsid w:val="232D1034"/>
    <w:rsid w:val="23C91E2B"/>
    <w:rsid w:val="24114E74"/>
    <w:rsid w:val="24251314"/>
    <w:rsid w:val="24456B66"/>
    <w:rsid w:val="25560B09"/>
    <w:rsid w:val="257944DA"/>
    <w:rsid w:val="25B84E27"/>
    <w:rsid w:val="27BE4A70"/>
    <w:rsid w:val="2834246E"/>
    <w:rsid w:val="289E4822"/>
    <w:rsid w:val="28B325C2"/>
    <w:rsid w:val="28B60792"/>
    <w:rsid w:val="29042692"/>
    <w:rsid w:val="29127FF0"/>
    <w:rsid w:val="29735E2B"/>
    <w:rsid w:val="297B5E58"/>
    <w:rsid w:val="29B337B7"/>
    <w:rsid w:val="2A223478"/>
    <w:rsid w:val="2A712CCF"/>
    <w:rsid w:val="2B5D1CC5"/>
    <w:rsid w:val="2BAE4C15"/>
    <w:rsid w:val="2BD51BCF"/>
    <w:rsid w:val="2C027C83"/>
    <w:rsid w:val="2D087779"/>
    <w:rsid w:val="2D653177"/>
    <w:rsid w:val="2DC80ECB"/>
    <w:rsid w:val="2DDE13E1"/>
    <w:rsid w:val="2E2E1A59"/>
    <w:rsid w:val="2E660CE6"/>
    <w:rsid w:val="2E984B00"/>
    <w:rsid w:val="2ECF07FE"/>
    <w:rsid w:val="2F0B154A"/>
    <w:rsid w:val="2F9E4874"/>
    <w:rsid w:val="30AE509C"/>
    <w:rsid w:val="30D90A74"/>
    <w:rsid w:val="30EA0021"/>
    <w:rsid w:val="31305022"/>
    <w:rsid w:val="31D63BF5"/>
    <w:rsid w:val="31F406E5"/>
    <w:rsid w:val="326F2008"/>
    <w:rsid w:val="331D04E9"/>
    <w:rsid w:val="33247E1B"/>
    <w:rsid w:val="3361783A"/>
    <w:rsid w:val="34DF2FE2"/>
    <w:rsid w:val="34E31499"/>
    <w:rsid w:val="3604726A"/>
    <w:rsid w:val="36B22321"/>
    <w:rsid w:val="36D7B548"/>
    <w:rsid w:val="36DF3D81"/>
    <w:rsid w:val="37F43F4B"/>
    <w:rsid w:val="380934FE"/>
    <w:rsid w:val="38114FF5"/>
    <w:rsid w:val="38376196"/>
    <w:rsid w:val="38487C52"/>
    <w:rsid w:val="38A47E95"/>
    <w:rsid w:val="38EE00C2"/>
    <w:rsid w:val="39567B61"/>
    <w:rsid w:val="3A233369"/>
    <w:rsid w:val="3A313C9C"/>
    <w:rsid w:val="3ADE7A57"/>
    <w:rsid w:val="3B210E1A"/>
    <w:rsid w:val="3C80504B"/>
    <w:rsid w:val="3CAA3D26"/>
    <w:rsid w:val="3D4B71DE"/>
    <w:rsid w:val="3D8A04D4"/>
    <w:rsid w:val="3DBFCD20"/>
    <w:rsid w:val="3E8221F2"/>
    <w:rsid w:val="3F3261C1"/>
    <w:rsid w:val="3F9C1C88"/>
    <w:rsid w:val="3FE07467"/>
    <w:rsid w:val="40064CF5"/>
    <w:rsid w:val="40286C11"/>
    <w:rsid w:val="41CD7519"/>
    <w:rsid w:val="41CD7611"/>
    <w:rsid w:val="41CE7291"/>
    <w:rsid w:val="421F7A8A"/>
    <w:rsid w:val="428B4DBA"/>
    <w:rsid w:val="42B71375"/>
    <w:rsid w:val="433626A0"/>
    <w:rsid w:val="436D7037"/>
    <w:rsid w:val="43B30A91"/>
    <w:rsid w:val="43BA5826"/>
    <w:rsid w:val="44B2112B"/>
    <w:rsid w:val="45CD0EAF"/>
    <w:rsid w:val="45DF0A5E"/>
    <w:rsid w:val="467E15FE"/>
    <w:rsid w:val="474A2997"/>
    <w:rsid w:val="475C7905"/>
    <w:rsid w:val="479D5892"/>
    <w:rsid w:val="483423EE"/>
    <w:rsid w:val="49247038"/>
    <w:rsid w:val="49C709B8"/>
    <w:rsid w:val="49D22077"/>
    <w:rsid w:val="49E362DE"/>
    <w:rsid w:val="4A2E7E5F"/>
    <w:rsid w:val="4A593D89"/>
    <w:rsid w:val="4A9C4D07"/>
    <w:rsid w:val="4AC655A5"/>
    <w:rsid w:val="4B2C179B"/>
    <w:rsid w:val="4B6252AD"/>
    <w:rsid w:val="4B850F14"/>
    <w:rsid w:val="4B9B39C9"/>
    <w:rsid w:val="4D626CD3"/>
    <w:rsid w:val="4E2B7616"/>
    <w:rsid w:val="4F0030C3"/>
    <w:rsid w:val="4F597447"/>
    <w:rsid w:val="4F8519B6"/>
    <w:rsid w:val="4FFFB3A3"/>
    <w:rsid w:val="50AE307B"/>
    <w:rsid w:val="50F34E56"/>
    <w:rsid w:val="512C5E58"/>
    <w:rsid w:val="516A4F10"/>
    <w:rsid w:val="52713519"/>
    <w:rsid w:val="52D63C2A"/>
    <w:rsid w:val="52E5670A"/>
    <w:rsid w:val="537B6FBF"/>
    <w:rsid w:val="53E45555"/>
    <w:rsid w:val="53F156CB"/>
    <w:rsid w:val="545D5AF4"/>
    <w:rsid w:val="558739F7"/>
    <w:rsid w:val="56221971"/>
    <w:rsid w:val="568F740C"/>
    <w:rsid w:val="57B10458"/>
    <w:rsid w:val="57B50500"/>
    <w:rsid w:val="57EFE0D7"/>
    <w:rsid w:val="582213DA"/>
    <w:rsid w:val="584E3BB6"/>
    <w:rsid w:val="58813124"/>
    <w:rsid w:val="58BA0D1E"/>
    <w:rsid w:val="58FDF0B8"/>
    <w:rsid w:val="5910293B"/>
    <w:rsid w:val="593849E5"/>
    <w:rsid w:val="5954396A"/>
    <w:rsid w:val="5A1F4A2E"/>
    <w:rsid w:val="5A664B95"/>
    <w:rsid w:val="5A722A22"/>
    <w:rsid w:val="5A8042EB"/>
    <w:rsid w:val="5C181C0A"/>
    <w:rsid w:val="5C1B3A68"/>
    <w:rsid w:val="5D87DF68"/>
    <w:rsid w:val="5E0D6504"/>
    <w:rsid w:val="5EAE3F29"/>
    <w:rsid w:val="5F803037"/>
    <w:rsid w:val="5FB9F0A4"/>
    <w:rsid w:val="601143AB"/>
    <w:rsid w:val="60905D0F"/>
    <w:rsid w:val="620F32DB"/>
    <w:rsid w:val="62411979"/>
    <w:rsid w:val="625A1E99"/>
    <w:rsid w:val="625D612C"/>
    <w:rsid w:val="635109F3"/>
    <w:rsid w:val="63C40900"/>
    <w:rsid w:val="64144421"/>
    <w:rsid w:val="654C019C"/>
    <w:rsid w:val="65752381"/>
    <w:rsid w:val="65A87931"/>
    <w:rsid w:val="660D63BF"/>
    <w:rsid w:val="66EE2404"/>
    <w:rsid w:val="67992086"/>
    <w:rsid w:val="67C57BBD"/>
    <w:rsid w:val="67D6315B"/>
    <w:rsid w:val="6849389F"/>
    <w:rsid w:val="68A44835"/>
    <w:rsid w:val="6A581943"/>
    <w:rsid w:val="6ABD6E33"/>
    <w:rsid w:val="6B0E4B18"/>
    <w:rsid w:val="6B4D4E58"/>
    <w:rsid w:val="6B7E4F8C"/>
    <w:rsid w:val="6BC24B3F"/>
    <w:rsid w:val="6C20459D"/>
    <w:rsid w:val="6C752743"/>
    <w:rsid w:val="6C870F80"/>
    <w:rsid w:val="6CBC4BF1"/>
    <w:rsid w:val="6CC763B5"/>
    <w:rsid w:val="6DF7519C"/>
    <w:rsid w:val="6E874B23"/>
    <w:rsid w:val="6ED54A4E"/>
    <w:rsid w:val="6F942AF0"/>
    <w:rsid w:val="6FD477E6"/>
    <w:rsid w:val="6FEA2D76"/>
    <w:rsid w:val="71033854"/>
    <w:rsid w:val="710C156E"/>
    <w:rsid w:val="714203A7"/>
    <w:rsid w:val="71760147"/>
    <w:rsid w:val="722E1F85"/>
    <w:rsid w:val="7293633A"/>
    <w:rsid w:val="733428CA"/>
    <w:rsid w:val="73647B8E"/>
    <w:rsid w:val="73BB4964"/>
    <w:rsid w:val="73DD6EEF"/>
    <w:rsid w:val="73E3171A"/>
    <w:rsid w:val="76167B19"/>
    <w:rsid w:val="76BA4D2F"/>
    <w:rsid w:val="76C328E9"/>
    <w:rsid w:val="76C5132C"/>
    <w:rsid w:val="76EF53A4"/>
    <w:rsid w:val="77155BB9"/>
    <w:rsid w:val="7857009D"/>
    <w:rsid w:val="797ED321"/>
    <w:rsid w:val="7A9777AD"/>
    <w:rsid w:val="7BAC4AE8"/>
    <w:rsid w:val="7BBF3E3A"/>
    <w:rsid w:val="7BC25A96"/>
    <w:rsid w:val="7C0429FA"/>
    <w:rsid w:val="7C1E4012"/>
    <w:rsid w:val="7C5B6662"/>
    <w:rsid w:val="7D4F3494"/>
    <w:rsid w:val="7D9FC2E8"/>
    <w:rsid w:val="7DE87BBA"/>
    <w:rsid w:val="7E4F4F05"/>
    <w:rsid w:val="7E55418D"/>
    <w:rsid w:val="7EAFD9B7"/>
    <w:rsid w:val="7EF9A36C"/>
    <w:rsid w:val="7F3B7BC2"/>
    <w:rsid w:val="7F6B032C"/>
    <w:rsid w:val="7FABE92D"/>
    <w:rsid w:val="8DF9904A"/>
    <w:rsid w:val="AD2F6D4B"/>
    <w:rsid w:val="B57FD8D9"/>
    <w:rsid w:val="B7F7FAA5"/>
    <w:rsid w:val="B9AF1434"/>
    <w:rsid w:val="BEFB5F8D"/>
    <w:rsid w:val="BF5D0534"/>
    <w:rsid w:val="BFF33858"/>
    <w:rsid w:val="CFFDC778"/>
    <w:rsid w:val="D73BFFA9"/>
    <w:rsid w:val="DD632E65"/>
    <w:rsid w:val="E7F707BD"/>
    <w:rsid w:val="E7FDA4ED"/>
    <w:rsid w:val="E9FFE592"/>
    <w:rsid w:val="EB3F664C"/>
    <w:rsid w:val="EBFB44A6"/>
    <w:rsid w:val="ED5F5C5F"/>
    <w:rsid w:val="EDFF6341"/>
    <w:rsid w:val="FACED465"/>
    <w:rsid w:val="FB6446DB"/>
    <w:rsid w:val="FDAD6BE5"/>
    <w:rsid w:val="FE7E645A"/>
    <w:rsid w:val="FEDAD130"/>
    <w:rsid w:val="FEEF24AA"/>
    <w:rsid w:val="FF6FF977"/>
    <w:rsid w:val="FF9F8988"/>
    <w:rsid w:val="FFEDA272"/>
    <w:rsid w:val="FFF79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link w:val="2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qFormat/>
    <w:uiPriority w:val="9"/>
    <w:pPr>
      <w:spacing w:beforeAutospacing="1" w:afterAutospacing="1"/>
      <w:jc w:val="left"/>
      <w:outlineLvl w:val="2"/>
    </w:pPr>
    <w:rPr>
      <w:rFonts w:hint="eastAsia" w:ascii="宋体" w:hAnsi="宋体"/>
      <w:b/>
      <w:bCs/>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3"/>
    <w:unhideWhenUsed/>
    <w:qFormat/>
    <w:uiPriority w:val="99"/>
    <w:pPr>
      <w:jc w:val="left"/>
    </w:pPr>
  </w:style>
  <w:style w:type="paragraph" w:styleId="6">
    <w:name w:val="Balloon Text"/>
    <w:basedOn w:val="1"/>
    <w:link w:val="24"/>
    <w:unhideWhenUsed/>
    <w:qFormat/>
    <w:uiPriority w:val="99"/>
    <w:rPr>
      <w:sz w:val="18"/>
      <w:szCs w:val="18"/>
    </w:rPr>
  </w:style>
  <w:style w:type="paragraph" w:styleId="7">
    <w:name w:val="footer"/>
    <w:basedOn w:val="1"/>
    <w:link w:val="25"/>
    <w:unhideWhenUsed/>
    <w:qFormat/>
    <w:uiPriority w:val="99"/>
    <w:pPr>
      <w:tabs>
        <w:tab w:val="center" w:pos="4153"/>
        <w:tab w:val="right" w:pos="8306"/>
      </w:tabs>
      <w:snapToGrid w:val="0"/>
      <w:jc w:val="left"/>
    </w:pPr>
    <w:rPr>
      <w:sz w:val="18"/>
      <w:szCs w:val="18"/>
    </w:rPr>
  </w:style>
  <w:style w:type="paragraph" w:styleId="8">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unhideWhenUsed/>
    <w:qFormat/>
    <w:uiPriority w:val="0"/>
    <w:pPr>
      <w:adjustRightInd w:val="0"/>
      <w:snapToGrid w:val="0"/>
      <w:spacing w:line="264" w:lineRule="auto"/>
      <w:jc w:val="left"/>
    </w:pPr>
    <w:rPr>
      <w:rFonts w:eastAsia="仿宋_GB2312"/>
      <w:snapToGrid w:val="0"/>
      <w:kern w:val="0"/>
      <w:sz w:val="18"/>
      <w:szCs w:val="18"/>
    </w:rPr>
  </w:style>
  <w:style w:type="paragraph" w:styleId="10">
    <w:name w:val="Normal (Web)"/>
    <w:basedOn w:val="1"/>
    <w:unhideWhenUsed/>
    <w:qFormat/>
    <w:uiPriority w:val="99"/>
    <w:pPr>
      <w:spacing w:beforeAutospacing="1" w:afterAutospacing="1"/>
      <w:jc w:val="left"/>
    </w:pPr>
    <w:rPr>
      <w:kern w:val="0"/>
      <w:sz w:val="24"/>
    </w:rPr>
  </w:style>
  <w:style w:type="paragraph" w:styleId="11">
    <w:name w:val="annotation subject"/>
    <w:basedOn w:val="5"/>
    <w:next w:val="5"/>
    <w:link w:val="27"/>
    <w:unhideWhenUsed/>
    <w:qFormat/>
    <w:uiPriority w:val="99"/>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FollowedHyperlink"/>
    <w:basedOn w:val="14"/>
    <w:unhideWhenUsed/>
    <w:qFormat/>
    <w:uiPriority w:val="99"/>
    <w:rPr>
      <w:color w:val="954F72"/>
      <w:u w:val="single"/>
    </w:rPr>
  </w:style>
  <w:style w:type="character" w:styleId="17">
    <w:name w:val="line number"/>
    <w:basedOn w:val="14"/>
    <w:unhideWhenUsed/>
    <w:qFormat/>
    <w:uiPriority w:val="99"/>
  </w:style>
  <w:style w:type="character" w:styleId="18">
    <w:name w:val="Hyperlink"/>
    <w:basedOn w:val="14"/>
    <w:unhideWhenUsed/>
    <w:qFormat/>
    <w:uiPriority w:val="99"/>
    <w:rPr>
      <w:color w:val="0563C1"/>
      <w:u w:val="single"/>
    </w:rPr>
  </w:style>
  <w:style w:type="character" w:styleId="19">
    <w:name w:val="annotation reference"/>
    <w:basedOn w:val="14"/>
    <w:unhideWhenUsed/>
    <w:qFormat/>
    <w:uiPriority w:val="0"/>
    <w:rPr>
      <w:sz w:val="21"/>
      <w:szCs w:val="21"/>
    </w:rPr>
  </w:style>
  <w:style w:type="character" w:styleId="20">
    <w:name w:val="footnote reference"/>
    <w:basedOn w:val="14"/>
    <w:unhideWhenUsed/>
    <w:qFormat/>
    <w:uiPriority w:val="0"/>
    <w:rPr>
      <w:vertAlign w:val="superscript"/>
    </w:rPr>
  </w:style>
  <w:style w:type="paragraph" w:styleId="21">
    <w:name w:val="No Spacing"/>
    <w:qFormat/>
    <w:uiPriority w:val="0"/>
    <w:pPr>
      <w:adjustRightInd w:val="0"/>
      <w:snapToGrid w:val="0"/>
    </w:pPr>
    <w:rPr>
      <w:rFonts w:ascii="Tahoma" w:hAnsi="Tahoma" w:eastAsia="微软雅黑" w:cs="Times New Roman"/>
      <w:sz w:val="22"/>
      <w:szCs w:val="22"/>
      <w:lang w:val="en-US" w:eastAsia="zh-CN" w:bidi="ar-SA"/>
    </w:rPr>
  </w:style>
  <w:style w:type="character" w:customStyle="1" w:styleId="22">
    <w:name w:val="标题 2 字符"/>
    <w:basedOn w:val="14"/>
    <w:link w:val="3"/>
    <w:qFormat/>
    <w:uiPriority w:val="9"/>
    <w:rPr>
      <w:rFonts w:ascii="Cambria" w:hAnsi="Cambria" w:eastAsia="宋体" w:cs="Times New Roman"/>
      <w:b/>
      <w:bCs/>
      <w:kern w:val="0"/>
      <w:sz w:val="32"/>
      <w:szCs w:val="32"/>
    </w:rPr>
  </w:style>
  <w:style w:type="character" w:customStyle="1" w:styleId="23">
    <w:name w:val="批注文字 字符"/>
    <w:basedOn w:val="14"/>
    <w:link w:val="5"/>
    <w:qFormat/>
    <w:uiPriority w:val="99"/>
    <w:rPr>
      <w:rFonts w:ascii="Times New Roman" w:hAnsi="Times New Roman" w:eastAsia="宋体" w:cs="Times New Roman"/>
      <w:szCs w:val="24"/>
    </w:rPr>
  </w:style>
  <w:style w:type="character" w:customStyle="1" w:styleId="24">
    <w:name w:val="批注框文本 字符"/>
    <w:basedOn w:val="14"/>
    <w:link w:val="6"/>
    <w:semiHidden/>
    <w:qFormat/>
    <w:uiPriority w:val="99"/>
    <w:rPr>
      <w:rFonts w:ascii="Times New Roman" w:hAnsi="Times New Roman" w:eastAsia="宋体" w:cs="Times New Roman"/>
      <w:sz w:val="18"/>
      <w:szCs w:val="18"/>
    </w:rPr>
  </w:style>
  <w:style w:type="character" w:customStyle="1" w:styleId="25">
    <w:name w:val="页脚 字符"/>
    <w:basedOn w:val="14"/>
    <w:link w:val="7"/>
    <w:qFormat/>
    <w:uiPriority w:val="99"/>
    <w:rPr>
      <w:sz w:val="18"/>
      <w:szCs w:val="18"/>
    </w:rPr>
  </w:style>
  <w:style w:type="character" w:customStyle="1" w:styleId="26">
    <w:name w:val="页眉 字符"/>
    <w:basedOn w:val="14"/>
    <w:link w:val="8"/>
    <w:qFormat/>
    <w:uiPriority w:val="99"/>
    <w:rPr>
      <w:sz w:val="18"/>
      <w:szCs w:val="18"/>
    </w:rPr>
  </w:style>
  <w:style w:type="character" w:customStyle="1" w:styleId="27">
    <w:name w:val="批注主题 字符"/>
    <w:basedOn w:val="23"/>
    <w:link w:val="11"/>
    <w:semiHidden/>
    <w:qFormat/>
    <w:uiPriority w:val="99"/>
    <w:rPr>
      <w:rFonts w:ascii="Times New Roman" w:hAnsi="Times New Roman" w:eastAsia="宋体" w:cs="Times New Roman"/>
      <w:b/>
      <w:bCs/>
      <w:szCs w:val="24"/>
    </w:rPr>
  </w:style>
  <w:style w:type="character" w:customStyle="1" w:styleId="28">
    <w:name w:val="未处理的提及2"/>
    <w:basedOn w:val="14"/>
    <w:unhideWhenUsed/>
    <w:qFormat/>
    <w:uiPriority w:val="99"/>
    <w:rPr>
      <w:color w:val="605E5C"/>
      <w:shd w:val="clear" w:color="auto" w:fill="E1DFDD"/>
    </w:rPr>
  </w:style>
  <w:style w:type="character" w:customStyle="1" w:styleId="29">
    <w:name w:val="王奕，内文 Char"/>
    <w:link w:val="30"/>
    <w:qFormat/>
    <w:uiPriority w:val="0"/>
    <w:rPr>
      <w:rFonts w:ascii="Times New Roman" w:hAnsi="Times New Roman" w:eastAsia="宋体" w:cs="MS Shell Dlg"/>
      <w:color w:val="000000"/>
      <w:kern w:val="0"/>
      <w:sz w:val="24"/>
      <w:szCs w:val="24"/>
    </w:rPr>
  </w:style>
  <w:style w:type="paragraph" w:customStyle="1" w:styleId="30">
    <w:name w:val="王奕，内文"/>
    <w:basedOn w:val="10"/>
    <w:link w:val="29"/>
    <w:qFormat/>
    <w:uiPriority w:val="0"/>
    <w:pPr>
      <w:widowControl/>
      <w:spacing w:line="360" w:lineRule="auto"/>
      <w:ind w:firstLine="200" w:firstLineChars="200"/>
    </w:pPr>
    <w:rPr>
      <w:color w:val="000000"/>
    </w:rPr>
  </w:style>
  <w:style w:type="character" w:customStyle="1" w:styleId="31">
    <w:name w:val="f101"/>
    <w:qFormat/>
    <w:uiPriority w:val="0"/>
    <w:rPr>
      <w:sz w:val="24"/>
      <w:szCs w:val="24"/>
    </w:rPr>
  </w:style>
  <w:style w:type="character" w:customStyle="1" w:styleId="32">
    <w:name w:val="未处理的提及1"/>
    <w:basedOn w:val="14"/>
    <w:unhideWhenUsed/>
    <w:qFormat/>
    <w:uiPriority w:val="99"/>
    <w:rPr>
      <w:color w:val="605E5C"/>
      <w:shd w:val="clear" w:color="auto" w:fill="E1DFDD"/>
    </w:rPr>
  </w:style>
  <w:style w:type="paragraph" w:customStyle="1" w:styleId="33">
    <w:name w:val="_Style 22"/>
    <w:basedOn w:val="1"/>
    <w:next w:val="34"/>
    <w:qFormat/>
    <w:uiPriority w:val="99"/>
    <w:pPr>
      <w:ind w:firstLine="420" w:firstLineChars="200"/>
    </w:pPr>
    <w:rPr>
      <w:color w:val="000000"/>
      <w:sz w:val="28"/>
    </w:rPr>
  </w:style>
  <w:style w:type="paragraph" w:customStyle="1" w:styleId="34">
    <w:name w:val="列出段落1"/>
    <w:basedOn w:val="1"/>
    <w:qFormat/>
    <w:uiPriority w:val="34"/>
    <w:pPr>
      <w:ind w:firstLine="420" w:firstLineChars="200"/>
    </w:pPr>
  </w:style>
  <w:style w:type="paragraph" w:customStyle="1" w:styleId="35">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36">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37">
    <w:name w:val="Default"/>
    <w:qFormat/>
    <w:uiPriority w:val="0"/>
    <w:pPr>
      <w:widowControl w:val="0"/>
      <w:autoSpaceDE w:val="0"/>
      <w:autoSpaceDN w:val="0"/>
      <w:adjustRightInd w:val="0"/>
    </w:pPr>
    <w:rPr>
      <w:rFonts w:ascii="Times New Roman" w:hAnsi="Times New Roman" w:eastAsia="等线" w:cs="Times New Roman"/>
      <w:color w:val="000000"/>
      <w:sz w:val="24"/>
      <w:szCs w:val="24"/>
      <w:lang w:val="en-US" w:eastAsia="zh-CN" w:bidi="ar-SA"/>
    </w:rPr>
  </w:style>
  <w:style w:type="paragraph" w:customStyle="1" w:styleId="38">
    <w:name w:val="修订3"/>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4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7607</Words>
  <Characters>8197</Characters>
  <Lines>208</Lines>
  <Paragraphs>166</Paragraphs>
  <TotalTime>330</TotalTime>
  <ScaleCrop>false</ScaleCrop>
  <LinksUpToDate>false</LinksUpToDate>
  <CharactersWithSpaces>8245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2024-10-23T01:08:00Z</dcterms:created>
  <dc:creator>Ren.Jia(任 佳)</dc:creator>
  <cp:lastModifiedBy>琨琨徐</cp:lastModifiedBy>
  <cp:lastPrinted>2021-07-31T16:39:00Z</cp:lastPrinted>
  <dcterms:modified xsi:type="dcterms:W3CDTF">2026-08-05T07:48:11Z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3FAD9609C8B89AD06523636A99ACBEDF_43</vt:lpwstr>
  </property>
  <property fmtid="{D5CDD505-2E9C-101B-9397-08002B2CF9AE}" pid="4" name="KSOTemplateDocerSaveRecord">
    <vt:lpwstr>eyJoZGlkIjoiYmZiNWE2NzM0ZjU5ZWJjNTdlZWNlNmRkMTBhNGNiMjkiLCJ1c2VySWQiOiIyNjIyMjQ5NTIifQ==</vt:lpwstr>
  </property>
</Properties>
</file>