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588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bookmarkStart w:id="28" w:name="_GoBack"/>
      <w:bookmarkEnd w:id="28"/>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血栓弹力图仪注册审查指导原则</w:t>
      </w:r>
    </w:p>
    <w:p w14:paraId="604C92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简体" w:hAnsi="方正小标宋简体" w:eastAsia="方正小标宋简体" w:cs="方正小标宋简体"/>
          <w:bCs/>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lang w:eastAsia="zh-CN"/>
          <w14:textFill>
            <w14:solidFill>
              <w14:schemeClr w14:val="tx1"/>
            </w14:solidFill>
          </w14:textFill>
        </w:rPr>
        <w:t>（征求意见稿）</w:t>
      </w:r>
    </w:p>
    <w:p w14:paraId="77F1502A">
      <w:pPr>
        <w:keepNext w:val="0"/>
        <w:keepLines w:val="0"/>
        <w:pageBreakBefore w:val="0"/>
        <w:widowControl w:val="0"/>
        <w:kinsoku/>
        <w:wordWrap/>
        <w:overflowPunct/>
        <w:topLinePunct w:val="0"/>
        <w:autoSpaceDE/>
        <w:autoSpaceDN/>
        <w:bidi w:val="0"/>
        <w:adjustRightInd w:val="0"/>
        <w:snapToGrid w:val="0"/>
        <w:spacing w:line="240" w:lineRule="auto"/>
        <w:ind w:firstLine="883"/>
        <w:jc w:val="left"/>
        <w:textAlignment w:val="auto"/>
        <w:rPr>
          <w:rFonts w:ascii="Times New Roman" w:hAnsi="Times New Roman" w:eastAsia="仿宋_GB2312"/>
          <w:b/>
          <w:bCs/>
          <w:color w:val="000000" w:themeColor="text1"/>
          <w:sz w:val="32"/>
          <w:szCs w:val="32"/>
          <w14:textFill>
            <w14:solidFill>
              <w14:schemeClr w14:val="tx1"/>
            </w14:solidFill>
          </w14:textFill>
        </w:rPr>
      </w:pPr>
    </w:p>
    <w:p w14:paraId="0F62A298">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本指导原则旨在指导注册申请人对血栓弹力图仪注册申报资料的准备及撰写，同时也为技术审评部门对注册申报资料的技术审评提供参考。</w:t>
      </w:r>
    </w:p>
    <w:p w14:paraId="5223F131">
      <w:pPr>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本指导原则是对血栓弹力图仪的一般要求，申请人应依据产品的具体特性确定其中内容是否适用，若不适用，需具体阐述理由及相应的科学依据，并依据产品的具体特性对注册申报资料的内容进行充实和细化。</w:t>
      </w:r>
    </w:p>
    <w:p w14:paraId="026F1629">
      <w:pPr>
        <w:spacing w:line="520" w:lineRule="exact"/>
        <w:ind w:firstLine="640"/>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本指导原则是供申请人和</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审评人员使用的指导文件，不涉及注册审批等行政事项，亦不作为法规强制执行，如有能够满足法规要求的其他方法，也可以采用，但应提供详细的研究资料和验证资料。应在遵循相关法规的前提下使用本指导原则。</w:t>
      </w:r>
    </w:p>
    <w:p w14:paraId="25FB3E21">
      <w:pPr>
        <w:spacing w:line="520" w:lineRule="exact"/>
        <w:ind w:firstLine="640"/>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本指导原则是在现行法规、标准体系及当前认知水平下制定的，随着法规、标准体系的不断完善和科学技术的不断发展，本指导原则相关内容也将适时进行调整。</w:t>
      </w:r>
    </w:p>
    <w:p w14:paraId="22532170">
      <w:pPr>
        <w:adjustRightInd w:val="0"/>
        <w:snapToGrid w:val="0"/>
        <w:spacing w:line="520" w:lineRule="exact"/>
        <w:ind w:firstLine="640"/>
        <w:rPr>
          <w:rFonts w:ascii="Times New Roman" w:hAnsi="Times New Roman" w:eastAsia="仿宋_GB2312"/>
          <w:color w:val="000000" w:themeColor="text1"/>
          <w:sz w:val="32"/>
          <w:szCs w:val="32"/>
          <w:highlight w:val="none"/>
          <w14:textFill>
            <w14:solidFill>
              <w14:schemeClr w14:val="tx1"/>
            </w14:solidFill>
          </w14:textFill>
        </w:rPr>
      </w:pPr>
      <w:r>
        <w:rPr>
          <w:rFonts w:ascii="Times New Roman" w:hAnsi="Times New Roman" w:eastAsia="黑体"/>
          <w:color w:val="000000" w:themeColor="text1"/>
          <w:sz w:val="32"/>
          <w:szCs w:val="32"/>
          <w:highlight w:val="none"/>
          <w14:textFill>
            <w14:solidFill>
              <w14:schemeClr w14:val="tx1"/>
            </w14:solidFill>
          </w14:textFill>
        </w:rPr>
        <w:t>一、适用范围</w:t>
      </w:r>
    </w:p>
    <w:p w14:paraId="2A25D67C">
      <w:pPr>
        <w:pStyle w:val="13"/>
        <w:spacing w:line="520" w:lineRule="exact"/>
        <w:ind w:firstLine="640" w:firstLineChars="200"/>
        <w:jc w:val="both"/>
        <w:rPr>
          <w:rFonts w:ascii="Times New Roman" w:hAnsi="Times New Roman" w:eastAsia="仿宋_GB2312"/>
          <w:color w:val="000000" w:themeColor="text1"/>
          <w:sz w:val="32"/>
          <w:szCs w:val="32"/>
          <w:highlight w:val="none"/>
          <w14:textFill>
            <w14:solidFill>
              <w14:schemeClr w14:val="tx1"/>
            </w14:solidFill>
          </w14:textFill>
        </w:rPr>
      </w:pPr>
      <w:r>
        <w:rPr>
          <w:rFonts w:ascii="Times New Roman" w:hAnsi="Times New Roman" w:eastAsia="仿宋_GB2312"/>
          <w:color w:val="000000" w:themeColor="text1"/>
          <w:sz w:val="32"/>
          <w:szCs w:val="32"/>
          <w:highlight w:val="none"/>
          <w14:textFill>
            <w14:solidFill>
              <w14:schemeClr w14:val="tx1"/>
            </w14:solidFill>
          </w14:textFill>
        </w:rPr>
        <w:t>本指导原则适用于</w:t>
      </w:r>
      <w:r>
        <w:rPr>
          <w:rFonts w:hint="eastAsia" w:ascii="Times New Roman" w:hAnsi="Times New Roman" w:eastAsia="仿宋_GB2312"/>
          <w:color w:val="000000" w:themeColor="text1"/>
          <w:sz w:val="32"/>
          <w:szCs w:val="32"/>
          <w:highlight w:val="none"/>
          <w14:textFill>
            <w14:solidFill>
              <w14:schemeClr w14:val="tx1"/>
            </w14:solidFill>
          </w14:textFill>
        </w:rPr>
        <w:t>基于感应扭矩、磁悬力、光学等原理，检测血液黏弹性变化，进而反映血液凝固和纤溶状态的血栓弹力图仪。</w:t>
      </w:r>
    </w:p>
    <w:p w14:paraId="3DBF207B">
      <w:pPr>
        <w:pStyle w:val="13"/>
        <w:spacing w:line="520" w:lineRule="exact"/>
        <w:ind w:firstLine="640" w:firstLineChars="200"/>
        <w:jc w:val="both"/>
        <w:rPr>
          <w:rFonts w:hint="eastAsia" w:ascii="仿宋_GB2312" w:hAnsi="仿宋_GB2312" w:eastAsia="仿宋_GB2312" w:cs="仿宋_GB2312"/>
          <w:color w:val="000000" w:themeColor="text1"/>
          <w:kern w:val="2"/>
          <w:sz w:val="32"/>
          <w:szCs w:val="32"/>
          <w:highlight w:val="yellow"/>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对基于其他反应原理的</w:t>
      </w:r>
      <w:r>
        <w:rPr>
          <w:rFonts w:hint="eastAsia" w:ascii="仿宋_GB2312" w:hAnsi="仿宋_GB2312" w:eastAsia="仿宋_GB2312" w:cs="仿宋_GB2312"/>
          <w:color w:val="000000" w:themeColor="text1"/>
          <w:kern w:val="2"/>
          <w:sz w:val="32"/>
          <w:szCs w:val="32"/>
          <w14:textFill>
            <w14:solidFill>
              <w14:schemeClr w14:val="tx1"/>
            </w14:solidFill>
          </w14:textFill>
        </w:rPr>
        <w:t>血栓弹力图仪产品，可参照本指导原则相关适用条款准备注册申报资料。</w:t>
      </w:r>
    </w:p>
    <w:p w14:paraId="0CD5D6B5">
      <w:pPr>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本指导原则针对血栓弹力图仪注册申报资料中的部分内容进行撰写，其他未尽事宜应当符合《关于公布医疗器械注册申报资料要求和批准证明文件格式的公告》等相关法规要求。</w:t>
      </w:r>
    </w:p>
    <w:p w14:paraId="696ACC3B">
      <w:pPr>
        <w:adjustRightInd w:val="0"/>
        <w:snapToGrid w:val="0"/>
        <w:spacing w:line="520" w:lineRule="exact"/>
        <w:ind w:firstLine="64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二、</w:t>
      </w:r>
      <w:r>
        <w:rPr>
          <w:rFonts w:hint="eastAsia" w:ascii="Times New Roman" w:hAnsi="Times New Roman" w:eastAsia="黑体"/>
          <w:color w:val="000000" w:themeColor="text1"/>
          <w:sz w:val="32"/>
          <w:szCs w:val="32"/>
          <w14:textFill>
            <w14:solidFill>
              <w14:schemeClr w14:val="tx1"/>
            </w14:solidFill>
          </w14:textFill>
        </w:rPr>
        <w:t>注册</w:t>
      </w:r>
      <w:r>
        <w:rPr>
          <w:rFonts w:ascii="Times New Roman" w:hAnsi="Times New Roman" w:eastAsia="黑体"/>
          <w:color w:val="000000" w:themeColor="text1"/>
          <w:sz w:val="32"/>
          <w:szCs w:val="32"/>
          <w14:textFill>
            <w14:solidFill>
              <w14:schemeClr w14:val="tx1"/>
            </w14:solidFill>
          </w14:textFill>
        </w:rPr>
        <w:t>审查要点</w:t>
      </w:r>
    </w:p>
    <w:p w14:paraId="2DEE85A9">
      <w:pPr>
        <w:pStyle w:val="14"/>
        <w:adjustRightInd w:val="0"/>
        <w:snapToGrid w:val="0"/>
        <w:spacing w:line="520" w:lineRule="exact"/>
        <w:ind w:left="640" w:firstLine="0"/>
        <w:rPr>
          <w:rFonts w:ascii="Times New Roman" w:hAnsi="Times New Roman" w:eastAsia="楷体_GB2312"/>
          <w:color w:val="000000" w:themeColor="text1"/>
          <w:sz w:val="32"/>
          <w:szCs w:val="32"/>
          <w14:textFill>
            <w14:solidFill>
              <w14:schemeClr w14:val="tx1"/>
            </w14:solidFill>
          </w14:textFill>
        </w:rPr>
      </w:pPr>
      <w:r>
        <w:rPr>
          <w:rFonts w:ascii="Times New Roman" w:hAnsi="Times New Roman" w:eastAsia="楷体_GB2312"/>
          <w:color w:val="000000" w:themeColor="text1"/>
          <w:sz w:val="32"/>
          <w:szCs w:val="32"/>
          <w14:textFill>
            <w14:solidFill>
              <w14:schemeClr w14:val="tx1"/>
            </w14:solidFill>
          </w14:textFill>
        </w:rPr>
        <w:t>（</w:t>
      </w:r>
      <w:r>
        <w:rPr>
          <w:rFonts w:hint="eastAsia" w:ascii="Times New Roman" w:hAnsi="Times New Roman" w:eastAsia="楷体_GB2312"/>
          <w:color w:val="000000" w:themeColor="text1"/>
          <w:sz w:val="32"/>
          <w:szCs w:val="32"/>
          <w14:textFill>
            <w14:solidFill>
              <w14:schemeClr w14:val="tx1"/>
            </w14:solidFill>
          </w14:textFill>
        </w:rPr>
        <w:t>一</w:t>
      </w:r>
      <w:r>
        <w:rPr>
          <w:rFonts w:ascii="Times New Roman" w:hAnsi="Times New Roman" w:eastAsia="楷体_GB2312"/>
          <w:color w:val="000000" w:themeColor="text1"/>
          <w:sz w:val="32"/>
          <w:szCs w:val="32"/>
          <w14:textFill>
            <w14:solidFill>
              <w14:schemeClr w14:val="tx1"/>
            </w14:solidFill>
          </w14:textFill>
        </w:rPr>
        <w:t>）</w:t>
      </w:r>
      <w:r>
        <w:rPr>
          <w:rFonts w:hint="eastAsia" w:ascii="Times New Roman" w:hAnsi="Times New Roman" w:eastAsia="楷体_GB2312"/>
          <w:color w:val="000000" w:themeColor="text1"/>
          <w:sz w:val="32"/>
          <w:szCs w:val="32"/>
          <w14:textFill>
            <w14:solidFill>
              <w14:schemeClr w14:val="tx1"/>
            </w14:solidFill>
          </w14:textFill>
        </w:rPr>
        <w:t>监管信息</w:t>
      </w:r>
    </w:p>
    <w:p w14:paraId="0CF627C7">
      <w:pPr>
        <w:spacing w:line="520" w:lineRule="exact"/>
        <w:ind w:right="-67" w:rightChars="-32" w:firstLine="636"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
          <w:sz w:val="32"/>
          <w:szCs w:val="32"/>
          <w14:textFill>
            <w14:solidFill>
              <w14:schemeClr w14:val="tx1"/>
            </w14:solidFill>
          </w14:textFill>
        </w:rPr>
        <w:t>包括申请表、</w:t>
      </w:r>
      <w:r>
        <w:rPr>
          <w:rFonts w:hint="eastAsia" w:ascii="仿宋_GB2312" w:hAnsi="仿宋_GB2312" w:eastAsia="仿宋_GB2312" w:cs="仿宋_GB2312"/>
          <w:color w:val="000000" w:themeColor="text1"/>
          <w:sz w:val="32"/>
          <w14:textFill>
            <w14:solidFill>
              <w14:schemeClr w14:val="tx1"/>
            </w14:solidFill>
          </w14:textFill>
        </w:rPr>
        <w:t>术语、缩写词列表、</w:t>
      </w:r>
      <w:r>
        <w:rPr>
          <w:rFonts w:hint="eastAsia" w:ascii="仿宋_GB2312" w:hAnsi="仿宋_GB2312" w:eastAsia="仿宋_GB2312" w:cs="仿宋_GB2312"/>
          <w:color w:val="000000" w:themeColor="text1"/>
          <w:spacing w:val="-1"/>
          <w:sz w:val="32"/>
          <w:szCs w:val="32"/>
          <w14:textFill>
            <w14:solidFill>
              <w14:schemeClr w14:val="tx1"/>
            </w14:solidFill>
          </w14:textFill>
        </w:rPr>
        <w:t>产品列表、关联文件、申报前与监管机构的联系情况和沟通记录、符合性声明等文件，重点关注以下内容。</w:t>
      </w:r>
    </w:p>
    <w:p w14:paraId="5935E462">
      <w:pPr>
        <w:spacing w:line="520" w:lineRule="exact"/>
        <w:ind w:firstLine="640" w:firstLineChars="200"/>
        <w:rPr>
          <w:rFonts w:hint="eastAsia" w:ascii="仿宋_GB2312" w:hAnsi="仿宋_GB2312" w:eastAsia="仿宋_GB2312" w:cs="仿宋_GB2312"/>
          <w:color w:val="000000" w:themeColor="text1"/>
          <w:sz w:val="32"/>
          <w:szCs w:val="28"/>
          <w14:textFill>
            <w14:solidFill>
              <w14:schemeClr w14:val="tx1"/>
            </w14:solidFill>
          </w14:textFill>
        </w:rPr>
      </w:pPr>
      <w:r>
        <w:rPr>
          <w:rFonts w:hint="eastAsia" w:ascii="仿宋_GB2312" w:hAnsi="仿宋_GB2312" w:eastAsia="仿宋_GB2312" w:cs="仿宋_GB2312"/>
          <w:color w:val="000000" w:themeColor="text1"/>
          <w:sz w:val="32"/>
          <w:szCs w:val="28"/>
          <w14:textFill>
            <w14:solidFill>
              <w14:schemeClr w14:val="tx1"/>
            </w14:solidFill>
          </w14:textFill>
        </w:rPr>
        <w:t>1.产品名称</w:t>
      </w:r>
    </w:p>
    <w:p w14:paraId="0F172273">
      <w:pPr>
        <w:spacing w:line="520" w:lineRule="exact"/>
        <w:ind w:firstLine="640" w:firstLineChars="200"/>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申请人应描述申报产品的通用名称及其确定依据。</w:t>
      </w:r>
      <w:r>
        <w:rPr>
          <w:rFonts w:hint="eastAsia" w:ascii="仿宋_GB2312" w:hAnsi="仿宋_GB2312" w:eastAsia="仿宋_GB2312" w:cs="仿宋_GB2312"/>
          <w:color w:val="000000" w:themeColor="text1"/>
          <w:sz w:val="32"/>
          <w:szCs w:val="32"/>
          <w14:textFill>
            <w14:solidFill>
              <w14:schemeClr w14:val="tx1"/>
            </w14:solidFill>
          </w14:textFill>
        </w:rPr>
        <w:t>按照《医疗器械通用名称命名规则》、《临床检验器械通用名称命名指导原则》、</w:t>
      </w:r>
      <w:r>
        <w:rPr>
          <w:rFonts w:hint="eastAsia" w:ascii="仿宋_GB2312" w:hAnsi="仿宋_GB2312" w:eastAsia="仿宋_GB2312" w:cs="仿宋_GB2312"/>
          <w:color w:val="000000" w:themeColor="text1"/>
          <w:sz w:val="32"/>
          <w14:textFill>
            <w14:solidFill>
              <w14:schemeClr w14:val="tx1"/>
            </w14:solidFill>
          </w14:textFill>
        </w:rPr>
        <w:t>《医疗器械分类目录》及相关法规的要求</w:t>
      </w:r>
      <w:r>
        <w:rPr>
          <w:rFonts w:hint="eastAsia" w:ascii="仿宋_GB2312" w:hAnsi="仿宋_GB2312" w:eastAsia="仿宋_GB2312" w:cs="仿宋_GB2312"/>
          <w:color w:val="000000" w:themeColor="text1"/>
          <w:sz w:val="32"/>
          <w:szCs w:val="32"/>
          <w14:textFill>
            <w14:solidFill>
              <w14:schemeClr w14:val="tx1"/>
            </w14:solidFill>
          </w14:textFill>
        </w:rPr>
        <w:t>，产品通用名称由核心词和特征词组成，如血栓弹力图仪、全自动血栓弹力图仪等。</w:t>
      </w:r>
    </w:p>
    <w:p w14:paraId="59E434C8">
      <w:pPr>
        <w:spacing w:line="520" w:lineRule="exact"/>
        <w:ind w:right="-67" w:rightChars="-3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管理类别和分类编码</w:t>
      </w:r>
    </w:p>
    <w:p w14:paraId="2A87564D">
      <w:pPr>
        <w:spacing w:line="520" w:lineRule="exact"/>
        <w:ind w:firstLine="636" w:firstLineChars="200"/>
        <w:rPr>
          <w:rFonts w:hint="eastAsia" w:ascii="仿宋_GB2312" w:hAnsi="仿宋_GB2312" w:eastAsia="仿宋_GB2312" w:cs="仿宋_GB2312"/>
          <w:color w:val="000000" w:themeColor="text1"/>
          <w:spacing w:val="-1"/>
          <w:sz w:val="32"/>
          <w:szCs w:val="32"/>
          <w14:textFill>
            <w14:solidFill>
              <w14:schemeClr w14:val="tx1"/>
            </w14:solidFill>
          </w14:textFill>
        </w:rPr>
      </w:pPr>
      <w:r>
        <w:rPr>
          <w:rFonts w:hint="eastAsia" w:ascii="仿宋_GB2312" w:hAnsi="仿宋_GB2312" w:eastAsia="仿宋_GB2312" w:cs="仿宋_GB2312"/>
          <w:color w:val="000000" w:themeColor="text1"/>
          <w:spacing w:val="-1"/>
          <w:sz w:val="32"/>
          <w:szCs w:val="32"/>
          <w14:textFill>
            <w14:solidFill>
              <w14:schemeClr w14:val="tx1"/>
            </w14:solidFill>
          </w14:textFill>
        </w:rPr>
        <w:t>根据</w:t>
      </w:r>
      <w:r>
        <w:rPr>
          <w:rFonts w:hint="eastAsia" w:ascii="仿宋_GB2312" w:hAnsi="仿宋_GB2312" w:eastAsia="仿宋_GB2312" w:cs="仿宋_GB2312"/>
          <w:color w:val="000000" w:themeColor="text1"/>
          <w:sz w:val="32"/>
          <w14:textFill>
            <w14:solidFill>
              <w14:schemeClr w14:val="tx1"/>
            </w14:solidFill>
          </w14:textFill>
        </w:rPr>
        <w:t>2017版《医疗器械分类目录》</w:t>
      </w:r>
      <w:r>
        <w:rPr>
          <w:rFonts w:hint="eastAsia" w:ascii="仿宋_GB2312" w:hAnsi="仿宋_GB2312" w:eastAsia="仿宋_GB2312" w:cs="仿宋_GB2312"/>
          <w:color w:val="000000" w:themeColor="text1"/>
          <w:spacing w:val="-1"/>
          <w:sz w:val="32"/>
          <w:szCs w:val="32"/>
          <w14:textFill>
            <w14:solidFill>
              <w14:schemeClr w14:val="tx1"/>
            </w14:solidFill>
          </w14:textFill>
        </w:rPr>
        <w:t>，管理类别为第Ⅱ类，</w:t>
      </w:r>
      <w:r>
        <w:rPr>
          <w:rFonts w:hint="eastAsia" w:ascii="仿宋_GB2312" w:hAnsi="仿宋_GB2312" w:eastAsia="仿宋_GB2312" w:cs="仿宋_GB2312"/>
          <w:bCs/>
          <w:color w:val="000000" w:themeColor="text1"/>
          <w:sz w:val="32"/>
          <w:szCs w:val="32"/>
          <w14:textFill>
            <w14:solidFill>
              <w14:schemeClr w14:val="tx1"/>
            </w14:solidFill>
          </w14:textFill>
        </w:rPr>
        <w:t>所属分类子目录为22临床检验器械，一级产品类别为01血液学分析设备，二级产品类别为04凝血分析仪器，</w:t>
      </w:r>
      <w:r>
        <w:rPr>
          <w:rFonts w:hint="eastAsia" w:ascii="仿宋_GB2312" w:hAnsi="仿宋_GB2312" w:eastAsia="仿宋_GB2312" w:cs="仿宋_GB2312"/>
          <w:color w:val="000000" w:themeColor="text1"/>
          <w:spacing w:val="-1"/>
          <w:sz w:val="32"/>
          <w:szCs w:val="32"/>
          <w14:textFill>
            <w14:solidFill>
              <w14:schemeClr w14:val="tx1"/>
            </w14:solidFill>
          </w14:textFill>
        </w:rPr>
        <w:t>分类编码为</w:t>
      </w:r>
      <w:r>
        <w:rPr>
          <w:rFonts w:hint="eastAsia" w:ascii="仿宋_GB2312" w:hAnsi="仿宋_GB2312" w:eastAsia="仿宋_GB2312" w:cs="仿宋_GB2312"/>
          <w:color w:val="000000" w:themeColor="text1"/>
          <w:sz w:val="32"/>
          <w14:textFill>
            <w14:solidFill>
              <w14:schemeClr w14:val="tx1"/>
            </w14:solidFill>
          </w14:textFill>
        </w:rPr>
        <w:t>22-01-04</w:t>
      </w:r>
      <w:r>
        <w:rPr>
          <w:rFonts w:hint="eastAsia" w:ascii="仿宋_GB2312" w:hAnsi="仿宋_GB2312" w:eastAsia="仿宋_GB2312" w:cs="仿宋_GB2312"/>
          <w:color w:val="000000" w:themeColor="text1"/>
          <w:spacing w:val="-1"/>
          <w:sz w:val="32"/>
          <w:szCs w:val="32"/>
          <w14:textFill>
            <w14:solidFill>
              <w14:schemeClr w14:val="tx1"/>
            </w14:solidFill>
          </w14:textFill>
        </w:rPr>
        <w:t>。</w:t>
      </w:r>
    </w:p>
    <w:p w14:paraId="07FD10F3">
      <w:pPr>
        <w:numPr>
          <w:ilvl w:val="255"/>
          <w:numId w:val="0"/>
        </w:num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bookmarkStart w:id="0" w:name="_Toc432753652"/>
      <w:r>
        <w:rPr>
          <w:rFonts w:hint="eastAsia" w:ascii="仿宋_GB2312" w:hAnsi="仿宋_GB2312" w:eastAsia="仿宋_GB2312" w:cs="仿宋_GB2312"/>
          <w:color w:val="000000" w:themeColor="text1"/>
          <w:sz w:val="32"/>
          <w:szCs w:val="28"/>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.注册单元</w:t>
      </w:r>
      <w:bookmarkEnd w:id="0"/>
      <w:r>
        <w:rPr>
          <w:rFonts w:hint="eastAsia" w:ascii="仿宋_GB2312" w:hAnsi="仿宋_GB2312" w:eastAsia="仿宋_GB2312" w:cs="仿宋_GB2312"/>
          <w:color w:val="000000" w:themeColor="text1"/>
          <w:sz w:val="32"/>
          <w:szCs w:val="32"/>
          <w14:textFill>
            <w14:solidFill>
              <w14:schemeClr w14:val="tx1"/>
            </w14:solidFill>
          </w14:textFill>
        </w:rPr>
        <w:t>划分</w:t>
      </w:r>
    </w:p>
    <w:p w14:paraId="74CFA893">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3.1参考《医疗器械注册单元划分指导原则》，若申报产品存在多个型号规格或配置，应根据产品的技术原理及其特点、结构及组成、性能指标、适用范围等关键要素进行注册单元划分。</w:t>
      </w:r>
    </w:p>
    <w:p w14:paraId="25684A25">
      <w:pPr>
        <w:spacing w:line="520" w:lineRule="exact"/>
        <w:ind w:right="-67" w:rightChars="-3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结构及组成的不同对安全性和有效性有影响的情况，应划分为不同的注册单元，如全自动和半自动。</w:t>
      </w:r>
    </w:p>
    <w:p w14:paraId="77CC772E">
      <w:pPr>
        <w:spacing w:line="520" w:lineRule="exact"/>
        <w:ind w:right="-67" w:rightChars="-3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3.2性能指标存在较大差异，导致适用范围或作用机理不同时，宜划分为不同的注册单元。</w:t>
      </w:r>
    </w:p>
    <w:p w14:paraId="7B4977CF">
      <w:pPr>
        <w:spacing w:line="520" w:lineRule="exact"/>
        <w:ind w:right="-67" w:rightChars="-3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3.3适用范围有实质不同的情况，应划分为不同的注册单元。</w:t>
      </w:r>
    </w:p>
    <w:p w14:paraId="08D5C253">
      <w:pPr>
        <w:spacing w:line="520" w:lineRule="exact"/>
        <w:ind w:right="-67" w:rightChars="-32" w:firstLine="640" w:firstLineChars="200"/>
        <w:rPr>
          <w:rFonts w:ascii="Times New Roman" w:hAnsi="Times New Roman" w:eastAsia="楷体_GB2312"/>
          <w:color w:val="000000" w:themeColor="text1"/>
          <w:sz w:val="32"/>
          <w:szCs w:val="32"/>
          <w14:textFill>
            <w14:solidFill>
              <w14:schemeClr w14:val="tx1"/>
            </w14:solidFill>
          </w14:textFill>
        </w:rPr>
      </w:pPr>
      <w:r>
        <w:rPr>
          <w:rFonts w:hint="eastAsia" w:ascii="Times New Roman" w:hAnsi="Times New Roman" w:eastAsia="楷体_GB2312"/>
          <w:color w:val="000000" w:themeColor="text1"/>
          <w:sz w:val="32"/>
          <w:szCs w:val="32"/>
          <w14:textFill>
            <w14:solidFill>
              <w14:schemeClr w14:val="tx1"/>
            </w14:solidFill>
          </w14:textFill>
        </w:rPr>
        <w:t>（二）综述资料</w:t>
      </w:r>
    </w:p>
    <w:p w14:paraId="5C046A8F">
      <w:pPr>
        <w:spacing w:line="520" w:lineRule="exact"/>
        <w:ind w:firstLine="636"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
          <w:sz w:val="32"/>
          <w:szCs w:val="32"/>
          <w14:textFill>
            <w14:solidFill>
              <w14:schemeClr w14:val="tx1"/>
            </w14:solidFill>
          </w14:textFill>
        </w:rPr>
        <w:t>综述资料主要包括概述、产品描述、适用范围和禁忌证、申报产品上市历史及其他需说明的内容。重点关注以下</w:t>
      </w:r>
      <w:r>
        <w:rPr>
          <w:rFonts w:hint="eastAsia" w:ascii="仿宋_GB2312" w:hAnsi="仿宋_GB2312" w:eastAsia="仿宋_GB2312" w:cs="仿宋_GB2312"/>
          <w:color w:val="000000" w:themeColor="text1"/>
          <w:sz w:val="32"/>
          <w:szCs w:val="32"/>
          <w14:textFill>
            <w14:solidFill>
              <w14:schemeClr w14:val="tx1"/>
            </w14:solidFill>
          </w14:textFill>
        </w:rPr>
        <w:t>内容：</w:t>
      </w:r>
    </w:p>
    <w:p w14:paraId="25CA716A">
      <w:pPr>
        <w:numPr>
          <w:ilvl w:val="255"/>
          <w:numId w:val="0"/>
        </w:numPr>
        <w:spacing w:line="520" w:lineRule="exact"/>
        <w:ind w:firstLine="636" w:firstLineChars="200"/>
        <w:outlineLvl w:val="2"/>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
          <w:sz w:val="32"/>
          <w:szCs w:val="32"/>
          <w14:textFill>
            <w14:solidFill>
              <w14:schemeClr w14:val="tx1"/>
            </w14:solidFill>
          </w14:textFill>
        </w:rPr>
        <w:t>1</w:t>
      </w:r>
      <w:bookmarkStart w:id="1" w:name="_Toc112680012"/>
      <w:r>
        <w:rPr>
          <w:rFonts w:hint="eastAsia" w:ascii="仿宋_GB2312" w:hAnsi="仿宋_GB2312" w:eastAsia="仿宋_GB2312" w:cs="仿宋_GB2312"/>
          <w:color w:val="000000" w:themeColor="text1"/>
          <w:sz w:val="32"/>
          <w:szCs w:val="32"/>
          <w14:textFill>
            <w14:solidFill>
              <w14:schemeClr w14:val="tx1"/>
            </w14:solidFill>
          </w14:textFill>
        </w:rPr>
        <w:t>.产品描述</w:t>
      </w:r>
      <w:bookmarkEnd w:id="1"/>
    </w:p>
    <w:p w14:paraId="35BF9012">
      <w:pPr>
        <w:spacing w:line="520" w:lineRule="exact"/>
        <w:ind w:firstLine="636"/>
        <w:rPr>
          <w:rFonts w:hint="eastAsia" w:ascii="仿宋_GB2312" w:hAnsi="仿宋_GB2312" w:eastAsia="仿宋_GB2312" w:cs="仿宋_GB2312"/>
          <w:color w:val="000000" w:themeColor="text1"/>
          <w:spacing w:val="-1"/>
          <w:kern w:val="2"/>
          <w:sz w:val="32"/>
          <w:szCs w:val="32"/>
          <w14:textFill>
            <w14:solidFill>
              <w14:schemeClr w14:val="tx1"/>
            </w14:solidFill>
          </w14:textFill>
        </w:rPr>
      </w:pPr>
      <w:r>
        <w:rPr>
          <w:rFonts w:hint="eastAsia" w:ascii="仿宋_GB2312" w:hAnsi="仿宋_GB2312" w:eastAsia="仿宋_GB2312" w:cs="仿宋_GB2312"/>
          <w:color w:val="000000" w:themeColor="text1"/>
          <w:spacing w:val="-1"/>
          <w:kern w:val="2"/>
          <w:sz w:val="32"/>
          <w:szCs w:val="32"/>
          <w14:textFill>
            <w14:solidFill>
              <w14:schemeClr w14:val="tx1"/>
            </w14:solidFill>
          </w14:textFill>
        </w:rPr>
        <w:t>血栓弹力图仪依据自动化程度主要分为半自动和全自动两类。全自动血栓弹力图仪与半自动血栓弹力图仪的核心区别在于样本处理、试剂加样及检测流程的集成化与自动化水平。</w:t>
      </w:r>
    </w:p>
    <w:p w14:paraId="01006223">
      <w:pPr>
        <w:spacing w:line="520" w:lineRule="exact"/>
        <w:ind w:firstLine="636"/>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pacing w:val="-1"/>
          <w:kern w:val="2"/>
          <w:sz w:val="32"/>
          <w:szCs w:val="32"/>
          <w14:textFill>
            <w14:solidFill>
              <w14:schemeClr w14:val="tx1"/>
            </w14:solidFill>
          </w14:textFill>
        </w:rPr>
        <w:t>半自动血栓弹力图仪需操作人员手动完成样本前处理、移液加样、激活剂添加及检测杯装载等关键操作。全自动血栓弹力图仪则实现了从采血管直接上机、自动识别样本、自动混匀、自动加样激活到自动检测与数据分析。</w:t>
      </w:r>
    </w:p>
    <w:p w14:paraId="6E7BF91A">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bookmarkStart w:id="2" w:name="_Ref113451210"/>
      <w:bookmarkStart w:id="3" w:name="_Ref113451217"/>
      <w:bookmarkStart w:id="4" w:name="_Ref113451202"/>
      <w:bookmarkStart w:id="5" w:name="_Ref113450602"/>
      <w:bookmarkStart w:id="6" w:name="_Ref113451223"/>
      <w:bookmarkStart w:id="7" w:name="_Ref113451192"/>
      <w:bookmarkStart w:id="8" w:name="_Toc112680013"/>
      <w:bookmarkStart w:id="9" w:name="_Ref113451213"/>
      <w:r>
        <w:rPr>
          <w:rFonts w:hint="eastAsia" w:ascii="仿宋_GB2312" w:hAnsi="仿宋_GB2312" w:eastAsia="仿宋_GB2312" w:cs="仿宋_GB2312"/>
          <w:color w:val="000000" w:themeColor="text1"/>
          <w:sz w:val="32"/>
          <w:szCs w:val="32"/>
          <w14:textFill>
            <w14:solidFill>
              <w14:schemeClr w14:val="tx1"/>
            </w14:solidFill>
          </w14:textFill>
        </w:rPr>
        <w:t>1.1</w:t>
      </w:r>
      <w:bookmarkEnd w:id="2"/>
      <w:bookmarkEnd w:id="3"/>
      <w:bookmarkEnd w:id="4"/>
      <w:bookmarkEnd w:id="5"/>
      <w:bookmarkEnd w:id="6"/>
      <w:bookmarkEnd w:id="7"/>
      <w:bookmarkEnd w:id="8"/>
      <w:bookmarkEnd w:id="9"/>
      <w:r>
        <w:rPr>
          <w:rFonts w:hint="eastAsia" w:ascii="仿宋_GB2312" w:hAnsi="仿宋_GB2312" w:eastAsia="仿宋_GB2312" w:cs="仿宋_GB2312"/>
          <w:color w:val="000000" w:themeColor="text1"/>
          <w:sz w:val="32"/>
          <w:szCs w:val="32"/>
          <w14:textFill>
            <w14:solidFill>
              <w14:schemeClr w14:val="tx1"/>
            </w14:solidFill>
          </w14:textFill>
        </w:rPr>
        <w:t>工作原理</w:t>
      </w:r>
    </w:p>
    <w:p w14:paraId="7428D459">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1.1.1力学-电学耦合</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承载样本的检测杯以一定的角度均匀转动，一旦血块形成，置于全血样本检测杯中的探针受到血块形成切应力的作用。随之出现左右转动，探针在旋动过程中由于切割磁力线而产生电流，经过软件处理后，形成了曲线，输出凝血各阶段的定量参数。</w:t>
      </w:r>
    </w:p>
    <w:p w14:paraId="633B09D2">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1.1.2磁悬力：刚性转轴代替悬垂丝，配合高精线圈和受控电流，构建了一套磁编码传感系统，借此精准捕捉血凝块的强度变化。</w:t>
      </w:r>
    </w:p>
    <w:p w14:paraId="0A684CDD">
      <w:pPr>
        <w:adjustRightInd w:val="0"/>
        <w:snapToGrid w:val="0"/>
        <w:spacing w:line="520" w:lineRule="exact"/>
        <w:ind w:firstLine="640" w:firstLineChars="200"/>
        <w:jc w:val="lef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1.1.3光学：一字线激光器发射激光</w:t>
      </w:r>
      <w:r>
        <w:rPr>
          <w:rFonts w:hint="eastAsia" w:ascii="仿宋_GB2312" w:hAnsi="仿宋_GB2312" w:eastAsia="仿宋_GB2312" w:cs="仿宋_GB2312"/>
          <w:color w:val="000000" w:themeColor="text1"/>
          <w:sz w:val="32"/>
          <w:szCs w:val="32"/>
          <w:lang w:eastAsia="zh-CN"/>
          <w14:textFill>
            <w14:solidFill>
              <w14:schemeClr w14:val="tx1"/>
            </w14:solidFill>
          </w14:textFill>
        </w:rPr>
        <w:t>至</w:t>
      </w:r>
      <w:r>
        <w:rPr>
          <w:rFonts w:hint="eastAsia" w:ascii="仿宋_GB2312" w:hAnsi="仿宋_GB2312" w:eastAsia="仿宋_GB2312" w:cs="仿宋_GB2312"/>
          <w:color w:val="000000" w:themeColor="text1"/>
          <w:sz w:val="32"/>
          <w:szCs w:val="32"/>
          <w14:textFill>
            <w14:solidFill>
              <w14:schemeClr w14:val="tx1"/>
            </w14:solidFill>
          </w14:textFill>
        </w:rPr>
        <w:t>反射镜（固定在测量平台上</w:t>
      </w:r>
      <w:r>
        <w:rPr>
          <w:rFonts w:hint="eastAsia" w:ascii="仿宋_GB2312" w:hAnsi="仿宋_GB2312" w:eastAsia="仿宋_GB2312" w:cs="仿宋_GB2312"/>
          <w:color w:val="000000" w:themeColor="text1"/>
          <w:sz w:val="32"/>
          <w:szCs w:val="32"/>
          <w:lang w:eastAsia="zh-CN"/>
          <w14:textFill>
            <w14:solidFill>
              <w14:schemeClr w14:val="tx1"/>
            </w14:solidFill>
          </w14:textFill>
        </w:rPr>
        <w:t>），形成的</w:t>
      </w:r>
      <w:r>
        <w:rPr>
          <w:rFonts w:hint="eastAsia" w:ascii="仿宋_GB2312" w:hAnsi="仿宋_GB2312" w:eastAsia="仿宋_GB2312" w:cs="仿宋_GB2312"/>
          <w:color w:val="000000" w:themeColor="text1"/>
          <w:sz w:val="32"/>
          <w:szCs w:val="32"/>
          <w14:textFill>
            <w14:solidFill>
              <w14:schemeClr w14:val="tx1"/>
            </w14:solidFill>
          </w14:textFill>
        </w:rPr>
        <w:t>反射光斑落在</w:t>
      </w:r>
      <w:r>
        <w:rPr>
          <w:rFonts w:hint="eastAsia" w:ascii="仿宋_GB2312" w:hAnsi="仿宋_GB2312" w:eastAsia="仿宋_GB2312" w:cs="仿宋_GB2312"/>
          <w:color w:val="000000" w:themeColor="text1"/>
          <w:sz w:val="32"/>
          <w:szCs w:val="32"/>
          <w:lang w:eastAsia="zh-CN"/>
          <w14:textFill>
            <w14:solidFill>
              <w14:schemeClr w14:val="tx1"/>
            </w14:solidFill>
          </w14:textFill>
        </w:rPr>
        <w:t>激光</w:t>
      </w:r>
      <w:r>
        <w:rPr>
          <w:rFonts w:hint="eastAsia" w:ascii="仿宋_GB2312" w:hAnsi="仿宋_GB2312" w:eastAsia="仿宋_GB2312" w:cs="仿宋_GB2312"/>
          <w:color w:val="000000" w:themeColor="text1"/>
          <w:sz w:val="32"/>
          <w:szCs w:val="32"/>
          <w14:textFill>
            <w14:solidFill>
              <w14:schemeClr w14:val="tx1"/>
            </w14:solidFill>
          </w14:textFill>
        </w:rPr>
        <w:t>接收器上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血凝块扭矩变化</w:t>
      </w:r>
      <w:r>
        <w:rPr>
          <w:rFonts w:hint="eastAsia" w:ascii="仿宋_GB2312" w:hAnsi="仿宋_GB2312" w:eastAsia="仿宋_GB2312" w:cs="仿宋_GB2312"/>
          <w:color w:val="000000" w:themeColor="text1"/>
          <w:sz w:val="32"/>
          <w:szCs w:val="32"/>
          <w:lang w:eastAsia="zh-CN"/>
          <w14:textFill>
            <w14:solidFill>
              <w14:schemeClr w14:val="tx1"/>
            </w14:solidFill>
          </w14:textFill>
        </w:rPr>
        <w:t>导致</w:t>
      </w:r>
      <w:r>
        <w:rPr>
          <w:rFonts w:hint="eastAsia" w:ascii="仿宋_GB2312" w:hAnsi="仿宋_GB2312" w:eastAsia="仿宋_GB2312" w:cs="仿宋_GB2312"/>
          <w:color w:val="000000" w:themeColor="text1"/>
          <w:sz w:val="32"/>
          <w:szCs w:val="32"/>
          <w14:textFill>
            <w14:solidFill>
              <w14:schemeClr w14:val="tx1"/>
            </w14:solidFill>
          </w14:textFill>
        </w:rPr>
        <w:t>反射镜微转</w:t>
      </w:r>
      <w:r>
        <w:rPr>
          <w:rFonts w:hint="eastAsia" w:ascii="仿宋_GB2312" w:hAnsi="仿宋_GB2312" w:eastAsia="仿宋_GB2312" w:cs="仿宋_GB2312"/>
          <w:color w:val="000000" w:themeColor="text1"/>
          <w:sz w:val="32"/>
          <w:szCs w:val="32"/>
          <w:lang w:eastAsia="zh-CN"/>
          <w14:textFill>
            <w14:solidFill>
              <w14:schemeClr w14:val="tx1"/>
            </w14:solidFill>
          </w14:textFill>
        </w:rPr>
        <w:t>，引起</w:t>
      </w:r>
      <w:r>
        <w:rPr>
          <w:rFonts w:hint="eastAsia" w:ascii="仿宋_GB2312" w:hAnsi="仿宋_GB2312" w:eastAsia="仿宋_GB2312" w:cs="仿宋_GB2312"/>
          <w:color w:val="000000" w:themeColor="text1"/>
          <w:sz w:val="32"/>
          <w:szCs w:val="32"/>
          <w14:textFill>
            <w14:solidFill>
              <w14:schemeClr w14:val="tx1"/>
            </w14:solidFill>
          </w14:textFill>
        </w:rPr>
        <w:t>光斑位置移动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激光接收器检测光斑位移换算为探针转动角度</w:t>
      </w:r>
      <w:r>
        <w:rPr>
          <w:rFonts w:hint="eastAsia" w:ascii="仿宋_GB2312" w:hAnsi="仿宋_GB2312" w:eastAsia="仿宋_GB2312" w:cs="仿宋_GB2312"/>
          <w:color w:val="000000" w:themeColor="text1"/>
          <w:sz w:val="32"/>
          <w:szCs w:val="32"/>
          <w:lang w:eastAsia="zh-CN"/>
          <w14:textFill>
            <w14:solidFill>
              <w14:schemeClr w14:val="tx1"/>
            </w14:solidFill>
          </w14:textFill>
        </w:rPr>
        <w:t>，从而输出</w:t>
      </w:r>
      <w:r>
        <w:rPr>
          <w:rFonts w:hint="eastAsia" w:ascii="仿宋_GB2312" w:hAnsi="仿宋_GB2312" w:eastAsia="仿宋_GB2312" w:cs="仿宋_GB2312"/>
          <w:color w:val="000000" w:themeColor="text1"/>
          <w:sz w:val="32"/>
          <w:szCs w:val="32"/>
          <w14:textFill>
            <w14:solidFill>
              <w14:schemeClr w14:val="tx1"/>
            </w14:solidFill>
          </w14:textFill>
        </w:rPr>
        <w:t>凝血</w:t>
      </w:r>
      <w:r>
        <w:rPr>
          <w:rFonts w:hint="eastAsia" w:ascii="仿宋_GB2312" w:hAnsi="仿宋_GB2312" w:eastAsia="仿宋_GB2312" w:cs="仿宋_GB2312"/>
          <w:color w:val="000000" w:themeColor="text1"/>
          <w:sz w:val="32"/>
          <w:szCs w:val="32"/>
          <w:lang w:eastAsia="zh-CN"/>
          <w14:textFill>
            <w14:solidFill>
              <w14:schemeClr w14:val="tx1"/>
            </w14:solidFill>
          </w14:textFill>
        </w:rPr>
        <w:t>参数。</w:t>
      </w:r>
    </w:p>
    <w:p w14:paraId="7D9D4933">
      <w:pPr>
        <w:adjustRightInd w:val="0"/>
        <w:snapToGrid w:val="0"/>
        <w:spacing w:line="520" w:lineRule="exact"/>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图1</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血栓弹力图</w:t>
      </w:r>
      <w:r>
        <w:rPr>
          <w:rFonts w:hint="eastAsia" w:ascii="仿宋_GB2312" w:hAnsi="仿宋_GB2312" w:eastAsia="仿宋_GB2312" w:cs="仿宋_GB2312"/>
          <w:color w:val="000000" w:themeColor="text1"/>
          <w:sz w:val="28"/>
          <w:szCs w:val="28"/>
          <w:lang w:eastAsia="zh-CN"/>
          <w14:textFill>
            <w14:solidFill>
              <w14:schemeClr w14:val="tx1"/>
            </w14:solidFill>
          </w14:textFill>
        </w:rPr>
        <w:t>仪方法学原理</w:t>
      </w:r>
      <w:r>
        <w:rPr>
          <w:rFonts w:hint="eastAsia" w:ascii="仿宋_GB2312" w:hAnsi="仿宋_GB2312" w:eastAsia="仿宋_GB2312" w:cs="仿宋_GB2312"/>
          <w:color w:val="000000" w:themeColor="text1"/>
          <w:sz w:val="28"/>
          <w:szCs w:val="28"/>
          <w14:textFill>
            <w14:solidFill>
              <w14:schemeClr w14:val="tx1"/>
            </w14:solidFill>
          </w14:textFill>
        </w:rPr>
        <w:t>示意图</w:t>
      </w:r>
    </w:p>
    <w:p w14:paraId="6655AD63">
      <w:pPr>
        <w:adjustRightInd w:val="0"/>
        <w:snapToGrid w:val="0"/>
        <w:spacing w:line="240" w:lineRule="auto"/>
        <w:jc w:val="center"/>
        <w:rPr>
          <w:rFonts w:hint="default"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5060950" cy="2550160"/>
            <wp:effectExtent l="0" t="0" r="13970" b="10160"/>
            <wp:docPr id="4" name="图片 4" descr="2AA3B107-4FEC-4190-88A8-4F0924771C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AA3B107-4FEC-4190-88A8-4F0924771CF4"/>
                    <pic:cNvPicPr>
                      <a:picLocks noChangeAspect="1"/>
                    </pic:cNvPicPr>
                  </pic:nvPicPr>
                  <pic:blipFill>
                    <a:blip r:embed="rId5"/>
                    <a:srcRect t="10303"/>
                    <a:stretch>
                      <a:fillRect/>
                    </a:stretch>
                  </pic:blipFill>
                  <pic:spPr>
                    <a:xfrm>
                      <a:off x="0" y="0"/>
                      <a:ext cx="5060950" cy="2550160"/>
                    </a:xfrm>
                    <a:prstGeom prst="rect">
                      <a:avLst/>
                    </a:prstGeom>
                    <a:ln w="3175">
                      <a:noFill/>
                    </a:ln>
                  </pic:spPr>
                </pic:pic>
              </a:graphicData>
            </a:graphic>
          </wp:inline>
        </w:drawing>
      </w:r>
    </w:p>
    <w:p w14:paraId="31502155">
      <w:pPr>
        <w:adjustRightInd w:val="0"/>
        <w:snapToGrid w:val="0"/>
        <w:spacing w:line="240" w:lineRule="auto"/>
        <w:jc w:val="center"/>
        <w:rPr>
          <w:rFonts w:hint="default" w:ascii="仿宋_GB2312" w:hAnsi="仿宋_GB2312" w:eastAsia="仿宋_GB2312" w:cs="仿宋_GB2312"/>
          <w:color w:val="000000" w:themeColor="text1"/>
          <w:sz w:val="28"/>
          <w:szCs w:val="28"/>
          <w14:textFill>
            <w14:solidFill>
              <w14:schemeClr w14:val="tx1"/>
            </w14:solidFill>
          </w14:textFill>
        </w:rPr>
      </w:pPr>
    </w:p>
    <w:p w14:paraId="1342DF9D">
      <w:pPr>
        <w:adjustRightInd w:val="0"/>
        <w:snapToGrid w:val="0"/>
        <w:spacing w:line="240" w:lineRule="auto"/>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28"/>
          <w:szCs w:val="28"/>
          <w14:textFill>
            <w14:solidFill>
              <w14:schemeClr w14:val="tx1"/>
            </w14:solidFill>
          </w14:textFill>
        </w:rPr>
        <w:t>血栓弹力图</w:t>
      </w:r>
      <w:r>
        <w:rPr>
          <w:rFonts w:hint="eastAsia" w:ascii="仿宋_GB2312" w:hAnsi="仿宋_GB2312" w:eastAsia="仿宋_GB2312" w:cs="仿宋_GB2312"/>
          <w:color w:val="000000" w:themeColor="text1"/>
          <w:sz w:val="28"/>
          <w:szCs w:val="28"/>
          <w:lang w:eastAsia="zh-CN"/>
          <w14:textFill>
            <w14:solidFill>
              <w14:schemeClr w14:val="tx1"/>
            </w14:solidFill>
          </w14:textFill>
        </w:rPr>
        <w:t>仪检测输出图示</w:t>
      </w:r>
    </w:p>
    <w:p w14:paraId="1F751B57">
      <w:pPr>
        <w:adjustRightInd w:val="0"/>
        <w:snapToGrid w:val="0"/>
        <w:spacing w:line="240" w:lineRule="auto"/>
        <w:jc w:val="center"/>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5052060" cy="3130550"/>
            <wp:effectExtent l="0" t="0" r="7620" b="8890"/>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
                    <pic:cNvPicPr>
                      <a:picLocks noChangeAspect="1"/>
                    </pic:cNvPicPr>
                  </pic:nvPicPr>
                  <pic:blipFill>
                    <a:blip r:embed="rId6"/>
                    <a:srcRect l="29456" t="32512" r="30818" b="4421"/>
                    <a:stretch>
                      <a:fillRect/>
                    </a:stretch>
                  </pic:blipFill>
                  <pic:spPr>
                    <a:xfrm>
                      <a:off x="0" y="0"/>
                      <a:ext cx="5052060" cy="3130550"/>
                    </a:xfrm>
                    <a:prstGeom prst="rect">
                      <a:avLst/>
                    </a:prstGeom>
                    <a:ln w="3175">
                      <a:noFill/>
                    </a:ln>
                  </pic:spPr>
                </pic:pic>
              </a:graphicData>
            </a:graphic>
          </wp:inline>
        </w:drawing>
      </w:r>
    </w:p>
    <w:p w14:paraId="00C4457C">
      <w:pPr>
        <w:adjustRightInd w:val="0"/>
        <w:snapToGrid w:val="0"/>
        <w:spacing w:line="240" w:lineRule="auto"/>
        <w:jc w:val="center"/>
        <w:rPr>
          <w:rFonts w:hint="eastAsia" w:ascii="仿宋_GB2312" w:hAnsi="仿宋_GB2312" w:eastAsia="仿宋_GB2312" w:cs="仿宋_GB2312"/>
          <w:color w:val="000000" w:themeColor="text1"/>
          <w:sz w:val="28"/>
          <w:szCs w:val="28"/>
          <w:lang w:eastAsia="zh-CN"/>
          <w14:textFill>
            <w14:solidFill>
              <w14:schemeClr w14:val="tx1"/>
            </w14:solidFill>
          </w14:textFill>
        </w:rPr>
      </w:pPr>
    </w:p>
    <w:p w14:paraId="78C13701">
      <w:pPr>
        <w:adjustRightInd w:val="0"/>
        <w:snapToGrid w:val="0"/>
        <w:spacing w:line="240" w:lineRule="auto"/>
        <w:jc w:val="center"/>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表</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 血栓弹力图仪主要指标</w:t>
      </w:r>
    </w:p>
    <w:tbl>
      <w:tblPr>
        <w:tblStyle w:val="8"/>
        <w:tblW w:w="8886" w:type="dxa"/>
        <w:jc w:val="center"/>
        <w:tblLayout w:type="fixed"/>
        <w:tblCellMar>
          <w:top w:w="0" w:type="dxa"/>
          <w:left w:w="108" w:type="dxa"/>
          <w:bottom w:w="0" w:type="dxa"/>
          <w:right w:w="108" w:type="dxa"/>
        </w:tblCellMar>
      </w:tblPr>
      <w:tblGrid>
        <w:gridCol w:w="1223"/>
        <w:gridCol w:w="1488"/>
        <w:gridCol w:w="6175"/>
      </w:tblGrid>
      <w:tr w14:paraId="12049E0C">
        <w:tblPrEx>
          <w:tblCellMar>
            <w:top w:w="0" w:type="dxa"/>
            <w:left w:w="108" w:type="dxa"/>
            <w:bottom w:w="0" w:type="dxa"/>
            <w:right w:w="108" w:type="dxa"/>
          </w:tblCellMar>
        </w:tblPrEx>
        <w:trPr>
          <w:trHeight w:val="315" w:hRule="atLeast"/>
          <w:jc w:val="center"/>
        </w:trPr>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28B9">
            <w:pPr>
              <w:widowControl/>
              <w:spacing w:line="520" w:lineRule="exact"/>
              <w:jc w:val="left"/>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主要指标</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EF60">
            <w:pPr>
              <w:widowControl/>
              <w:spacing w:line="520" w:lineRule="exact"/>
              <w:jc w:val="left"/>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中文名称</w:t>
            </w:r>
          </w:p>
        </w:tc>
        <w:tc>
          <w:tcPr>
            <w:tcW w:w="6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A4B4">
            <w:pPr>
              <w:widowControl/>
              <w:spacing w:line="52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定义</w:t>
            </w:r>
          </w:p>
        </w:tc>
      </w:tr>
      <w:tr w14:paraId="38D065EB">
        <w:tblPrEx>
          <w:tblCellMar>
            <w:top w:w="0" w:type="dxa"/>
            <w:left w:w="108" w:type="dxa"/>
            <w:bottom w:w="0" w:type="dxa"/>
            <w:right w:w="108" w:type="dxa"/>
          </w:tblCellMar>
        </w:tblPrEx>
        <w:trPr>
          <w:trHeight w:val="804" w:hRule="atLeast"/>
          <w:jc w:val="center"/>
        </w:trPr>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0E6F">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R</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4E3D">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反应时间</w:t>
            </w:r>
          </w:p>
        </w:tc>
        <w:tc>
          <w:tcPr>
            <w:tcW w:w="6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4698">
            <w:pPr>
              <w:widowControl/>
              <w:spacing w:line="52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指样本置入仪器，以开始到第一块纤维蛋白凝块形成为止(TEG描记图幅度达2mm)所需的时间(min)，反映参加凝血过程(内源、外源和共同途径）所有凝血因子的综合作用</w:t>
            </w:r>
            <w:r>
              <w:rPr>
                <w:rFonts w:hint="eastAsia" w:ascii="仿宋_GB2312" w:hAnsi="仿宋_GB2312" w:eastAsia="仿宋_GB2312" w:cs="仿宋_GB2312"/>
                <w:color w:val="000000"/>
                <w:kern w:val="0"/>
                <w:sz w:val="24"/>
                <w:szCs w:val="24"/>
                <w:highlight w:val="none"/>
                <w:lang w:eastAsia="zh-CN" w:bidi="ar"/>
              </w:rPr>
              <w:t>。</w:t>
            </w:r>
          </w:p>
        </w:tc>
      </w:tr>
      <w:tr w14:paraId="490088B7">
        <w:tblPrEx>
          <w:tblCellMar>
            <w:top w:w="0" w:type="dxa"/>
            <w:left w:w="108" w:type="dxa"/>
            <w:bottom w:w="0" w:type="dxa"/>
            <w:right w:w="108" w:type="dxa"/>
          </w:tblCellMar>
        </w:tblPrEx>
        <w:trPr>
          <w:trHeight w:val="909" w:hRule="atLeast"/>
          <w:jc w:val="center"/>
        </w:trPr>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CE80">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k</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DB91">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血凝块的形成时间</w:t>
            </w:r>
          </w:p>
        </w:tc>
        <w:tc>
          <w:tcPr>
            <w:tcW w:w="6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E9D3">
            <w:pPr>
              <w:widowControl/>
              <w:spacing w:line="52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是指从R时间终点至描记图幅度达20mm所需的时间（min)，反映纤维蛋白和血小板在凝血块开始形成时的共同作用结果，即反映血凝块形成的速率。</w:t>
            </w:r>
          </w:p>
        </w:tc>
      </w:tr>
      <w:tr w14:paraId="060B81A2">
        <w:tblPrEx>
          <w:tblCellMar>
            <w:top w:w="0" w:type="dxa"/>
            <w:left w:w="108" w:type="dxa"/>
            <w:bottom w:w="0" w:type="dxa"/>
            <w:right w:w="108" w:type="dxa"/>
          </w:tblCellMar>
        </w:tblPrEx>
        <w:trPr>
          <w:trHeight w:val="875" w:hRule="atLeast"/>
          <w:jc w:val="center"/>
        </w:trPr>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90BA">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α</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491B">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凝固角</w:t>
            </w:r>
          </w:p>
        </w:tc>
        <w:tc>
          <w:tcPr>
            <w:tcW w:w="6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9337">
            <w:pPr>
              <w:widowControl/>
              <w:spacing w:line="52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是指从血凝块形成点至描记图最大曲线弧度作切线与水平线的夹角</w:t>
            </w: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反映纤维蛋白和血小板在凝血块开始形成时的共同作用结果，即反映血凝块形成的速率。</w:t>
            </w:r>
          </w:p>
        </w:tc>
      </w:tr>
      <w:tr w14:paraId="0D90B9F7">
        <w:tblPrEx>
          <w:tblCellMar>
            <w:top w:w="0" w:type="dxa"/>
            <w:left w:w="108" w:type="dxa"/>
            <w:bottom w:w="0" w:type="dxa"/>
            <w:right w:w="108" w:type="dxa"/>
          </w:tblCellMar>
        </w:tblPrEx>
        <w:trPr>
          <w:trHeight w:val="1599" w:hRule="atLeast"/>
          <w:jc w:val="center"/>
        </w:trPr>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66F5">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MA</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7DC7">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最大振幅</w:t>
            </w:r>
          </w:p>
        </w:tc>
        <w:tc>
          <w:tcPr>
            <w:tcW w:w="6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3F18">
            <w:pPr>
              <w:widowControl/>
              <w:spacing w:line="52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是指血栓弹力描记图上的最大幅度（mm)，即最大切应力系数，反映正在形成的血凝块的最大强度及血凝块形成的稳定性。MA值主要受纤维蛋白原及血小板两个因素的影响，其中血小板的作用（约占80%）要比纤维蛋白原（约占20%）大，血小板质量或数量的异常都会影响到MA值。</w:t>
            </w:r>
          </w:p>
        </w:tc>
      </w:tr>
      <w:tr w14:paraId="1AC08541">
        <w:tblPrEx>
          <w:tblCellMar>
            <w:top w:w="0" w:type="dxa"/>
            <w:left w:w="108" w:type="dxa"/>
            <w:bottom w:w="0" w:type="dxa"/>
            <w:right w:w="108" w:type="dxa"/>
          </w:tblCellMar>
        </w:tblPrEx>
        <w:trPr>
          <w:trHeight w:val="812" w:hRule="atLeast"/>
          <w:jc w:val="center"/>
        </w:trPr>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637A">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LY30</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6D97">
            <w:pPr>
              <w:widowControl/>
              <w:spacing w:line="520" w:lineRule="exact"/>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30分钟血凝块溶解率</w:t>
            </w:r>
          </w:p>
        </w:tc>
        <w:tc>
          <w:tcPr>
            <w:tcW w:w="6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E296">
            <w:pPr>
              <w:widowControl/>
              <w:spacing w:line="520" w:lineRule="exact"/>
              <w:jc w:val="left"/>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在血凝块形成后30分钟内，血凝块溶解的百分比。该指标反映纤溶系统的活性，数值越高表示纤溶活性越强，血凝块稳定性越差。</w:t>
            </w:r>
          </w:p>
        </w:tc>
      </w:tr>
      <w:tr w14:paraId="38C79A17">
        <w:tblPrEx>
          <w:tblCellMar>
            <w:top w:w="0" w:type="dxa"/>
            <w:left w:w="108" w:type="dxa"/>
            <w:bottom w:w="0" w:type="dxa"/>
            <w:right w:w="108" w:type="dxa"/>
          </w:tblCellMar>
        </w:tblPrEx>
        <w:trPr>
          <w:trHeight w:val="812" w:hRule="atLeast"/>
          <w:jc w:val="center"/>
        </w:trPr>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5106">
            <w:pPr>
              <w:widowControl/>
              <w:spacing w:line="520" w:lineRule="exact"/>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CI</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FB14">
            <w:pPr>
              <w:widowControl/>
              <w:spacing w:line="520" w:lineRule="exact"/>
              <w:jc w:val="center"/>
              <w:textAlignment w:val="center"/>
              <w:rPr>
                <w:rFonts w:hint="eastAsia" w:ascii="仿宋_GB2312" w:hAnsi="仿宋_GB2312" w:eastAsia="仿宋_GB2312" w:cs="仿宋_GB2312"/>
                <w:color w:val="000000"/>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eastAsia="zh-CN" w:bidi="ar"/>
              </w:rPr>
              <w:t>凝血指标</w:t>
            </w:r>
          </w:p>
        </w:tc>
        <w:tc>
          <w:tcPr>
            <w:tcW w:w="6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5012">
            <w:pPr>
              <w:widowControl/>
              <w:spacing w:line="520" w:lineRule="exact"/>
              <w:jc w:val="left"/>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CI（综合凝血指数）是以R值、K值、α角、MA值四个基础参数为变量，通过特定计算公式得出的综合凝血状态指数，用于描述患者的整体凝血状态。</w:t>
            </w:r>
          </w:p>
        </w:tc>
      </w:tr>
    </w:tbl>
    <w:p w14:paraId="65E75E11">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4259FCC2">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1.2结构组成</w:t>
      </w:r>
    </w:p>
    <w:p w14:paraId="1652B294">
      <w:pPr>
        <w:adjustRightInd w:val="0"/>
        <w:snapToGrid w:val="0"/>
        <w:spacing w:line="520" w:lineRule="exact"/>
        <w:ind w:firstLine="640" w:firstLineChars="20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产品结构因设计不同存在差异，申请人应结合实际产品描述，典型通用结构通常包括：加样模块（适用于全自动）、温育模块、检测单元、机械传动单元、控制单元、软件组件等组成。</w:t>
      </w:r>
    </w:p>
    <w:p w14:paraId="51380345">
      <w:pPr>
        <w:pStyle w:val="13"/>
        <w:spacing w:line="52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1.2.1</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半自动血栓弹力图仪由主机、电源线和随机软件组成。其中主机</w:t>
      </w:r>
      <w:r>
        <w:rPr>
          <w:rFonts w:hint="eastAsia" w:ascii="仿宋_GB2312" w:hAnsi="仿宋_GB2312" w:eastAsia="仿宋_GB2312" w:cs="仿宋_GB2312"/>
          <w:color w:val="000000" w:themeColor="text1"/>
          <w:sz w:val="32"/>
          <w:szCs w:val="32"/>
          <w:highlight w:val="none"/>
          <w14:textFill>
            <w14:solidFill>
              <w14:schemeClr w14:val="tx1"/>
            </w14:solidFill>
          </w14:textFill>
        </w:rPr>
        <w:t>由温育模块、检测单元、机械传动单元、控制单元等组成。</w:t>
      </w:r>
    </w:p>
    <w:p w14:paraId="44AA7FAA">
      <w:pPr>
        <w:spacing w:line="520" w:lineRule="exact"/>
        <w:ind w:firstLine="640" w:firstLineChars="20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孵育模块：为检测反应提供恒温环境，维持反应温度恒定；</w:t>
      </w:r>
    </w:p>
    <w:p w14:paraId="601E500C">
      <w:pPr>
        <w:spacing w:line="520" w:lineRule="exact"/>
        <w:ind w:firstLine="640" w:firstLineChars="20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检测单元：包含探针、扭力丝/电磁传感器、检测杯托架等，是实现信号转换的核心部件；</w:t>
      </w:r>
    </w:p>
    <w:p w14:paraId="640D8E7E">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机械传动单元：包含驱动电机、传动机构等，为检测杯提供匀速往复转动；</w:t>
      </w:r>
    </w:p>
    <w:p w14:paraId="4E341A6E">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控制单元：包含主控电路板、电源模块、信号处理板等，实现设备运行控制与信号处理；</w:t>
      </w:r>
    </w:p>
    <w:p w14:paraId="5B69DAC1">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软件组件：包含嵌入式软件和应用软件（若适用），实现信号采集、算法处理、曲线绘制、参数计算、数据管理及人机交互等功能；</w:t>
      </w:r>
    </w:p>
    <w:p w14:paraId="30E0FA97">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显示单元（若适用）：实现检测结果的图形化展示和用户交互操作；</w:t>
      </w:r>
    </w:p>
    <w:p w14:paraId="2C136524">
      <w:pPr>
        <w:pStyle w:val="1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输出单元（若适用）：实现检测报告的打印或数据导出功能。</w:t>
      </w:r>
    </w:p>
    <w:p w14:paraId="1B3F5026">
      <w:pPr>
        <w:pStyle w:val="13"/>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1.2.2</w:t>
      </w:r>
      <w:r>
        <w:rPr>
          <w:rFonts w:hint="eastAsia" w:ascii="仿宋_GB2312" w:hAnsi="仿宋_GB2312" w:eastAsia="仿宋_GB2312" w:cs="仿宋_GB2312"/>
          <w:color w:val="000000" w:themeColor="text1"/>
          <w:sz w:val="32"/>
          <w:szCs w:val="32"/>
          <w:highlight w:val="none"/>
          <w14:textFill>
            <w14:solidFill>
              <w14:schemeClr w14:val="tx1"/>
            </w14:solidFill>
          </w14:textFill>
        </w:rPr>
        <w:t>全自动血栓弹力图仪由主机、电源线和随机软件组成。其中主机加样模块、温育模块、检测单元、机械传动单元、控制单元等组成。</w:t>
      </w:r>
    </w:p>
    <w:p w14:paraId="44C9C074">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加样模块：实现样本和试剂的自动定量加注；</w:t>
      </w:r>
    </w:p>
    <w:p w14:paraId="603CBA46">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孵育模块：为检测反应提供恒温环境，维持反应温度恒定；</w:t>
      </w:r>
    </w:p>
    <w:p w14:paraId="6E911B72">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检测单元：包含探针、扭力丝/电磁传感器、检测杯托架等，是实现信号转换的核心部件；</w:t>
      </w:r>
    </w:p>
    <w:p w14:paraId="4081162D">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机械传动单元：包含驱动电机、传动机构等，为检测杯提供匀速往复转动；</w:t>
      </w:r>
    </w:p>
    <w:p w14:paraId="0B9AFA1A">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控制单元：包含主控电路板、电源模块、信号处理板等，实现设备运行控制与信号处理；</w:t>
      </w:r>
    </w:p>
    <w:p w14:paraId="0F8B9719">
      <w:pPr>
        <w:keepNext w:val="0"/>
        <w:keepLines w:val="0"/>
        <w:pageBreakBefore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软件组件：包含嵌入式软件和应用软件（若适用），实现信号采集、算法处理、曲线绘制、参数计算、数据管理及人机交互等功能；</w:t>
      </w:r>
    </w:p>
    <w:p w14:paraId="54F3EF92">
      <w:pPr>
        <w:spacing w:line="520" w:lineRule="exact"/>
        <w:ind w:firstLine="640" w:firstLineChars="20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显示单元（若适用）：实现检测结果的图形化展示和用户交互操作；</w:t>
      </w:r>
    </w:p>
    <w:p w14:paraId="36922F5F">
      <w:pPr>
        <w:pStyle w:val="13"/>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输出单元（若适用）：实现检测报告的打印或数据导出功能。</w:t>
      </w:r>
    </w:p>
    <w:p w14:paraId="4166194C">
      <w:pPr>
        <w:spacing w:line="52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应提供产品图示（含标识、接口、操控面板、应用部分等细节），含有多个组成部分的，应说明其连接或组装关系，提供产品工程图、关键组件工程图，重点描述力学、光学、电学、热学等关键组件（含传感器）的设计考量。应描述产品的主要功能及其组成部件（如关键组件和软件等）的功能，以及区别于其他同类产品的特征</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等内容</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8AAD7CC">
      <w:pPr>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1.3 型号规格</w:t>
      </w:r>
    </w:p>
    <w:p w14:paraId="4CC71676">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对于同一注册单元申报产品存在多种型号规格的，应当明确各型号规格之间的区别，应当采用表格加说明性文字的图片、图表，对各型号规格的结构组成、功能、性能指标、运行模式等内容进行描述。</w:t>
      </w:r>
    </w:p>
    <w:p w14:paraId="1A860046">
      <w:pPr>
        <w:adjustRightInd w:val="0"/>
        <w:snapToGrid w:val="0"/>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包装</w:t>
      </w:r>
    </w:p>
    <w:p w14:paraId="25EA52CF">
      <w:pPr>
        <w:adjustRightInd w:val="0"/>
        <w:snapToGrid w:val="0"/>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概述产品包装信息及与该产品一起销售的配件包装信息，含配件清单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14:paraId="2B7E906A">
      <w:pPr>
        <w:adjustRightInd w:val="0"/>
        <w:snapToGrid w:val="0"/>
        <w:spacing w:line="52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产品适用范围</w:t>
      </w:r>
    </w:p>
    <w:p w14:paraId="7F7D3B3A">
      <w:pPr>
        <w:autoSpaceDE w:val="0"/>
        <w:autoSpaceDN w:val="0"/>
        <w:adjustRightInd w:val="0"/>
        <w:spacing w:line="52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2.1明确产品的预期用途，应包括检测原理、被测样本类型和预期检测项目类型</w:t>
      </w:r>
      <w:r>
        <w:rPr>
          <w:rFonts w:hint="eastAsia" w:ascii="仿宋_GB2312" w:hAnsi="仿宋_GB2312" w:eastAsia="仿宋_GB2312" w:cs="仿宋_GB2312"/>
          <w:color w:val="000000" w:themeColor="text1"/>
          <w:sz w:val="32"/>
          <w:szCs w:val="32"/>
          <w14:textFill>
            <w14:solidFill>
              <w14:schemeClr w14:val="tx1"/>
            </w14:solidFill>
          </w14:textFill>
        </w:rPr>
        <w:t>。例如，“血栓弹力图仪与配套试剂共同使用，用于对人体血液样本进行凝血和抗凝、纤溶和抗纤溶功能的分析”。</w:t>
      </w:r>
    </w:p>
    <w:p w14:paraId="0CCEFE8B">
      <w:pPr>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2.2明确写明预期使用环境，包括申报产品预期使用的地点和预期使用的环境条件。</w:t>
      </w:r>
    </w:p>
    <w:p w14:paraId="712E95DF">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明确写明申报产品预期使用的地点，如医疗机构。</w:t>
      </w:r>
    </w:p>
    <w:p w14:paraId="26DDEEC3">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明确写明可能会影响申报产品安全性和有效性的环境条件，也即申报产品的正常工作条件，包括空间要求、温度、湿度、海拔高度/大气压强、电源要求等，对每一条件均应给出具体的指标要求，如温度范围在10℃～30℃。</w:t>
      </w:r>
    </w:p>
    <w:p w14:paraId="03F0C117">
      <w:pPr>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2.3明确写明目标用户为经专业培训的医疗机构的检验人员，并写明相关人员操作申报产品应当具备的基本能力要求和资格。</w:t>
      </w:r>
    </w:p>
    <w:p w14:paraId="419D16D6">
      <w:pPr>
        <w:spacing w:line="52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.其它需说明的内容</w:t>
      </w:r>
    </w:p>
    <w:p w14:paraId="7A98F24A">
      <w:pPr>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申请人应说明与其组合使用实现预期用途的其他产品</w:t>
      </w:r>
      <w:r>
        <w:rPr>
          <w:rFonts w:hint="eastAsia" w:ascii="仿宋_GB2312" w:hAnsi="仿宋_GB2312" w:eastAsia="仿宋_GB2312" w:cs="仿宋_GB2312"/>
          <w:color w:val="000000" w:themeColor="text1"/>
          <w:kern w:val="0"/>
          <w:sz w:val="32"/>
          <w:szCs w:val="32"/>
          <w14:textFill>
            <w14:solidFill>
              <w14:schemeClr w14:val="tx1"/>
            </w14:solidFill>
          </w14:textFill>
        </w:rPr>
        <w:t>及其上市信息等。说明是否需与其他设备组合使用。</w:t>
      </w:r>
    </w:p>
    <w:p w14:paraId="0C4FE10F">
      <w:pPr>
        <w:spacing w:line="520" w:lineRule="exact"/>
        <w:ind w:right="-67" w:rightChars="-32" w:firstLine="640" w:firstLineChars="200"/>
        <w:rPr>
          <w:rFonts w:ascii="Times New Roman" w:hAnsi="Times New Roman" w:eastAsia="楷体_GB2312"/>
          <w:color w:val="000000" w:themeColor="text1"/>
          <w:sz w:val="32"/>
          <w:szCs w:val="32"/>
          <w14:textFill>
            <w14:solidFill>
              <w14:schemeClr w14:val="tx1"/>
            </w14:solidFill>
          </w14:textFill>
        </w:rPr>
      </w:pPr>
      <w:r>
        <w:rPr>
          <w:rFonts w:hint="eastAsia" w:ascii="Times New Roman" w:hAnsi="Times New Roman" w:eastAsia="楷体_GB2312"/>
          <w:color w:val="000000" w:themeColor="text1"/>
          <w:sz w:val="32"/>
          <w:szCs w:val="32"/>
          <w14:textFill>
            <w14:solidFill>
              <w14:schemeClr w14:val="tx1"/>
            </w14:solidFill>
          </w14:textFill>
        </w:rPr>
        <w:t>（三）非临床资料</w:t>
      </w:r>
    </w:p>
    <w:p w14:paraId="3D16F522">
      <w:pPr>
        <w:numPr>
          <w:ilvl w:val="255"/>
          <w:numId w:val="0"/>
        </w:num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非临床资料包括</w:t>
      </w:r>
      <w:r>
        <w:rPr>
          <w:rFonts w:hint="eastAsia" w:ascii="仿宋_GB2312" w:hAnsi="仿宋_GB2312" w:eastAsia="仿宋_GB2312" w:cs="仿宋_GB2312"/>
          <w:bCs/>
          <w:color w:val="000000" w:themeColor="text1"/>
          <w:sz w:val="32"/>
          <w:szCs w:val="32"/>
          <w14:textFill>
            <w14:solidFill>
              <w14:schemeClr w14:val="tx1"/>
            </w14:solidFill>
          </w14:textFill>
        </w:rPr>
        <w:t>产品风险管理资料、医疗器械安全和性能基本原则清单、产品技术要求及检验报告、研究资料、</w:t>
      </w:r>
      <w:r>
        <w:rPr>
          <w:rFonts w:hint="eastAsia" w:ascii="仿宋_GB2312" w:hAnsi="仿宋_GB2312" w:eastAsia="仿宋_GB2312" w:cs="仿宋_GB2312"/>
          <w:color w:val="000000" w:themeColor="text1"/>
          <w:sz w:val="32"/>
          <w:szCs w:val="32"/>
          <w14:textFill>
            <w14:solidFill>
              <w14:schemeClr w14:val="tx1"/>
            </w14:solidFill>
          </w14:textFill>
        </w:rPr>
        <w:t>非临床文献、稳定性研究、其他资料等，重点关注以下内容。</w:t>
      </w:r>
    </w:p>
    <w:p w14:paraId="60F6B285">
      <w:pPr>
        <w:spacing w:line="520" w:lineRule="exact"/>
        <w:ind w:firstLine="640" w:firstLineChars="200"/>
        <w:outlineLvl w:val="1"/>
        <w:rPr>
          <w:rFonts w:hint="eastAsia" w:ascii="仿宋_GB2312" w:hAnsi="仿宋_GB2312" w:eastAsia="仿宋_GB2312" w:cs="仿宋_GB2312"/>
          <w:bCs/>
          <w:color w:val="000000" w:themeColor="text1"/>
          <w:sz w:val="32"/>
          <w:szCs w:val="32"/>
          <w14:textFill>
            <w14:solidFill>
              <w14:schemeClr w14:val="tx1"/>
            </w14:solidFill>
          </w14:textFill>
        </w:rPr>
      </w:pPr>
      <w:bookmarkStart w:id="10" w:name="_Toc17507"/>
      <w:bookmarkStart w:id="11" w:name="_Toc12750"/>
      <w:bookmarkStart w:id="12" w:name="_Toc9428"/>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bCs/>
          <w:color w:val="000000" w:themeColor="text1"/>
          <w:sz w:val="32"/>
          <w:szCs w:val="32"/>
          <w14:textFill>
            <w14:solidFill>
              <w14:schemeClr w14:val="tx1"/>
            </w14:solidFill>
          </w14:textFill>
        </w:rPr>
        <w:t>产品风险管理资料</w:t>
      </w:r>
      <w:bookmarkEnd w:id="10"/>
      <w:bookmarkEnd w:id="11"/>
      <w:bookmarkEnd w:id="12"/>
    </w:p>
    <w:p w14:paraId="4B9849CD">
      <w:pPr>
        <w:spacing w:line="52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依据GB/T 42062《医疗器械 风险管理对医疗器械的应用》，</w:t>
      </w:r>
      <w:r>
        <w:rPr>
          <w:rFonts w:hint="eastAsia" w:ascii="仿宋_GB2312" w:hAnsi="仿宋_GB2312" w:eastAsia="仿宋_GB2312" w:cs="仿宋_GB2312"/>
          <w:snapToGrid w:val="0"/>
          <w:color w:val="000000" w:themeColor="text1"/>
          <w:kern w:val="0"/>
          <w:sz w:val="32"/>
          <w:szCs w:val="32"/>
          <w:lang w:val="zh-CN"/>
          <w14:textFill>
            <w14:solidFill>
              <w14:schemeClr w14:val="tx1"/>
            </w14:solidFill>
          </w14:textFill>
        </w:rPr>
        <w:t>提供产品风险管理报告。</w:t>
      </w:r>
      <w:r>
        <w:rPr>
          <w:rFonts w:hint="eastAsia" w:ascii="仿宋_GB2312" w:hAnsi="仿宋_GB2312" w:eastAsia="仿宋_GB2312" w:cs="仿宋_GB2312"/>
          <w:color w:val="000000" w:themeColor="text1"/>
          <w:sz w:val="32"/>
          <w:szCs w:val="32"/>
          <w14:textFill>
            <w14:solidFill>
              <w14:schemeClr w14:val="tx1"/>
            </w14:solidFill>
          </w14:textFill>
        </w:rPr>
        <w:t>风险分析至少应包括表1内容，申请人还应根据产品的自身特点确定其他危险。应按照GB/T 42062《医疗器械 风险管理对医疗器械的应用》和YY/T 1437《医疗器械 GB/T 42062应用指南》的要求对每种可能涉及的危险识别评估，为降低风险所执行风险控制，剩余风险的可接受性评定，产品受益相比综合评价，并形成风险管理报告。</w:t>
      </w:r>
    </w:p>
    <w:p w14:paraId="2F3537C6">
      <w:pPr>
        <w:tabs>
          <w:tab w:val="left" w:pos="8040"/>
        </w:tabs>
        <w:spacing w:line="520" w:lineRule="exact"/>
        <w:ind w:firstLine="0" w:firstLineChars="0"/>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表</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14:textFill>
            <w14:solidFill>
              <w14:schemeClr w14:val="tx1"/>
            </w14:solidFill>
          </w14:textFill>
        </w:rPr>
        <w:t xml:space="preserve">  血栓弹力图仪风险分析时应考虑的主要危险</w:t>
      </w:r>
    </w:p>
    <w:tbl>
      <w:tblPr>
        <w:tblStyle w:val="8"/>
        <w:tblW w:w="9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227"/>
        <w:gridCol w:w="2503"/>
        <w:gridCol w:w="2862"/>
      </w:tblGrid>
      <w:tr w14:paraId="59DC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3648" w:type="dxa"/>
            <w:gridSpan w:val="2"/>
            <w:vAlign w:val="center"/>
          </w:tcPr>
          <w:p w14:paraId="091A000D">
            <w:pPr>
              <w:keepNext w:val="0"/>
              <w:keepLines w:val="0"/>
              <w:pageBreakBefore w:val="0"/>
              <w:widowControl w:val="0"/>
              <w:tabs>
                <w:tab w:val="left" w:pos="8040"/>
              </w:tabs>
              <w:kinsoku/>
              <w:wordWrap/>
              <w:overflowPunct/>
              <w:topLinePunct w:val="0"/>
              <w:autoSpaceDE/>
              <w:autoSpaceDN/>
              <w:bidi w:val="0"/>
              <w:adjustRightInd w:val="0"/>
              <w:snapToGrid w:val="0"/>
              <w:spacing w:line="240" w:lineRule="auto"/>
              <w:ind w:firstLine="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危险源</w:t>
            </w:r>
          </w:p>
        </w:tc>
        <w:tc>
          <w:tcPr>
            <w:tcW w:w="2503" w:type="dxa"/>
            <w:vAlign w:val="center"/>
          </w:tcPr>
          <w:p w14:paraId="7F7397AF">
            <w:pPr>
              <w:keepNext w:val="0"/>
              <w:keepLines w:val="0"/>
              <w:pageBreakBefore w:val="0"/>
              <w:widowControl w:val="0"/>
              <w:tabs>
                <w:tab w:val="left" w:pos="8040"/>
              </w:tabs>
              <w:kinsoku/>
              <w:wordWrap/>
              <w:overflowPunct/>
              <w:topLinePunct w:val="0"/>
              <w:autoSpaceDE/>
              <w:autoSpaceDN/>
              <w:bidi w:val="0"/>
              <w:adjustRightInd w:val="0"/>
              <w:snapToGrid w:val="0"/>
              <w:spacing w:line="240" w:lineRule="auto"/>
              <w:ind w:firstLine="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危险情况</w:t>
            </w:r>
          </w:p>
        </w:tc>
        <w:tc>
          <w:tcPr>
            <w:tcW w:w="2862" w:type="dxa"/>
            <w:vAlign w:val="center"/>
          </w:tcPr>
          <w:p w14:paraId="23F29095">
            <w:pPr>
              <w:keepNext w:val="0"/>
              <w:keepLines w:val="0"/>
              <w:pageBreakBefore w:val="0"/>
              <w:widowControl w:val="0"/>
              <w:tabs>
                <w:tab w:val="left" w:pos="8040"/>
              </w:tabs>
              <w:kinsoku/>
              <w:wordWrap/>
              <w:overflowPunct/>
              <w:topLinePunct w:val="0"/>
              <w:autoSpaceDE/>
              <w:autoSpaceDN/>
              <w:bidi w:val="0"/>
              <w:adjustRightInd w:val="0"/>
              <w:snapToGrid w:val="0"/>
              <w:spacing w:line="240" w:lineRule="auto"/>
              <w:ind w:firstLine="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伤害</w:t>
            </w:r>
          </w:p>
        </w:tc>
      </w:tr>
      <w:tr w14:paraId="3C48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421" w:type="dxa"/>
            <w:vMerge w:val="restart"/>
            <w:vAlign w:val="center"/>
          </w:tcPr>
          <w:p w14:paraId="73F4A49E">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能量危险</w:t>
            </w:r>
          </w:p>
        </w:tc>
        <w:tc>
          <w:tcPr>
            <w:tcW w:w="2227" w:type="dxa"/>
            <w:vAlign w:val="center"/>
          </w:tcPr>
          <w:p w14:paraId="3DAD841A">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电能</w:t>
            </w:r>
          </w:p>
        </w:tc>
        <w:tc>
          <w:tcPr>
            <w:tcW w:w="2503" w:type="dxa"/>
            <w:vAlign w:val="center"/>
          </w:tcPr>
          <w:p w14:paraId="5E39C5A2">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电击</w:t>
            </w:r>
          </w:p>
        </w:tc>
        <w:tc>
          <w:tcPr>
            <w:tcW w:w="2862" w:type="dxa"/>
            <w:vAlign w:val="center"/>
          </w:tcPr>
          <w:p w14:paraId="01B2CE6D">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使用者电击伤</w:t>
            </w:r>
          </w:p>
        </w:tc>
      </w:tr>
      <w:tr w14:paraId="20CF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421" w:type="dxa"/>
            <w:vMerge w:val="continue"/>
            <w:vAlign w:val="center"/>
          </w:tcPr>
          <w:p w14:paraId="718C5292">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42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2227" w:type="dxa"/>
            <w:vAlign w:val="center"/>
          </w:tcPr>
          <w:p w14:paraId="4FC01353">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机械能</w:t>
            </w:r>
          </w:p>
        </w:tc>
        <w:tc>
          <w:tcPr>
            <w:tcW w:w="2503" w:type="dxa"/>
            <w:vAlign w:val="center"/>
          </w:tcPr>
          <w:p w14:paraId="5E61E687">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部件运动过程中触碰</w:t>
            </w:r>
          </w:p>
        </w:tc>
        <w:tc>
          <w:tcPr>
            <w:tcW w:w="2862" w:type="dxa"/>
            <w:vAlign w:val="center"/>
          </w:tcPr>
          <w:p w14:paraId="52C54CCB">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使用者碰撞伤</w:t>
            </w:r>
          </w:p>
        </w:tc>
      </w:tr>
      <w:tr w14:paraId="24DD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421" w:type="dxa"/>
            <w:vMerge w:val="continue"/>
            <w:vAlign w:val="center"/>
          </w:tcPr>
          <w:p w14:paraId="6FEDAAA0">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420"/>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227" w:type="dxa"/>
            <w:vAlign w:val="center"/>
          </w:tcPr>
          <w:p w14:paraId="51D4DEC3">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热能</w:t>
            </w:r>
          </w:p>
        </w:tc>
        <w:tc>
          <w:tcPr>
            <w:tcW w:w="2503" w:type="dxa"/>
            <w:vAlign w:val="center"/>
          </w:tcPr>
          <w:p w14:paraId="4BA640FA">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加热过程中触碰</w:t>
            </w:r>
          </w:p>
        </w:tc>
        <w:tc>
          <w:tcPr>
            <w:tcW w:w="2862" w:type="dxa"/>
            <w:vAlign w:val="center"/>
          </w:tcPr>
          <w:p w14:paraId="3CB4B1B7">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使用者灼伤</w:t>
            </w:r>
          </w:p>
        </w:tc>
      </w:tr>
      <w:tr w14:paraId="1305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1421" w:type="dxa"/>
            <w:vMerge w:val="restart"/>
            <w:vAlign w:val="center"/>
          </w:tcPr>
          <w:p w14:paraId="7569B97F">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环境危险</w:t>
            </w:r>
          </w:p>
        </w:tc>
        <w:tc>
          <w:tcPr>
            <w:tcW w:w="2227" w:type="dxa"/>
            <w:vAlign w:val="center"/>
          </w:tcPr>
          <w:p w14:paraId="0CF2C724">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电磁辐射</w:t>
            </w:r>
          </w:p>
        </w:tc>
        <w:tc>
          <w:tcPr>
            <w:tcW w:w="2503" w:type="dxa"/>
            <w:vAlign w:val="center"/>
          </w:tcPr>
          <w:p w14:paraId="21244AB9">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仪器产生的电磁强度超标或保护元件破损</w:t>
            </w:r>
          </w:p>
        </w:tc>
        <w:tc>
          <w:tcPr>
            <w:tcW w:w="2862" w:type="dxa"/>
            <w:vAlign w:val="center"/>
          </w:tcPr>
          <w:p w14:paraId="0109B60E">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对操作者健康或周边设备的正常使用造成影响</w:t>
            </w:r>
          </w:p>
        </w:tc>
      </w:tr>
      <w:tr w14:paraId="2D70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1421" w:type="dxa"/>
            <w:vMerge w:val="continue"/>
            <w:vAlign w:val="center"/>
          </w:tcPr>
          <w:p w14:paraId="1FAA41E7">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42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2227" w:type="dxa"/>
            <w:vAlign w:val="center"/>
          </w:tcPr>
          <w:p w14:paraId="0C17E636">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噪声污染</w:t>
            </w:r>
          </w:p>
        </w:tc>
        <w:tc>
          <w:tcPr>
            <w:tcW w:w="2503" w:type="dxa"/>
            <w:vAlign w:val="center"/>
          </w:tcPr>
          <w:p w14:paraId="233D67BD">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由于各种原因导致的噪声超出国家标准</w:t>
            </w:r>
          </w:p>
        </w:tc>
        <w:tc>
          <w:tcPr>
            <w:tcW w:w="2862" w:type="dxa"/>
            <w:vAlign w:val="center"/>
          </w:tcPr>
          <w:p w14:paraId="728DD903">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对操作者听力造成损伤</w:t>
            </w:r>
          </w:p>
        </w:tc>
      </w:tr>
      <w:tr w14:paraId="3373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1421" w:type="dxa"/>
            <w:vMerge w:val="continue"/>
            <w:vAlign w:val="center"/>
          </w:tcPr>
          <w:p w14:paraId="75E70883">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42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2227" w:type="dxa"/>
            <w:vAlign w:val="center"/>
          </w:tcPr>
          <w:p w14:paraId="7B00235D">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由于废物和/或医疗器械处置造成的污染</w:t>
            </w:r>
          </w:p>
        </w:tc>
        <w:tc>
          <w:tcPr>
            <w:tcW w:w="2503" w:type="dxa"/>
            <w:vAlign w:val="center"/>
          </w:tcPr>
          <w:p w14:paraId="09B5065E">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废弃物处理不当</w:t>
            </w:r>
          </w:p>
        </w:tc>
        <w:tc>
          <w:tcPr>
            <w:tcW w:w="2862" w:type="dxa"/>
            <w:vAlign w:val="center"/>
          </w:tcPr>
          <w:p w14:paraId="4072BA3F">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污染环境，产生生物学危险</w:t>
            </w:r>
          </w:p>
        </w:tc>
      </w:tr>
      <w:tr w14:paraId="66E8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421" w:type="dxa"/>
            <w:vAlign w:val="center"/>
          </w:tcPr>
          <w:p w14:paraId="23D29348">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生物学和化学危险</w:t>
            </w:r>
          </w:p>
        </w:tc>
        <w:tc>
          <w:tcPr>
            <w:tcW w:w="2227" w:type="dxa"/>
            <w:vAlign w:val="center"/>
          </w:tcPr>
          <w:p w14:paraId="375C48C7">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生物污染</w:t>
            </w:r>
          </w:p>
        </w:tc>
        <w:tc>
          <w:tcPr>
            <w:tcW w:w="2503" w:type="dxa"/>
            <w:vAlign w:val="center"/>
          </w:tcPr>
          <w:p w14:paraId="3AAF8D51">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标本遗洒、样品针刺伤</w:t>
            </w:r>
          </w:p>
        </w:tc>
        <w:tc>
          <w:tcPr>
            <w:tcW w:w="2862" w:type="dxa"/>
            <w:vAlign w:val="center"/>
          </w:tcPr>
          <w:p w14:paraId="5DEF8F22">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造成使用者感染</w:t>
            </w:r>
          </w:p>
        </w:tc>
      </w:tr>
      <w:tr w14:paraId="04C3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jc w:val="center"/>
        </w:trPr>
        <w:tc>
          <w:tcPr>
            <w:tcW w:w="1421" w:type="dxa"/>
            <w:vMerge w:val="restart"/>
            <w:vAlign w:val="center"/>
          </w:tcPr>
          <w:p w14:paraId="7D779753">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与医疗器械使用有关的危险</w:t>
            </w:r>
          </w:p>
        </w:tc>
        <w:tc>
          <w:tcPr>
            <w:tcW w:w="2227" w:type="dxa"/>
            <w:vAlign w:val="center"/>
          </w:tcPr>
          <w:p w14:paraId="198449BA">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不适当的标记</w:t>
            </w:r>
          </w:p>
        </w:tc>
        <w:tc>
          <w:tcPr>
            <w:tcW w:w="2503" w:type="dxa"/>
            <w:vAlign w:val="center"/>
          </w:tcPr>
          <w:p w14:paraId="6A5E6DA9">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标记不明显</w:t>
            </w:r>
          </w:p>
        </w:tc>
        <w:tc>
          <w:tcPr>
            <w:tcW w:w="2862" w:type="dxa"/>
            <w:vAlign w:val="center"/>
          </w:tcPr>
          <w:p w14:paraId="6A11801C">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按键被使用者误读、误按</w:t>
            </w:r>
          </w:p>
        </w:tc>
      </w:tr>
      <w:tr w14:paraId="2435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1421" w:type="dxa"/>
            <w:vMerge w:val="continue"/>
            <w:vAlign w:val="center"/>
          </w:tcPr>
          <w:p w14:paraId="545914D0">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42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2227" w:type="dxa"/>
            <w:vAlign w:val="center"/>
          </w:tcPr>
          <w:p w14:paraId="64499C11">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不适当的操作说明</w:t>
            </w:r>
          </w:p>
        </w:tc>
        <w:tc>
          <w:tcPr>
            <w:tcW w:w="2503" w:type="dxa"/>
            <w:vAlign w:val="center"/>
          </w:tcPr>
          <w:p w14:paraId="0B8F1C6F">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操作说明书过于复杂</w:t>
            </w:r>
          </w:p>
        </w:tc>
        <w:tc>
          <w:tcPr>
            <w:tcW w:w="2862" w:type="dxa"/>
            <w:vAlign w:val="center"/>
          </w:tcPr>
          <w:p w14:paraId="730E61A8">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使用者无法按照说明书进行操作</w:t>
            </w:r>
          </w:p>
        </w:tc>
      </w:tr>
      <w:tr w14:paraId="1199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1421" w:type="dxa"/>
            <w:vMerge w:val="continue"/>
            <w:vAlign w:val="center"/>
          </w:tcPr>
          <w:p w14:paraId="64EDA4CF">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42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2227" w:type="dxa"/>
            <w:vAlign w:val="center"/>
          </w:tcPr>
          <w:p w14:paraId="6EFCB285">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由不熟练/未经训练的人员使用</w:t>
            </w:r>
          </w:p>
        </w:tc>
        <w:tc>
          <w:tcPr>
            <w:tcW w:w="2503" w:type="dxa"/>
            <w:vAlign w:val="center"/>
          </w:tcPr>
          <w:p w14:paraId="5B23D3B5">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未对使用者进行培训或者使用者未阅读说明书</w:t>
            </w:r>
          </w:p>
        </w:tc>
        <w:tc>
          <w:tcPr>
            <w:tcW w:w="2862" w:type="dxa"/>
            <w:vAlign w:val="center"/>
          </w:tcPr>
          <w:p w14:paraId="385D8FE9">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仪器无法被正确使用</w:t>
            </w:r>
          </w:p>
        </w:tc>
      </w:tr>
      <w:tr w14:paraId="4443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421" w:type="dxa"/>
            <w:vAlign w:val="center"/>
          </w:tcPr>
          <w:p w14:paraId="62398E37">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不适当、不合适或过于复杂的使用者接口</w:t>
            </w:r>
          </w:p>
        </w:tc>
        <w:tc>
          <w:tcPr>
            <w:tcW w:w="2227" w:type="dxa"/>
            <w:vAlign w:val="center"/>
          </w:tcPr>
          <w:p w14:paraId="488DE770">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视觉、听觉或触觉的不充分</w:t>
            </w:r>
          </w:p>
        </w:tc>
        <w:tc>
          <w:tcPr>
            <w:tcW w:w="2503" w:type="dxa"/>
            <w:vAlign w:val="center"/>
          </w:tcPr>
          <w:p w14:paraId="6235257A">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显示、声音提示不清</w:t>
            </w:r>
          </w:p>
        </w:tc>
        <w:tc>
          <w:tcPr>
            <w:tcW w:w="2862" w:type="dxa"/>
            <w:vAlign w:val="center"/>
          </w:tcPr>
          <w:p w14:paraId="3A8CCA86">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按键被使用者误读、误按</w:t>
            </w:r>
          </w:p>
        </w:tc>
      </w:tr>
      <w:tr w14:paraId="5ECA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6" w:hRule="atLeast"/>
          <w:jc w:val="center"/>
        </w:trPr>
        <w:tc>
          <w:tcPr>
            <w:tcW w:w="1421" w:type="dxa"/>
            <w:vMerge w:val="restart"/>
            <w:vAlign w:val="center"/>
          </w:tcPr>
          <w:p w14:paraId="653F3F76">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功能性失效、维修和老化引起的危险</w:t>
            </w:r>
          </w:p>
        </w:tc>
        <w:tc>
          <w:tcPr>
            <w:tcW w:w="2227" w:type="dxa"/>
            <w:vAlign w:val="center"/>
          </w:tcPr>
          <w:p w14:paraId="70DDC402">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维修规范缺少或不适当，包括维修后检查规范不适当</w:t>
            </w:r>
          </w:p>
        </w:tc>
        <w:tc>
          <w:tcPr>
            <w:tcW w:w="2503" w:type="dxa"/>
            <w:vAlign w:val="center"/>
          </w:tcPr>
          <w:p w14:paraId="3BA8FABC">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未按照规范进行服务和维修</w:t>
            </w:r>
          </w:p>
        </w:tc>
        <w:tc>
          <w:tcPr>
            <w:tcW w:w="2862" w:type="dxa"/>
            <w:vAlign w:val="center"/>
          </w:tcPr>
          <w:p w14:paraId="42972477">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仪器未达到修复使用要求</w:t>
            </w:r>
          </w:p>
        </w:tc>
      </w:tr>
      <w:tr w14:paraId="6765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421" w:type="dxa"/>
            <w:vMerge w:val="continue"/>
            <w:vAlign w:val="center"/>
          </w:tcPr>
          <w:p w14:paraId="18942047">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42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2227" w:type="dxa"/>
            <w:vAlign w:val="center"/>
          </w:tcPr>
          <w:p w14:paraId="1B545B18">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维护的不适当</w:t>
            </w:r>
          </w:p>
        </w:tc>
        <w:tc>
          <w:tcPr>
            <w:tcW w:w="2503" w:type="dxa"/>
            <w:vAlign w:val="center"/>
          </w:tcPr>
          <w:p w14:paraId="5E0CAF63">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未按要求进行维护</w:t>
            </w:r>
          </w:p>
        </w:tc>
        <w:tc>
          <w:tcPr>
            <w:tcW w:w="2862" w:type="dxa"/>
            <w:vAlign w:val="center"/>
          </w:tcPr>
          <w:p w14:paraId="2E778269">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仪器无法被正确维护</w:t>
            </w:r>
          </w:p>
        </w:tc>
      </w:tr>
      <w:tr w14:paraId="5772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421" w:type="dxa"/>
            <w:vMerge w:val="continue"/>
            <w:vAlign w:val="center"/>
          </w:tcPr>
          <w:p w14:paraId="26466E53">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42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2227" w:type="dxa"/>
            <w:vAlign w:val="center"/>
          </w:tcPr>
          <w:p w14:paraId="5BCC85C2">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不适当的包装</w:t>
            </w:r>
          </w:p>
        </w:tc>
        <w:tc>
          <w:tcPr>
            <w:tcW w:w="2503" w:type="dxa"/>
            <w:vAlign w:val="center"/>
          </w:tcPr>
          <w:p w14:paraId="748069E1">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未保存原包装</w:t>
            </w:r>
          </w:p>
        </w:tc>
        <w:tc>
          <w:tcPr>
            <w:tcW w:w="2862" w:type="dxa"/>
            <w:vAlign w:val="center"/>
          </w:tcPr>
          <w:p w14:paraId="151D1080">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仪器送修运输中受损</w:t>
            </w:r>
          </w:p>
        </w:tc>
      </w:tr>
      <w:tr w14:paraId="3A20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421" w:type="dxa"/>
            <w:vMerge w:val="continue"/>
            <w:vAlign w:val="center"/>
          </w:tcPr>
          <w:p w14:paraId="4906B801">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ind w:firstLine="420"/>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2227" w:type="dxa"/>
            <w:vAlign w:val="center"/>
          </w:tcPr>
          <w:p w14:paraId="7BBC9589">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软件失效</w:t>
            </w:r>
          </w:p>
        </w:tc>
        <w:tc>
          <w:tcPr>
            <w:tcW w:w="2503" w:type="dxa"/>
            <w:vAlign w:val="center"/>
          </w:tcPr>
          <w:p w14:paraId="37D88FFF">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软件设计缺陷</w:t>
            </w:r>
          </w:p>
        </w:tc>
        <w:tc>
          <w:tcPr>
            <w:tcW w:w="2862" w:type="dxa"/>
            <w:vAlign w:val="center"/>
          </w:tcPr>
          <w:p w14:paraId="5A69B197">
            <w:pPr>
              <w:keepNext w:val="0"/>
              <w:keepLines w:val="0"/>
              <w:pageBreakBefore w:val="0"/>
              <w:widowControl w:val="0"/>
              <w:tabs>
                <w:tab w:val="left" w:pos="8040"/>
              </w:tabs>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仪器无法正常使用</w:t>
            </w:r>
          </w:p>
        </w:tc>
      </w:tr>
    </w:tbl>
    <w:p w14:paraId="6428FD90">
      <w:pPr>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p>
    <w:p w14:paraId="3C647B5C">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bookmarkStart w:id="13" w:name="_Toc433873345"/>
      <w:r>
        <w:rPr>
          <w:rFonts w:hint="eastAsia" w:ascii="仿宋_GB2312" w:hAnsi="仿宋_GB2312" w:eastAsia="仿宋_GB2312" w:cs="仿宋_GB2312"/>
          <w:color w:val="000000" w:themeColor="text1"/>
          <w:sz w:val="32"/>
          <w:szCs w:val="32"/>
          <w14:textFill>
            <w14:solidFill>
              <w14:schemeClr w14:val="tx1"/>
            </w14:solidFill>
          </w14:textFill>
        </w:rPr>
        <w:t>2</w:t>
      </w:r>
      <w:bookmarkEnd w:id="13"/>
      <w:r>
        <w:rPr>
          <w:rFonts w:hint="eastAsia" w:ascii="仿宋_GB2312" w:hAnsi="仿宋_GB2312" w:eastAsia="仿宋_GB2312" w:cs="仿宋_GB2312"/>
          <w:color w:val="000000" w:themeColor="text1"/>
          <w:sz w:val="32"/>
          <w:szCs w:val="32"/>
          <w14:textFill>
            <w14:solidFill>
              <w14:schemeClr w14:val="tx1"/>
            </w14:solidFill>
          </w14:textFill>
        </w:rPr>
        <w:t>.产品技术要求及检验报告</w:t>
      </w:r>
    </w:p>
    <w:p w14:paraId="6171155B">
      <w:pPr>
        <w:spacing w:line="52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2.1产品技术要求</w:t>
      </w:r>
    </w:p>
    <w:p w14:paraId="26597A6B">
      <w:pPr>
        <w:adjustRightInd w:val="0"/>
        <w:snapToGrid w:val="0"/>
        <w:spacing w:line="520" w:lineRule="exact"/>
        <w:ind w:firstLine="640" w:firstLineChars="200"/>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注册申请人应按照《医疗器械产品技术要求编写指导原则》编写产品技术要求，包括</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功能性指标、安全性指标。若有专用国家标准/行业标准时，应优先符合国家标准/行业标准的要求。</w:t>
      </w:r>
    </w:p>
    <w:p w14:paraId="1EFE010F">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半自动血栓弹力图仪产品技术指标至少包括</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正常工作条件、外观、温度的准确度和波动性、准确性、重复性、通道一致性、稳定性、</w:t>
      </w:r>
      <w:r>
        <w:rPr>
          <w:rFonts w:hint="eastAsia" w:ascii="仿宋_GB2312" w:hAnsi="仿宋_GB2312" w:eastAsia="仿宋_GB2312" w:cs="仿宋_GB2312"/>
          <w:color w:val="000000" w:themeColor="text1"/>
          <w:sz w:val="32"/>
          <w:szCs w:val="32"/>
          <w:highlight w:val="none"/>
          <w14:textFill>
            <w14:solidFill>
              <w14:schemeClr w14:val="tx1"/>
            </w14:solidFill>
          </w14:textFill>
        </w:rPr>
        <w:t>电气安全、电磁兼容等要求。</w:t>
      </w:r>
    </w:p>
    <w:p w14:paraId="60C13B10">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全自动血栓弹力图仪产品技术指标至少包括</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正常工作条件、外观、温度的准确度和波动性、加样系统的准确度和重复性、准确性、重复性、通道一致性、稳定性、样本携带污染率、</w:t>
      </w:r>
      <w:r>
        <w:rPr>
          <w:rFonts w:hint="eastAsia" w:ascii="仿宋_GB2312" w:hAnsi="仿宋_GB2312" w:eastAsia="仿宋_GB2312" w:cs="仿宋_GB2312"/>
          <w:color w:val="000000" w:themeColor="text1"/>
          <w:sz w:val="32"/>
          <w:szCs w:val="32"/>
          <w:highlight w:val="none"/>
          <w14:textFill>
            <w14:solidFill>
              <w14:schemeClr w14:val="tx1"/>
            </w14:solidFill>
          </w14:textFill>
        </w:rPr>
        <w:t>电气安全、电磁兼容等要求。</w:t>
      </w:r>
    </w:p>
    <w:p w14:paraId="5C4C2BAC">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电气安全应当符合适用的国家标准和行业标准中的要求，软件组件在“产品型号/规格及其划分说明”明确软件的名称、型号规格（若适用）、发布版本、版本命名规则。在“性能指标”明确软件的功能、使用限制、接口、访问控制、运行环境（若适用）、性能效率（若适用）等要求。</w:t>
      </w:r>
    </w:p>
    <w:p w14:paraId="598CAA38">
      <w:pPr>
        <w:spacing w:line="52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2.2检验报告</w:t>
      </w:r>
    </w:p>
    <w:p w14:paraId="53D7E2F4">
      <w:pPr>
        <w:tabs>
          <w:tab w:val="left" w:pos="8040"/>
        </w:tabs>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可提交申请人出具的自检报告或委托有资质的医疗器械检验机构出具的检验报告</w:t>
      </w:r>
      <w:r>
        <w:rPr>
          <w:rFonts w:hint="eastAsia" w:ascii="仿宋_GB2312" w:hAnsi="仿宋_GB2312" w:eastAsia="仿宋_GB2312" w:cs="仿宋_GB2312"/>
          <w:bCs/>
          <w:color w:val="000000" w:themeColor="text1"/>
          <w:sz w:val="32"/>
          <w:szCs w:val="32"/>
          <w14:textFill>
            <w14:solidFill>
              <w14:schemeClr w14:val="tx1"/>
            </w14:solidFill>
          </w14:textFill>
        </w:rPr>
        <w:t>。提交自检报告需满足《医疗器械注册自检管理规定》的要求。提交委托检验报告的，委托检验机构应具有相应检验资质，按照《医疗器械检验工作规范》进行检验。</w:t>
      </w:r>
    </w:p>
    <w:p w14:paraId="656549C5">
      <w:pPr>
        <w:tabs>
          <w:tab w:val="left" w:pos="8040"/>
        </w:tabs>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同一注册单元内所检验的产品应当能够代表本注册单元内其他产品的安全性和有效性的典型产品。应考虑产品适用范围、性能指标、安全指标、结构组成等，</w:t>
      </w:r>
      <w:r>
        <w:rPr>
          <w:rFonts w:hint="eastAsia" w:ascii="仿宋_GB2312" w:hAnsi="仿宋_GB2312" w:eastAsia="仿宋_GB2312" w:cs="仿宋_GB2312"/>
          <w:color w:val="000000" w:themeColor="text1"/>
          <w:sz w:val="32"/>
          <w:szCs w:val="32"/>
          <w14:textFill>
            <w14:solidFill>
              <w14:schemeClr w14:val="tx1"/>
            </w14:solidFill>
          </w14:textFill>
        </w:rPr>
        <w:t>选择功能最全、结构最复杂、风险最高的产品。若选择典型性型号检验，申报资料中应提供典型型号覆盖说明，具体原则如下：</w:t>
      </w:r>
    </w:p>
    <w:p w14:paraId="3A556FF1">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2.2.1</w:t>
      </w:r>
      <w:r>
        <w:rPr>
          <w:rFonts w:hint="eastAsia" w:ascii="仿宋_GB2312" w:hAnsi="仿宋_GB2312" w:eastAsia="仿宋_GB2312" w:cs="仿宋_GB2312"/>
          <w:color w:val="000000" w:themeColor="text1"/>
          <w:kern w:val="0"/>
          <w:sz w:val="32"/>
          <w:szCs w:val="32"/>
          <w14:textFill>
            <w14:solidFill>
              <w14:schemeClr w14:val="tx1"/>
            </w14:solidFill>
          </w14:textFill>
        </w:rPr>
        <w:t>覆盖按最不利的原则确定，不能覆盖的差异性应分别检测。</w:t>
      </w:r>
    </w:p>
    <w:p w14:paraId="389684E0">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2.2.2</w:t>
      </w:r>
      <w:r>
        <w:rPr>
          <w:rFonts w:hint="eastAsia" w:ascii="仿宋_GB2312" w:hAnsi="仿宋_GB2312" w:eastAsia="仿宋_GB2312" w:cs="仿宋_GB2312"/>
          <w:color w:val="000000" w:themeColor="text1"/>
          <w:kern w:val="0"/>
          <w:sz w:val="32"/>
          <w:szCs w:val="32"/>
          <w14:textFill>
            <w14:solidFill>
              <w14:schemeClr w14:val="tx1"/>
            </w14:solidFill>
          </w14:textFill>
        </w:rPr>
        <w:t>涉及安全性、有效性的关键件应一致，不一致的应分别检测。</w:t>
      </w:r>
    </w:p>
    <w:p w14:paraId="4FFE195F">
      <w:pPr>
        <w:tabs>
          <w:tab w:val="left" w:pos="8040"/>
        </w:tabs>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2.2.3</w:t>
      </w:r>
      <w:r>
        <w:rPr>
          <w:rFonts w:hint="eastAsia" w:ascii="仿宋_GB2312" w:hAnsi="仿宋_GB2312" w:eastAsia="仿宋_GB2312" w:cs="仿宋_GB2312"/>
          <w:color w:val="000000" w:themeColor="text1"/>
          <w:kern w:val="0"/>
          <w:sz w:val="32"/>
          <w:szCs w:val="32"/>
          <w14:textFill>
            <w14:solidFill>
              <w14:schemeClr w14:val="tx1"/>
            </w14:solidFill>
          </w14:textFill>
        </w:rPr>
        <w:t>当没有充足证据能够证明同一注册单元内不同型号规格产品之间电磁兼容性能可以覆盖时，应选取每一型号规格产品进行电磁兼容项目检测。</w:t>
      </w:r>
    </w:p>
    <w:p w14:paraId="01639364">
      <w:pPr>
        <w:spacing w:line="52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3.研究资料</w:t>
      </w:r>
    </w:p>
    <w:p w14:paraId="1493957B">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3.1化学和物理性能研究</w:t>
      </w:r>
    </w:p>
    <w:p w14:paraId="4A6DD2A9">
      <w:pPr>
        <w:spacing w:line="52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bookmarkStart w:id="14" w:name="_Toc433873350"/>
      <w:r>
        <w:rPr>
          <w:rFonts w:hint="eastAsia" w:ascii="仿宋_GB2312" w:hAnsi="仿宋_GB2312" w:eastAsia="仿宋_GB2312" w:cs="仿宋_GB2312"/>
          <w:color w:val="000000" w:themeColor="text1"/>
          <w:sz w:val="32"/>
          <w:szCs w:val="32"/>
          <w14:textFill>
            <w14:solidFill>
              <w14:schemeClr w14:val="tx1"/>
            </w14:solidFill>
          </w14:textFill>
        </w:rPr>
        <w:t>性能指标确定的依据应根据产品的工作原理描述设计输入来源以及临床意义，明确申报产品所采用的标准或方法、采用的原因及理论基础。适用的国家标准、行业标准中，如果有不适用的条款，也应将不适用的条款及理由予以说明。对于标准中未给出具体要求的性能指标，注册申请人应说明申报产品功能性能指标确定的依据。</w:t>
      </w:r>
    </w:p>
    <w:p w14:paraId="366F3D02">
      <w:pPr>
        <w:spacing w:line="520" w:lineRule="exact"/>
        <w:ind w:firstLine="640" w:firstLineChars="200"/>
        <w:outlineLvl w:val="1"/>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注册申请人</w:t>
      </w:r>
      <w:r>
        <w:rPr>
          <w:rFonts w:hint="eastAsia" w:ascii="仿宋_GB2312" w:hAnsi="仿宋_GB2312" w:eastAsia="仿宋_GB2312" w:cs="仿宋_GB2312"/>
          <w:bCs/>
          <w:color w:val="000000" w:themeColor="text1"/>
          <w:spacing w:val="-4"/>
          <w:sz w:val="32"/>
          <w:szCs w:val="32"/>
          <w14:textFill>
            <w14:solidFill>
              <w14:schemeClr w14:val="tx1"/>
            </w14:solidFill>
          </w14:textFill>
        </w:rPr>
        <w:t>应根据申报产品的工作原理、测量原理合理制定性能参数，</w:t>
      </w:r>
      <w:r>
        <w:rPr>
          <w:rFonts w:hint="eastAsia" w:ascii="仿宋_GB2312" w:hAnsi="仿宋_GB2312" w:eastAsia="仿宋_GB2312" w:cs="仿宋_GB2312"/>
          <w:color w:val="000000" w:themeColor="text1"/>
          <w:sz w:val="32"/>
          <w:szCs w:val="32"/>
          <w14:textFill>
            <w14:solidFill>
              <w14:schemeClr w14:val="tx1"/>
            </w14:solidFill>
          </w14:textFill>
        </w:rPr>
        <w:t>包括功能性、安全性指标（如电气安全与电磁兼容）</w:t>
      </w:r>
      <w:r>
        <w:rPr>
          <w:rFonts w:hint="eastAsia" w:ascii="仿宋_GB2312" w:hAnsi="仿宋_GB2312" w:eastAsia="仿宋_GB2312" w:cs="仿宋_GB2312"/>
          <w:bCs/>
          <w:color w:val="000000" w:themeColor="text1"/>
          <w:spacing w:val="-4"/>
          <w:sz w:val="32"/>
          <w:szCs w:val="32"/>
          <w14:textFill>
            <w14:solidFill>
              <w14:schemeClr w14:val="tx1"/>
            </w14:solidFill>
          </w14:textFill>
        </w:rPr>
        <w:t>。</w:t>
      </w:r>
    </w:p>
    <w:p w14:paraId="7415388C">
      <w:pPr>
        <w:pStyle w:val="13"/>
        <w:spacing w:line="520" w:lineRule="exact"/>
        <w:ind w:firstLine="624" w:firstLineChars="200"/>
        <w:rPr>
          <w:rFonts w:hint="eastAsia" w:ascii="仿宋_GB2312" w:hAnsi="仿宋_GB2312" w:eastAsia="仿宋_GB2312" w:cs="仿宋_GB2312"/>
          <w:bCs/>
          <w:color w:val="000000" w:themeColor="text1"/>
          <w:spacing w:val="-4"/>
          <w:kern w:val="2"/>
          <w:sz w:val="32"/>
          <w:szCs w:val="32"/>
          <w14:textFill>
            <w14:solidFill>
              <w14:schemeClr w14:val="tx1"/>
            </w14:solidFill>
          </w14:textFill>
        </w:rPr>
      </w:pPr>
      <w:r>
        <w:rPr>
          <w:rFonts w:hint="eastAsia" w:ascii="仿宋_GB2312" w:hAnsi="仿宋_GB2312" w:eastAsia="仿宋_GB2312" w:cs="仿宋_GB2312"/>
          <w:bCs/>
          <w:color w:val="000000" w:themeColor="text1"/>
          <w:spacing w:val="-4"/>
          <w:kern w:val="2"/>
          <w:sz w:val="32"/>
          <w:szCs w:val="32"/>
          <w14:textFill>
            <w14:solidFill>
              <w14:schemeClr w14:val="tx1"/>
            </w14:solidFill>
          </w14:textFill>
        </w:rPr>
        <w:t>申报产品各组成模块性能的研究资料：应根据综述资料中有关申报产品结构组成和各主要组成模块的情况进行，提供详细的研究资料，一般应包括对温控模块（温度的准确度和波动性）、加样模块（样本加样量准确度、样本加样量重复性）、样品传送及处理模块（通道一致性、稳定性、样本携带污染率）、检测模块（原理、准确性、重复性）的功能性指标或者模块中主要元器件功能性指标的研究资料（仅举例）。</w:t>
      </w:r>
    </w:p>
    <w:p w14:paraId="436154AB">
      <w:pPr>
        <w:pStyle w:val="13"/>
        <w:spacing w:line="520" w:lineRule="exact"/>
        <w:ind w:firstLine="608"/>
        <w:outlineLvl w:val="1"/>
        <w:rPr>
          <w:rFonts w:hint="eastAsia" w:ascii="仿宋_GB2312" w:hAnsi="仿宋_GB2312" w:eastAsia="仿宋_GB2312" w:cs="仿宋_GB2312"/>
          <w:bCs/>
          <w:color w:val="000000" w:themeColor="text1"/>
          <w:spacing w:val="-4"/>
          <w:kern w:val="2"/>
          <w:sz w:val="32"/>
          <w:szCs w:val="32"/>
          <w14:textFill>
            <w14:solidFill>
              <w14:schemeClr w14:val="tx1"/>
            </w14:solidFill>
          </w14:textFill>
        </w:rPr>
      </w:pPr>
      <w:r>
        <w:rPr>
          <w:rFonts w:hint="eastAsia" w:ascii="仿宋_GB2312" w:hAnsi="仿宋_GB2312" w:eastAsia="仿宋_GB2312" w:cs="仿宋_GB2312"/>
          <w:bCs/>
          <w:color w:val="000000" w:themeColor="text1"/>
          <w:spacing w:val="-4"/>
          <w:kern w:val="2"/>
          <w:sz w:val="32"/>
          <w:szCs w:val="32"/>
          <w14:textFill>
            <w14:solidFill>
              <w14:schemeClr w14:val="tx1"/>
            </w14:solidFill>
          </w14:textFill>
        </w:rPr>
        <w:t>申报产品临床项目分析性能的研究资料：</w:t>
      </w:r>
    </w:p>
    <w:p w14:paraId="1A29E66E">
      <w:pPr>
        <w:pStyle w:val="13"/>
        <w:spacing w:line="520" w:lineRule="exact"/>
        <w:ind w:firstLine="608"/>
        <w:outlineLvl w:val="1"/>
        <w:rPr>
          <w:rFonts w:hint="eastAsia" w:ascii="仿宋_GB2312" w:hAnsi="仿宋_GB2312" w:eastAsia="仿宋_GB2312" w:cs="仿宋_GB2312"/>
          <w:bCs/>
          <w:color w:val="000000" w:themeColor="text1"/>
          <w:spacing w:val="-4"/>
          <w:kern w:val="2"/>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pacing w:val="-4"/>
          <w:kern w:val="2"/>
          <w:sz w:val="32"/>
          <w:szCs w:val="32"/>
          <w:highlight w:val="none"/>
          <w14:textFill>
            <w14:solidFill>
              <w14:schemeClr w14:val="tx1"/>
            </w14:solidFill>
          </w14:textFill>
        </w:rPr>
        <w:t>建议申请人根据申报产品的工作原理及功能性指标，</w:t>
      </w:r>
      <w:r>
        <w:rPr>
          <w:rFonts w:hint="eastAsia" w:ascii="仿宋_GB2312" w:hAnsi="仿宋_GB2312" w:eastAsia="仿宋_GB2312" w:cs="仿宋_GB2312"/>
          <w:color w:val="000000" w:themeColor="text1"/>
          <w:sz w:val="32"/>
          <w:szCs w:val="32"/>
          <w:highlight w:val="none"/>
          <w14:textFill>
            <w14:solidFill>
              <w14:schemeClr w14:val="tx1"/>
            </w14:solidFill>
          </w14:textFill>
        </w:rPr>
        <w:t>对主要性能进行系统性研究，</w:t>
      </w:r>
      <w:r>
        <w:rPr>
          <w:rFonts w:hint="eastAsia" w:ascii="仿宋_GB2312" w:hAnsi="仿宋_GB2312" w:eastAsia="仿宋_GB2312" w:cs="仿宋_GB2312"/>
          <w:bCs/>
          <w:color w:val="000000" w:themeColor="text1"/>
          <w:spacing w:val="-4"/>
          <w:kern w:val="2"/>
          <w:sz w:val="32"/>
          <w:szCs w:val="32"/>
          <w:highlight w:val="none"/>
          <w14:textFill>
            <w14:solidFill>
              <w14:schemeClr w14:val="tx1"/>
            </w14:solidFill>
          </w14:textFill>
        </w:rPr>
        <w:t>至少包含准确性、重复性、样本携带污染率（如适用）等。建议采用临床样本进行准确性研究，与已上市</w:t>
      </w:r>
      <w:r>
        <w:rPr>
          <w:rFonts w:hint="eastAsia" w:ascii="仿宋_GB2312" w:hAnsi="仿宋_GB2312" w:eastAsia="仿宋_GB2312" w:cs="仿宋_GB2312"/>
          <w:bCs/>
          <w:color w:val="000000" w:themeColor="text1"/>
          <w:spacing w:val="-4"/>
          <w:kern w:val="2"/>
          <w:sz w:val="32"/>
          <w:szCs w:val="32"/>
          <w14:textFill>
            <w14:solidFill>
              <w14:schemeClr w14:val="tx1"/>
            </w14:solidFill>
          </w14:textFill>
        </w:rPr>
        <w:t>同类产品进行方法学比对</w:t>
      </w:r>
      <w:r>
        <w:rPr>
          <w:rFonts w:hint="eastAsia" w:ascii="仿宋_GB2312" w:hAnsi="仿宋_GB2312" w:eastAsia="仿宋_GB2312" w:cs="仿宋_GB2312"/>
          <w:bCs/>
          <w:color w:val="000000" w:themeColor="text1"/>
          <w:spacing w:val="-4"/>
          <w:kern w:val="2"/>
          <w:sz w:val="32"/>
          <w:szCs w:val="32"/>
          <w:highlight w:val="none"/>
          <w14:textFill>
            <w14:solidFill>
              <w14:schemeClr w14:val="tx1"/>
            </w14:solidFill>
          </w14:textFill>
        </w:rPr>
        <w:t>。临床项目分析性能的研究应包含预期用途的功能，验证的样品应涵盖凝血和抗凝、纤溶和抗纤溶。</w:t>
      </w:r>
    </w:p>
    <w:p w14:paraId="6E20D56F">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3.2电气系统安全性研究</w:t>
      </w:r>
    </w:p>
    <w:p w14:paraId="7E12C193">
      <w:pPr>
        <w:spacing w:line="520" w:lineRule="exact"/>
        <w:ind w:firstLine="640" w:firstLineChars="200"/>
        <w:rPr>
          <w:rFonts w:hint="eastAsia" w:ascii="仿宋_GB2312" w:hAnsi="仿宋_GB2312" w:eastAsia="仿宋_GB2312" w:cs="仿宋_GB2312"/>
          <w:bCs/>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应当提供电气安全性、机械和环境保护以及电磁兼容性的研究资料，说明适用的标准以及开展的研究。</w:t>
      </w:r>
    </w:p>
    <w:p w14:paraId="702F7B06">
      <w:pPr>
        <w:widowControl/>
        <w:snapToGrid w:val="0"/>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电气安全应当符合GB 4793的要求，建议符合GB/T 42125.1、GB/T 42125.2、YY/T 0648的要求。</w:t>
      </w:r>
    </w:p>
    <w:p w14:paraId="3DE294CA">
      <w:pPr>
        <w:pStyle w:val="13"/>
        <w:spacing w:line="520" w:lineRule="exact"/>
        <w:ind w:firstLine="624" w:firstLineChars="200"/>
        <w:rPr>
          <w:rFonts w:hint="eastAsia" w:ascii="仿宋_GB2312" w:hAnsi="仿宋_GB2312" w:eastAsia="仿宋_GB2312" w:cs="仿宋_GB2312"/>
          <w:bCs/>
          <w:color w:val="000000" w:themeColor="text1"/>
          <w:spacing w:val="-4"/>
          <w:kern w:val="2"/>
          <w:sz w:val="32"/>
          <w:szCs w:val="32"/>
          <w14:textFill>
            <w14:solidFill>
              <w14:schemeClr w14:val="tx1"/>
            </w14:solidFill>
          </w14:textFill>
        </w:rPr>
      </w:pPr>
      <w:r>
        <w:rPr>
          <w:rFonts w:hint="eastAsia" w:ascii="仿宋_GB2312" w:hAnsi="仿宋_GB2312" w:eastAsia="仿宋_GB2312" w:cs="仿宋_GB2312"/>
          <w:bCs/>
          <w:color w:val="000000" w:themeColor="text1"/>
          <w:spacing w:val="-4"/>
          <w:kern w:val="2"/>
          <w:sz w:val="32"/>
          <w:szCs w:val="32"/>
          <w14:textFill>
            <w14:solidFill>
              <w14:schemeClr w14:val="tx1"/>
            </w14:solidFill>
          </w14:textFill>
        </w:rPr>
        <w:t>机械和环境保护可参照</w:t>
      </w:r>
      <w:r>
        <w:rPr>
          <w:rFonts w:hint="eastAsia" w:ascii="仿宋_GB2312" w:hAnsi="仿宋_GB2312" w:eastAsia="仿宋_GB2312" w:cs="仿宋_GB2312"/>
          <w:color w:val="000000" w:themeColor="text1"/>
          <w:kern w:val="2"/>
          <w:sz w:val="32"/>
          <w:szCs w:val="32"/>
          <w14:textFill>
            <w14:solidFill>
              <w14:schemeClr w14:val="tx1"/>
            </w14:solidFill>
          </w14:textFill>
        </w:rPr>
        <w:t>GB/T 14710</w:t>
      </w:r>
      <w:r>
        <w:rPr>
          <w:rFonts w:hint="eastAsia" w:ascii="仿宋_GB2312" w:hAnsi="仿宋_GB2312" w:eastAsia="仿宋_GB2312" w:cs="仿宋_GB2312"/>
          <w:bCs/>
          <w:color w:val="000000" w:themeColor="text1"/>
          <w:spacing w:val="-4"/>
          <w:kern w:val="2"/>
          <w:sz w:val="32"/>
          <w:szCs w:val="32"/>
          <w14:textFill>
            <w14:solidFill>
              <w14:schemeClr w14:val="tx1"/>
            </w14:solidFill>
          </w14:textFill>
        </w:rPr>
        <w:t>《医用电器环境要求及试验方法》的要求。可采用其他等效或更优方法替代。在气候环境试验、机械环境试验和运输试验结束后应进行全项检验，中间检测应当为性能检验。</w:t>
      </w:r>
    </w:p>
    <w:p w14:paraId="07E9CE93">
      <w:pPr>
        <w:pStyle w:val="13"/>
        <w:spacing w:line="520" w:lineRule="exact"/>
        <w:ind w:firstLine="624" w:firstLineChars="200"/>
        <w:rPr>
          <w:rFonts w:hint="eastAsia" w:ascii="仿宋_GB2312" w:hAnsi="仿宋_GB2312" w:eastAsia="仿宋_GB2312" w:cs="仿宋_GB2312"/>
          <w:bCs/>
          <w:color w:val="000000" w:themeColor="text1"/>
          <w:spacing w:val="-4"/>
          <w:kern w:val="2"/>
          <w:sz w:val="32"/>
          <w:szCs w:val="32"/>
          <w14:textFill>
            <w14:solidFill>
              <w14:schemeClr w14:val="tx1"/>
            </w14:solidFill>
          </w14:textFill>
        </w:rPr>
      </w:pPr>
      <w:r>
        <w:rPr>
          <w:rFonts w:hint="eastAsia" w:ascii="仿宋_GB2312" w:hAnsi="仿宋_GB2312" w:eastAsia="仿宋_GB2312" w:cs="仿宋_GB2312"/>
          <w:bCs/>
          <w:color w:val="000000" w:themeColor="text1"/>
          <w:spacing w:val="-4"/>
          <w:kern w:val="2"/>
          <w:sz w:val="32"/>
          <w:szCs w:val="32"/>
          <w14:textFill>
            <w14:solidFill>
              <w14:schemeClr w14:val="tx1"/>
            </w14:solidFill>
          </w14:textFill>
        </w:rPr>
        <w:t>电磁兼容性应当符合</w:t>
      </w:r>
      <w:r>
        <w:rPr>
          <w:rFonts w:hint="eastAsia" w:ascii="仿宋_GB2312" w:hAnsi="仿宋_GB2312" w:eastAsia="仿宋_GB2312" w:cs="仿宋_GB2312"/>
          <w:color w:val="000000" w:themeColor="text1"/>
          <w:kern w:val="2"/>
          <w:sz w:val="32"/>
          <w:szCs w:val="32"/>
          <w14:textFill>
            <w14:solidFill>
              <w14:schemeClr w14:val="tx1"/>
            </w14:solidFill>
          </w14:textFill>
        </w:rPr>
        <w:t>GB/T 18268.1</w:t>
      </w:r>
      <w:r>
        <w:rPr>
          <w:rFonts w:hint="eastAsia" w:ascii="仿宋_GB2312" w:hAnsi="仿宋_GB2312" w:eastAsia="仿宋_GB2312" w:cs="仿宋_GB2312"/>
          <w:bCs/>
          <w:color w:val="000000" w:themeColor="text1"/>
          <w:spacing w:val="-4"/>
          <w:kern w:val="2"/>
          <w:sz w:val="32"/>
          <w:szCs w:val="32"/>
          <w14:textFill>
            <w14:solidFill>
              <w14:schemeClr w14:val="tx1"/>
            </w14:solidFill>
          </w14:textFill>
        </w:rPr>
        <w:t>和</w:t>
      </w:r>
      <w:r>
        <w:rPr>
          <w:rFonts w:hint="eastAsia" w:ascii="仿宋_GB2312" w:hAnsi="仿宋_GB2312" w:eastAsia="仿宋_GB2312" w:cs="仿宋_GB2312"/>
          <w:color w:val="000000" w:themeColor="text1"/>
          <w:kern w:val="2"/>
          <w:sz w:val="32"/>
          <w:szCs w:val="32"/>
          <w14:textFill>
            <w14:solidFill>
              <w14:schemeClr w14:val="tx1"/>
            </w14:solidFill>
          </w14:textFill>
        </w:rPr>
        <w:t>GB/T 18268.26</w:t>
      </w:r>
      <w:r>
        <w:rPr>
          <w:rFonts w:hint="eastAsia" w:ascii="仿宋_GB2312" w:hAnsi="仿宋_GB2312" w:eastAsia="仿宋_GB2312" w:cs="仿宋_GB2312"/>
          <w:bCs/>
          <w:color w:val="000000" w:themeColor="text1"/>
          <w:spacing w:val="-4"/>
          <w:kern w:val="2"/>
          <w:sz w:val="32"/>
          <w:szCs w:val="32"/>
          <w14:textFill>
            <w14:solidFill>
              <w14:schemeClr w14:val="tx1"/>
            </w14:solidFill>
          </w14:textFill>
        </w:rPr>
        <w:t>及其他适用的国家标准和行业标准的要求。</w:t>
      </w:r>
    </w:p>
    <w:p w14:paraId="26F49C3F">
      <w:pPr>
        <w:pStyle w:val="13"/>
        <w:spacing w:line="520" w:lineRule="exact"/>
        <w:ind w:firstLine="624" w:firstLineChars="200"/>
        <w:rPr>
          <w:rFonts w:hint="eastAsia" w:ascii="仿宋_GB2312" w:hAnsi="仿宋_GB2312" w:eastAsia="仿宋_GB2312" w:cs="仿宋_GB2312"/>
          <w:bCs/>
          <w:color w:val="000000" w:themeColor="text1"/>
          <w:spacing w:val="-4"/>
          <w:kern w:val="2"/>
          <w:sz w:val="32"/>
          <w:szCs w:val="32"/>
          <w14:textFill>
            <w14:solidFill>
              <w14:schemeClr w14:val="tx1"/>
            </w14:solidFill>
          </w14:textFill>
        </w:rPr>
      </w:pPr>
      <w:r>
        <w:rPr>
          <w:rFonts w:hint="eastAsia" w:ascii="仿宋_GB2312" w:hAnsi="仿宋_GB2312" w:eastAsia="仿宋_GB2312" w:cs="仿宋_GB2312"/>
          <w:bCs/>
          <w:color w:val="000000" w:themeColor="text1"/>
          <w:spacing w:val="-4"/>
          <w:kern w:val="2"/>
          <w:sz w:val="32"/>
          <w:szCs w:val="32"/>
          <w14:textFill>
            <w14:solidFill>
              <w14:schemeClr w14:val="tx1"/>
            </w14:solidFill>
          </w14:textFill>
        </w:rPr>
        <w:t>具备能力的申请人可对上述项目自行研究，并提交详细的验证资料，不具备能力的申请人可通过委托有资质的医疗器械检验机构进行检验的方式对上述项目进行验证，以委托检验报告作为该部分的验证资料。</w:t>
      </w:r>
    </w:p>
    <w:p w14:paraId="3A543137">
      <w:pPr>
        <w:spacing w:line="52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3.3软件及网络安全研究</w:t>
      </w:r>
    </w:p>
    <w:p w14:paraId="5F66CF63">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应参照《医疗器械软件注册审查指导原则（2022年修订版）》的要求提供研究资料，内容包括基本信息、实现过程、核心功能、结论等内容，详尽程度取决于软件安全性级别（严重、中等、轻微）。其中，基本信息包括软件标识、安全性级别、结构功能、物理拓扑、运行环境、注册历史，实现过程包括开发概况、风险管理、需求规范、生存周期、验证与确认、可追溯性分析、缺陷管理、更新历史，明确核心功能、核心算法、预期用途的对应关系。</w:t>
      </w:r>
    </w:p>
    <w:p w14:paraId="7EEB484A">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应参照《医疗器械网络安全注册审查指导原则（2022年修订版）》提供研究资料，基本信息包括软件信息、数据架构、网络安全能力、网络安全补丁、安全软件，实现过程包括风险管理、需求规范、验证与确认、可追溯性分析、更新维护计划，漏洞评估明确已知漏洞相关信息。</w:t>
      </w:r>
    </w:p>
    <w:bookmarkEnd w:id="14"/>
    <w:p w14:paraId="5043EFAF">
      <w:pPr>
        <w:spacing w:line="52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bookmarkStart w:id="15" w:name="_Toc433873351"/>
      <w:r>
        <w:rPr>
          <w:rFonts w:hint="eastAsia" w:ascii="仿宋_GB2312" w:hAnsi="仿宋_GB2312" w:eastAsia="仿宋_GB2312" w:cs="仿宋_GB2312"/>
          <w:color w:val="000000" w:themeColor="text1"/>
          <w:sz w:val="32"/>
          <w:szCs w:val="32"/>
          <w14:textFill>
            <w14:solidFill>
              <w14:schemeClr w14:val="tx1"/>
            </w14:solidFill>
          </w14:textFill>
        </w:rPr>
        <w:t>3.4清洁、消毒、灭菌研究</w:t>
      </w:r>
      <w:bookmarkEnd w:id="15"/>
    </w:p>
    <w:p w14:paraId="21BF6FA9">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bookmarkStart w:id="16" w:name="_Toc433873352"/>
      <w:r>
        <w:rPr>
          <w:rFonts w:hint="eastAsia" w:ascii="仿宋_GB2312" w:hAnsi="仿宋_GB2312" w:eastAsia="仿宋_GB2312" w:cs="仿宋_GB2312"/>
          <w:color w:val="000000" w:themeColor="text1"/>
          <w:sz w:val="32"/>
          <w:szCs w:val="32"/>
          <w14:textFill>
            <w14:solidFill>
              <w14:schemeClr w14:val="tx1"/>
            </w14:solidFill>
          </w14:textFill>
        </w:rPr>
        <w:t>一般情况下，血栓弹力图仪与使用者表面皮肤接触，无需灭菌，由使用者常规擦拭或低水平消毒，可不提供消毒灭菌研究资料。若主机及配件涉及终端用户消毒，注册申请人应当明确推荐的消毒方法以及所推荐方法确定的依据及验证的相关研究资料。</w:t>
      </w:r>
    </w:p>
    <w:p w14:paraId="0A0B66CF">
      <w:pPr>
        <w:pStyle w:val="13"/>
        <w:spacing w:line="520" w:lineRule="exact"/>
        <w:ind w:firstLine="640" w:firstLineChars="200"/>
        <w:rPr>
          <w:rFonts w:hint="eastAsia"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14:textFill>
            <w14:solidFill>
              <w14:schemeClr w14:val="tx1"/>
            </w14:solidFill>
          </w14:textFill>
        </w:rPr>
        <w:t>3.5可用性研究</w:t>
      </w:r>
    </w:p>
    <w:p w14:paraId="69373E73">
      <w:pPr>
        <w:pStyle w:val="13"/>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应参照《医疗器械可用性工程注册审查指导原则》，提交</w:t>
      </w:r>
      <w:r>
        <w:rPr>
          <w:rFonts w:hint="eastAsia" w:ascii="仿宋_GB2312" w:hAnsi="仿宋_GB2312" w:eastAsia="仿宋_GB2312" w:cs="仿宋_GB2312"/>
          <w:sz w:val="32"/>
          <w:szCs w:val="32"/>
        </w:rPr>
        <w:t>使用错误评估报告</w:t>
      </w:r>
      <w:r>
        <w:rPr>
          <w:rFonts w:hint="eastAsia" w:ascii="仿宋_GB2312" w:hAnsi="仿宋_GB2312" w:eastAsia="仿宋_GB2312" w:cs="仿宋_GB2312"/>
          <w:color w:val="000000" w:themeColor="text1"/>
          <w:sz w:val="32"/>
          <w:szCs w:val="32"/>
          <w14:textFill>
            <w14:solidFill>
              <w14:schemeClr w14:val="tx1"/>
            </w14:solidFill>
          </w14:textFill>
        </w:rPr>
        <w:t>。</w:t>
      </w:r>
    </w:p>
    <w:bookmarkEnd w:id="16"/>
    <w:p w14:paraId="367C93D5">
      <w:pPr>
        <w:spacing w:line="52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4.稳定性研究</w:t>
      </w:r>
    </w:p>
    <w:p w14:paraId="171BBBAA">
      <w:pPr>
        <w:spacing w:line="52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4.1使用稳定性</w:t>
      </w:r>
    </w:p>
    <w:p w14:paraId="70D02103">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使用期限一般主要取决于使用过程中部件、元器件的损耗、老化等，注册申请人应按照声称的使用期限对设备进行老化/疲劳试验，也可对影响设备使用期限的关键部件进行老化/疲劳试验，例如设备中不可更换（或更换成本高）的部件，并提供相应的研究资料。研究资料应能证明上述部件按照所声称的使用期限，经过老化/疲劳试验后，产品性能和安全仍符合预期的要求。使用期限也可基于已有数据进行合理的推断、分析、计算得出，但应提供详细的说明及支持性资料。可参照《有源医疗器械使用期限技术审查指导原则》的要求。</w:t>
      </w:r>
    </w:p>
    <w:p w14:paraId="2E07D2A3">
      <w:pPr>
        <w:spacing w:line="520" w:lineRule="exact"/>
        <w:ind w:firstLine="640" w:firstLineChars="200"/>
        <w:outlineLvl w:val="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4.2运输稳定性</w:t>
      </w:r>
    </w:p>
    <w:p w14:paraId="2602943B">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注册申请人对包装和产品进行模拟试验，模拟在贮存和运输过程中，遇到极端情况时，例如环境（温湿度、气压等）变化、跌落、振动、加速度等，产品不会发生性能、功能改变，包装系统具有保护产品的能力。经过模拟试验后，观察包装外观是否有不可接受的异常现象，对产品进行性能测试，证明运输和环境测试后产品能够保持其完整性和功能性。环境试验可参考GB/T 14710的要求，包装要求可参考GB/T 4857等系列标准。</w:t>
      </w:r>
    </w:p>
    <w:p w14:paraId="53D3C5C6">
      <w:pPr>
        <w:spacing w:line="520" w:lineRule="exact"/>
        <w:ind w:right="-67" w:rightChars="-32" w:firstLine="640" w:firstLineChars="200"/>
        <w:rPr>
          <w:rFonts w:ascii="Times New Roman" w:hAnsi="Times New Roman" w:eastAsia="楷体_GB2312"/>
          <w:color w:val="000000" w:themeColor="text1"/>
          <w:sz w:val="32"/>
          <w:szCs w:val="32"/>
          <w14:textFill>
            <w14:solidFill>
              <w14:schemeClr w14:val="tx1"/>
            </w14:solidFill>
          </w14:textFill>
        </w:rPr>
      </w:pPr>
      <w:r>
        <w:rPr>
          <w:rFonts w:hint="eastAsia" w:ascii="Times New Roman" w:hAnsi="Times New Roman" w:eastAsia="楷体_GB2312"/>
          <w:color w:val="000000" w:themeColor="text1"/>
          <w:sz w:val="32"/>
          <w:szCs w:val="32"/>
          <w14:textFill>
            <w14:solidFill>
              <w14:schemeClr w14:val="tx1"/>
            </w14:solidFill>
          </w14:textFill>
        </w:rPr>
        <w:t>（四）临床评价资料</w:t>
      </w:r>
    </w:p>
    <w:p w14:paraId="3688B4E6">
      <w:pPr>
        <w:spacing w:line="520" w:lineRule="exact"/>
        <w:ind w:firstLine="640"/>
        <w:rPr>
          <w:rFonts w:hint="eastAsia" w:ascii="仿宋_GB2312" w:hAnsi="仿宋_GB2312" w:eastAsia="仿宋_GB2312" w:cs="仿宋_GB2312"/>
          <w:bCs/>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该产品列入《免于进行临床评价医疗器械目录》，申请人无需提交临床评价资料。</w:t>
      </w:r>
    </w:p>
    <w:p w14:paraId="7B993E48">
      <w:pPr>
        <w:spacing w:line="520" w:lineRule="exact"/>
        <w:ind w:firstLine="624"/>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pacing w:val="-4"/>
          <w:sz w:val="32"/>
          <w:szCs w:val="32"/>
          <w14:textFill>
            <w14:solidFill>
              <w14:schemeClr w14:val="tx1"/>
            </w14:solidFill>
          </w14:textFill>
        </w:rPr>
        <w:t>若申报产品与《目录》中产品结构组成、工作原理、适用范围不一致的，</w:t>
      </w:r>
      <w:r>
        <w:rPr>
          <w:rFonts w:hint="eastAsia" w:ascii="仿宋_GB2312" w:hAnsi="仿宋_GB2312" w:eastAsia="仿宋_GB2312" w:cs="仿宋_GB2312"/>
          <w:color w:val="000000" w:themeColor="text1"/>
          <w:sz w:val="32"/>
          <w:szCs w:val="32"/>
          <w14:textFill>
            <w14:solidFill>
              <w14:schemeClr w14:val="tx1"/>
            </w14:solidFill>
          </w14:textFill>
        </w:rPr>
        <w:t>注册申请人应当依据所申报产品的</w:t>
      </w:r>
      <w:r>
        <w:rPr>
          <w:rFonts w:eastAsia="仿宋_GB2312"/>
          <w:color w:val="000000"/>
          <w:sz w:val="32"/>
          <w:szCs w:val="32"/>
        </w:rPr>
        <w:t>适用范围、技术特征、已有临床数据等具体情况，选择恰当的临床评价路径</w:t>
      </w:r>
      <w:r>
        <w:rPr>
          <w:rFonts w:hint="eastAsia" w:ascii="仿宋_GB2312" w:hAnsi="仿宋_GB2312" w:eastAsia="仿宋_GB2312" w:cs="仿宋_GB2312"/>
          <w:color w:val="000000" w:themeColor="text1"/>
          <w:sz w:val="32"/>
          <w:szCs w:val="32"/>
          <w14:textFill>
            <w14:solidFill>
              <w14:schemeClr w14:val="tx1"/>
            </w14:solidFill>
          </w14:textFill>
        </w:rPr>
        <w:t>进行临床评价。</w:t>
      </w:r>
    </w:p>
    <w:p w14:paraId="1DBBE1A0">
      <w:pPr>
        <w:spacing w:line="520" w:lineRule="exact"/>
        <w:ind w:firstLine="640" w:firstLineChars="200"/>
        <w:rPr>
          <w:rFonts w:ascii="Times New Roman" w:hAnsi="Times New Roman" w:eastAsia="楷体_GB2312"/>
          <w:color w:val="000000" w:themeColor="text1"/>
          <w:sz w:val="32"/>
          <w:szCs w:val="32"/>
          <w14:textFill>
            <w14:solidFill>
              <w14:schemeClr w14:val="tx1"/>
            </w14:solidFill>
          </w14:textFill>
        </w:rPr>
      </w:pPr>
      <w:r>
        <w:rPr>
          <w:rFonts w:ascii="Times New Roman" w:hAnsi="Times New Roman" w:eastAsia="楷体_GB2312"/>
          <w:color w:val="000000" w:themeColor="text1"/>
          <w:sz w:val="32"/>
          <w:szCs w:val="32"/>
          <w14:textFill>
            <w14:solidFill>
              <w14:schemeClr w14:val="tx1"/>
            </w14:solidFill>
          </w14:textFill>
        </w:rPr>
        <w:t>（五）产品说明书和标签样稿</w:t>
      </w:r>
    </w:p>
    <w:p w14:paraId="2D42D067">
      <w:pPr>
        <w:tabs>
          <w:tab w:val="left" w:pos="851"/>
        </w:tabs>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1.产品说明书</w:t>
      </w:r>
    </w:p>
    <w:p w14:paraId="5BE08257">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产品说明书应当符合《医疗器械说明书和标签管理规定》和YY/T 0466.1中的相关要求。产品说明书的内容均应有明确的来源，与综述资料、研究资料等注册申报资料的内容保持一致。结合产品特点重点关注以下内容：</w:t>
      </w:r>
    </w:p>
    <w:p w14:paraId="40A8522F">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kern w:val="0"/>
          <w:sz w:val="32"/>
          <w:szCs w:val="32"/>
          <w14:textFill>
            <w14:solidFill>
              <w14:schemeClr w14:val="tx1"/>
            </w14:solidFill>
          </w14:textFill>
        </w:rPr>
        <w:t>主要结构组成</w:t>
      </w:r>
    </w:p>
    <w:p w14:paraId="41B73C63">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建议以实物照片/示意图加文字的形式对申报产品的整体结构进行描述，标明各主要模块的名称（应包含软件组件，并注明软件组件的名称、型号规格和发布版本）。建议以实物照片/透视图/俯视图/剖面图加文字的形式对各主要模块逐一进行描述，标明每一主要模块的主要组成结构和主要元器件的名称，对于重要元器件或功能零部件，建议单独进行描述。</w:t>
      </w:r>
    </w:p>
    <w:p w14:paraId="0B653C2A">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kern w:val="0"/>
          <w:sz w:val="32"/>
          <w:szCs w:val="32"/>
          <w14:textFill>
            <w14:solidFill>
              <w14:schemeClr w14:val="tx1"/>
            </w14:solidFill>
          </w14:textFill>
        </w:rPr>
        <w:t>性能指标</w:t>
      </w:r>
    </w:p>
    <w:p w14:paraId="6E43CE39">
      <w:pPr>
        <w:spacing w:line="520" w:lineRule="exact"/>
        <w:ind w:firstLine="640" w:firstLineChars="200"/>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产品基本参数（主机尺寸、整机重量、开机预热时间、功耗等）、正常工作条件（温度、湿度、大气压力、电源要求等）、电气安全（瞬态过压类别、污染等级）、电磁兼容信息（分组、分类）、检测时间、整机性能指标（</w:t>
      </w:r>
      <w:r>
        <w:rPr>
          <w:rFonts w:hint="eastAsia" w:ascii="仿宋_GB2312" w:hAnsi="仿宋_GB2312" w:eastAsia="仿宋_GB2312" w:cs="仿宋_GB2312"/>
          <w:bCs/>
          <w:color w:val="000000" w:themeColor="text1"/>
          <w:kern w:val="0"/>
          <w:sz w:val="32"/>
          <w:szCs w:val="32"/>
          <w14:textFill>
            <w14:solidFill>
              <w14:schemeClr w14:val="tx1"/>
            </w14:solidFill>
          </w14:textFill>
        </w:rPr>
        <w:t>温度的准确度和波动性、加样系统的准确度和重复性、测试项目的准确性、重复性、通道一致性、稳定性、</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样本携带污染率</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）、产品功能、软件等。</w:t>
      </w:r>
    </w:p>
    <w:p w14:paraId="6395A1D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1.3</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操作或使用方法</w:t>
      </w:r>
    </w:p>
    <w:p w14:paraId="20506A6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产品操作或使用方法中建议以图示或者详细文字说明具体的操作步骤。</w:t>
      </w:r>
      <w:r>
        <w:rPr>
          <w:rFonts w:hint="eastAsia" w:ascii="仿宋_GB2312" w:hAnsi="仿宋_GB2312" w:eastAsia="仿宋_GB2312" w:cs="仿宋_GB2312"/>
          <w:color w:val="000000" w:themeColor="text1"/>
          <w:sz w:val="32"/>
          <w:szCs w:val="32"/>
          <w:highlight w:val="none"/>
          <w14:textFill>
            <w14:solidFill>
              <w14:schemeClr w14:val="tx1"/>
            </w14:solidFill>
          </w14:textFill>
        </w:rPr>
        <w:t>图示宜采用实物照片或工程示意图，并在图中对关键部件进行标注，图后附文字说明对应的部件名称及操作要点。</w:t>
      </w:r>
    </w:p>
    <w:p w14:paraId="009E52BC">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图</w:t>
      </w:r>
      <w:r>
        <w:rPr>
          <w:rFonts w:hint="eastAsia" w:ascii="仿宋_GB2312" w:hAnsi="仿宋_GB2312" w:eastAsia="仿宋_GB2312" w:cs="仿宋_GB2312"/>
          <w:sz w:val="28"/>
          <w:szCs w:val="28"/>
          <w:lang w:val="en-US" w:eastAsia="zh-CN"/>
        </w:rPr>
        <w:t>3 血栓弹力图仪操作图示举例</w:t>
      </w:r>
    </w:p>
    <w:p w14:paraId="75890B74">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color w:val="000000" w:themeColor="text1"/>
          <w:sz w:val="32"/>
          <w:szCs w:val="32"/>
          <w:highlight w:val="green"/>
          <w14:textFill>
            <w14:solidFill>
              <w14:schemeClr w14:val="tx1"/>
            </w14:solidFill>
          </w14:textFill>
        </w:rPr>
      </w:pPr>
      <w:r>
        <w:rPr>
          <w:rFonts w:hint="eastAsia" w:ascii="仿宋_GB2312" w:hAnsi="仿宋_GB2312" w:eastAsia="仿宋_GB2312" w:cs="仿宋_GB2312"/>
          <w:sz w:val="28"/>
          <w:szCs w:val="28"/>
        </w:rPr>
        <w:drawing>
          <wp:anchor distT="0" distB="0" distL="114935" distR="114935" simplePos="0" relativeHeight="251659264" behindDoc="0" locked="0" layoutInCell="1" allowOverlap="1">
            <wp:simplePos x="0" y="0"/>
            <wp:positionH relativeFrom="column">
              <wp:posOffset>25400</wp:posOffset>
            </wp:positionH>
            <wp:positionV relativeFrom="paragraph">
              <wp:posOffset>69215</wp:posOffset>
            </wp:positionV>
            <wp:extent cx="5274310" cy="1045845"/>
            <wp:effectExtent l="9525" t="9525" r="19685" b="11430"/>
            <wp:wrapTopAndBottom/>
            <wp:docPr id="21075374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3740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045845"/>
                    </a:xfrm>
                    <a:prstGeom prst="rect">
                      <a:avLst/>
                    </a:prstGeom>
                    <a:ln w="3175">
                      <a:solidFill>
                        <a:schemeClr val="tx1"/>
                      </a:solidFill>
                    </a:ln>
                  </pic:spPr>
                </pic:pic>
              </a:graphicData>
            </a:graphic>
          </wp:anchor>
        </w:drawing>
      </w:r>
    </w:p>
    <w:p w14:paraId="5D9A4AE0">
      <w:pPr>
        <w:spacing w:line="52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highlight w:val="none"/>
          <w14:textFill>
            <w14:solidFill>
              <w14:schemeClr w14:val="tx1"/>
            </w14:solidFill>
          </w14:textFill>
        </w:rPr>
        <w:t>配套试剂</w:t>
      </w:r>
    </w:p>
    <w:p w14:paraId="746C837B">
      <w:pPr>
        <w:spacing w:line="520" w:lineRule="exact"/>
        <w:ind w:firstLine="640" w:firstLineChars="200"/>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建议在产品说明书中明确配套试剂的相关信息，如配套试剂的产品名称、规格、生产厂家、储存条件及</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有</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效期等。</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举例如下：</w:t>
      </w:r>
    </w:p>
    <w:p w14:paraId="4BC42868">
      <w:pPr>
        <w:spacing w:line="520" w:lineRule="exact"/>
        <w:jc w:val="cente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表</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3 血栓弹力图仪配套试剂举例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7"/>
        <w:gridCol w:w="6045"/>
      </w:tblGrid>
      <w:tr w14:paraId="5FFA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7" w:type="dxa"/>
            <w:vAlign w:val="center"/>
          </w:tcPr>
          <w:p w14:paraId="5F720AD2">
            <w:pPr>
              <w:spacing w:line="520" w:lineRule="exact"/>
              <w:jc w:val="center"/>
              <w:rPr>
                <w:rFonts w:hint="eastAsia" w:ascii="仿宋_GB2312" w:hAnsi="仿宋_GB2312" w:eastAsia="仿宋_GB2312" w:cs="仿宋_GB2312"/>
                <w:color w:val="000000" w:themeColor="text1"/>
                <w:kern w:val="0"/>
                <w:sz w:val="28"/>
                <w:szCs w:val="28"/>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产品名称</w:t>
            </w:r>
          </w:p>
        </w:tc>
        <w:tc>
          <w:tcPr>
            <w:tcW w:w="6045" w:type="dxa"/>
            <w:vAlign w:val="center"/>
          </w:tcPr>
          <w:p w14:paraId="63756573">
            <w:pPr>
              <w:spacing w:line="520" w:lineRule="exact"/>
              <w:jc w:val="center"/>
              <w:rPr>
                <w:rFonts w:hint="eastAsia" w:ascii="仿宋_GB2312" w:hAnsi="仿宋_GB2312" w:eastAsia="仿宋_GB2312" w:cs="仿宋_GB2312"/>
                <w:color w:val="000000" w:themeColor="text1"/>
                <w:kern w:val="0"/>
                <w:sz w:val="28"/>
                <w:szCs w:val="28"/>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血栓弹力图（普通杯）检测试剂盒（粘度测定法）</w:t>
            </w:r>
          </w:p>
        </w:tc>
      </w:tr>
      <w:tr w14:paraId="125A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7" w:type="dxa"/>
            <w:vAlign w:val="center"/>
          </w:tcPr>
          <w:p w14:paraId="214BDF61">
            <w:pPr>
              <w:spacing w:line="520" w:lineRule="exact"/>
              <w:jc w:val="center"/>
              <w:rPr>
                <w:rFonts w:hint="eastAsia" w:ascii="仿宋_GB2312" w:hAnsi="仿宋_GB2312" w:eastAsia="仿宋_GB2312" w:cs="仿宋_GB2312"/>
                <w:color w:val="000000" w:themeColor="text1"/>
                <w:kern w:val="0"/>
                <w:sz w:val="28"/>
                <w:szCs w:val="28"/>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规</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格</w:t>
            </w:r>
          </w:p>
        </w:tc>
        <w:tc>
          <w:tcPr>
            <w:tcW w:w="6045" w:type="dxa"/>
            <w:vAlign w:val="center"/>
          </w:tcPr>
          <w:p w14:paraId="0C2E961A">
            <w:pPr>
              <w:spacing w:line="520" w:lineRule="exact"/>
              <w:jc w:val="center"/>
              <w:rPr>
                <w:rFonts w:hint="eastAsia" w:ascii="仿宋_GB2312" w:hAnsi="仿宋_GB2312" w:eastAsia="仿宋_GB2312" w:cs="仿宋_GB2312"/>
                <w:color w:val="000000" w:themeColor="text1"/>
                <w:kern w:val="0"/>
                <w:sz w:val="28"/>
                <w:szCs w:val="28"/>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20人份/盒</w:t>
            </w:r>
          </w:p>
        </w:tc>
      </w:tr>
      <w:tr w14:paraId="2005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7" w:type="dxa"/>
            <w:vAlign w:val="center"/>
          </w:tcPr>
          <w:p w14:paraId="3AAFF016">
            <w:pPr>
              <w:spacing w:line="520" w:lineRule="exact"/>
              <w:jc w:val="center"/>
              <w:rPr>
                <w:rFonts w:hint="eastAsia" w:ascii="仿宋_GB2312" w:hAnsi="仿宋_GB2312" w:eastAsia="仿宋_GB2312" w:cs="仿宋_GB2312"/>
                <w:color w:val="000000" w:themeColor="text1"/>
                <w:kern w:val="0"/>
                <w:sz w:val="28"/>
                <w:szCs w:val="28"/>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生产厂家</w:t>
            </w:r>
          </w:p>
        </w:tc>
        <w:tc>
          <w:tcPr>
            <w:tcW w:w="6045" w:type="dxa"/>
            <w:vAlign w:val="center"/>
          </w:tcPr>
          <w:p w14:paraId="5B4A4C2A">
            <w:pPr>
              <w:spacing w:line="520" w:lineRule="exact"/>
              <w:jc w:val="center"/>
              <w:rPr>
                <w:rFonts w:hint="eastAsia" w:ascii="仿宋_GB2312" w:hAnsi="仿宋_GB2312" w:eastAsia="仿宋_GB2312" w:cs="仿宋_GB2312"/>
                <w:color w:val="000000" w:themeColor="text1"/>
                <w:kern w:val="0"/>
                <w:sz w:val="28"/>
                <w:szCs w:val="28"/>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北京乐普诊断科技股份有限公司</w:t>
            </w:r>
          </w:p>
        </w:tc>
      </w:tr>
      <w:tr w14:paraId="2DA4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7" w:type="dxa"/>
            <w:vAlign w:val="center"/>
          </w:tcPr>
          <w:p w14:paraId="681D3C63">
            <w:pPr>
              <w:spacing w:line="520" w:lineRule="exact"/>
              <w:jc w:val="center"/>
              <w:rPr>
                <w:rFonts w:hint="eastAsia" w:ascii="仿宋_GB2312" w:hAnsi="仿宋_GB2312" w:eastAsia="仿宋_GB2312" w:cs="仿宋_GB2312"/>
                <w:color w:val="000000" w:themeColor="text1"/>
                <w:kern w:val="0"/>
                <w:sz w:val="28"/>
                <w:szCs w:val="28"/>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储存条件及</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有</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效期</w:t>
            </w:r>
          </w:p>
        </w:tc>
        <w:tc>
          <w:tcPr>
            <w:tcW w:w="6045" w:type="dxa"/>
            <w:vAlign w:val="center"/>
          </w:tcPr>
          <w:p w14:paraId="736A048C">
            <w:pPr>
              <w:spacing w:line="520" w:lineRule="exact"/>
              <w:jc w:val="center"/>
              <w:rPr>
                <w:rFonts w:hint="eastAsia" w:ascii="仿宋_GB2312" w:hAnsi="仿宋_GB2312" w:eastAsia="仿宋_GB2312" w:cs="仿宋_GB2312"/>
                <w:color w:val="000000" w:themeColor="text1"/>
                <w:kern w:val="0"/>
                <w:sz w:val="28"/>
                <w:szCs w:val="28"/>
                <w:highlight w:val="none"/>
                <w:vertAlign w:val="baseli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2℃~8℃储存，有效期为</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12个月</w:t>
            </w:r>
          </w:p>
        </w:tc>
      </w:tr>
    </w:tbl>
    <w:p w14:paraId="6945E29C">
      <w:pPr>
        <w:spacing w:line="52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2D2FD47D">
      <w:pPr>
        <w:spacing w:line="52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eastAsia="zh-CN"/>
          <w14:textFill>
            <w14:solidFill>
              <w14:schemeClr w14:val="tx1"/>
            </w14:solidFill>
          </w14:textFill>
        </w:rPr>
        <w:t>软件及网络安全</w:t>
      </w:r>
    </w:p>
    <w:p w14:paraId="6BF996A4">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医疗器械软件注册审查指导原则（2022年修订版）》，说明书需体现软件的功能、使用限制、输入输出数据类型、必备软硬件、最大并发数、接口、访问控制、运行环境（若适用）、性能效率（若适用）等信息，明确软件发布版本。</w:t>
      </w:r>
    </w:p>
    <w:p w14:paraId="6E4DFF61">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根据《医疗器械网络安全注册审查指导原则（2022年修订版）》，说明书需提供网络安全</w:t>
      </w:r>
      <w:r>
        <w:rPr>
          <w:rFonts w:hint="eastAsia" w:ascii="仿宋_GB2312" w:hAnsi="仿宋_GB2312" w:eastAsia="仿宋_GB2312" w:cs="仿宋_GB2312"/>
          <w:color w:val="000000" w:themeColor="text1"/>
          <w:sz w:val="32"/>
          <w:szCs w:val="32"/>
          <w:lang w:val="en-AU"/>
          <w14:textFill>
            <w14:solidFill>
              <w14:schemeClr w14:val="tx1"/>
            </w14:solidFill>
          </w14:textFill>
        </w:rPr>
        <w:t>说明</w:t>
      </w:r>
      <w:r>
        <w:rPr>
          <w:rFonts w:hint="eastAsia" w:ascii="仿宋_GB2312" w:hAnsi="仿宋_GB2312" w:eastAsia="仿宋_GB2312" w:cs="仿宋_GB2312"/>
          <w:color w:val="000000" w:themeColor="text1"/>
          <w:sz w:val="32"/>
          <w:szCs w:val="32"/>
          <w14:textFill>
            <w14:solidFill>
              <w14:schemeClr w14:val="tx1"/>
            </w14:solidFill>
          </w14:textFill>
        </w:rPr>
        <w:t>和使用指导，明确用户访问控制机制、电子接口（含网络接口、电子数据交换接口）及其数据类型和技术特征、网络安全特征配置、数据备份与灾难恢复、运行环境（含硬件配置、外部软件环境、网络环境，若适用）、安全软件兼容性列表（若适用）、外部软件环境与安全软件更新（若适用）、现成软件清单（SBOM，若适用）等要求。</w:t>
      </w:r>
    </w:p>
    <w:p w14:paraId="38759BB8">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标签样稿</w:t>
      </w:r>
    </w:p>
    <w:p w14:paraId="4395D769">
      <w:pPr>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应当符合《医疗器械说明书和标签管理规定》的要求，其内容应当至少包括第十</w:t>
      </w:r>
      <w:bookmarkStart w:id="17" w:name="参2"/>
      <w:bookmarkEnd w:id="17"/>
      <w:bookmarkStart w:id="18" w:name="GongKaiShuXingΩ1"/>
      <w:bookmarkEnd w:id="18"/>
      <w:bookmarkStart w:id="19" w:name="参6"/>
      <w:bookmarkEnd w:id="19"/>
      <w:bookmarkStart w:id="20" w:name="参4"/>
      <w:bookmarkEnd w:id="20"/>
      <w:bookmarkStart w:id="21" w:name="QianFaShiJianΩ1"/>
      <w:bookmarkEnd w:id="21"/>
      <w:bookmarkStart w:id="22" w:name="YinFaRiQiΩ1"/>
      <w:bookmarkEnd w:id="22"/>
      <w:bookmarkStart w:id="23" w:name="参5"/>
      <w:bookmarkEnd w:id="23"/>
      <w:bookmarkStart w:id="24" w:name="参1"/>
      <w:bookmarkEnd w:id="24"/>
      <w:bookmarkStart w:id="25" w:name="参3"/>
      <w:bookmarkEnd w:id="25"/>
      <w:r>
        <w:rPr>
          <w:rFonts w:hint="eastAsia" w:ascii="仿宋_GB2312" w:hAnsi="仿宋_GB2312" w:eastAsia="仿宋_GB2312" w:cs="仿宋_GB2312"/>
          <w:color w:val="000000" w:themeColor="text1"/>
          <w:kern w:val="0"/>
          <w:sz w:val="32"/>
          <w:szCs w:val="32"/>
          <w14:textFill>
            <w14:solidFill>
              <w14:schemeClr w14:val="tx1"/>
            </w14:solidFill>
          </w14:textFill>
        </w:rPr>
        <w:t>三条规定的所有适用内容。</w:t>
      </w:r>
    </w:p>
    <w:p w14:paraId="6A6A7988">
      <w:pPr>
        <w:spacing w:line="520" w:lineRule="exact"/>
        <w:ind w:firstLine="640" w:firstLineChars="200"/>
        <w:rPr>
          <w:rFonts w:hint="eastAsia" w:ascii="Times New Roman" w:hAnsi="Times New Roman" w:eastAsia="楷体_GB2312"/>
          <w:color w:val="000000" w:themeColor="text1"/>
          <w:sz w:val="32"/>
          <w:szCs w:val="32"/>
          <w14:textFill>
            <w14:solidFill>
              <w14:schemeClr w14:val="tx1"/>
            </w14:solidFill>
          </w14:textFill>
        </w:rPr>
      </w:pPr>
      <w:r>
        <w:rPr>
          <w:rFonts w:hint="eastAsia" w:ascii="Times New Roman" w:hAnsi="Times New Roman" w:eastAsia="楷体_GB2312"/>
          <w:color w:val="000000" w:themeColor="text1"/>
          <w:sz w:val="32"/>
          <w:szCs w:val="32"/>
          <w14:textFill>
            <w14:solidFill>
              <w14:schemeClr w14:val="tx1"/>
            </w14:solidFill>
          </w14:textFill>
        </w:rPr>
        <w:t>（六）质量管理体系文件</w:t>
      </w:r>
    </w:p>
    <w:p w14:paraId="21041D90">
      <w:pPr>
        <w:pStyle w:val="2"/>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产品质量管理体系文件应符合《医疗器械生产质量管理规范》的要求，并按照《医疗器械注册申报资料要求及说明》提交资料。</w:t>
      </w:r>
    </w:p>
    <w:p w14:paraId="57D94A5A">
      <w:pPr>
        <w:adjustRightInd w:val="0"/>
        <w:snapToGrid w:val="0"/>
        <w:spacing w:line="520" w:lineRule="exact"/>
        <w:ind w:firstLine="64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三</w:t>
      </w:r>
      <w:r>
        <w:rPr>
          <w:rFonts w:ascii="Times New Roman" w:hAnsi="Times New Roman" w:eastAsia="黑体"/>
          <w:color w:val="000000" w:themeColor="text1"/>
          <w:sz w:val="32"/>
          <w:szCs w:val="32"/>
          <w14:textFill>
            <w14:solidFill>
              <w14:schemeClr w14:val="tx1"/>
            </w14:solidFill>
          </w14:textFill>
        </w:rPr>
        <w:t>、参考文献</w:t>
      </w:r>
    </w:p>
    <w:p w14:paraId="53337C6A">
      <w:pPr>
        <w:spacing w:line="520" w:lineRule="exact"/>
        <w:ind w:firstLine="640" w:firstLineChars="200"/>
        <w:rPr>
          <w:rFonts w:eastAsia="仿宋_GB2312"/>
          <w:color w:val="000000" w:themeColor="text1"/>
          <w:sz w:val="32"/>
          <w:szCs w:val="32"/>
          <w14:textFill>
            <w14:solidFill>
              <w14:schemeClr w14:val="tx1"/>
            </w14:solidFill>
          </w14:textFill>
        </w:rPr>
      </w:pPr>
      <w:bookmarkStart w:id="26" w:name="_Toc432753655"/>
      <w:bookmarkStart w:id="27" w:name="_Toc467833261"/>
      <w:r>
        <w:rPr>
          <w:rFonts w:eastAsia="仿宋_GB2312"/>
          <w:snapToGrid w:val="0"/>
          <w:color w:val="000000" w:themeColor="text1"/>
          <w:kern w:val="0"/>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国家市场监督管理总局.医疗器械注册与备案管理办法:国家市场监督管理总局令第47号[Z].</w:t>
      </w:r>
    </w:p>
    <w:p w14:paraId="320437EB">
      <w:pPr>
        <w:overflowPunct w:val="0"/>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snapToGrid w:val="0"/>
          <w:color w:val="000000" w:themeColor="text1"/>
          <w:kern w:val="0"/>
          <w:sz w:val="32"/>
          <w:szCs w:val="32"/>
          <w14:textFill>
            <w14:solidFill>
              <w14:schemeClr w14:val="tx1"/>
            </w14:solidFill>
          </w14:textFill>
        </w:rPr>
        <w:t>[2]原国家食品药品监督管理总局.医疗器械说明书和标签管理规定:国家食品药品监督管理总局令第6号[Z].</w:t>
      </w:r>
    </w:p>
    <w:p w14:paraId="4DE8241D">
      <w:pPr>
        <w:spacing w:line="520" w:lineRule="exact"/>
        <w:ind w:right="-67" w:rightChars="-32" w:firstLine="640" w:firstLineChars="200"/>
        <w:rPr>
          <w:rFonts w:eastAsia="仿宋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国家药品监督管理局.医疗器械注册申报资料要求和批准证明文件格式:国家药监局公告2021年第121号[Z].</w:t>
      </w:r>
    </w:p>
    <w:p w14:paraId="7C161EF3">
      <w:pPr>
        <w:spacing w:line="520" w:lineRule="exact"/>
        <w:ind w:right="-67" w:rightChars="-32"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国家药品监督管理局.医疗器械产品技术要求编写指导原则:国家药监局通告2022年第8号[Z].</w:t>
      </w:r>
    </w:p>
    <w:p w14:paraId="199B07BF">
      <w:pPr>
        <w:spacing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w:t>
      </w:r>
      <w:r>
        <w:rPr>
          <w:rFonts w:eastAsia="仿宋_GB2312"/>
          <w:color w:val="000000" w:themeColor="text1"/>
          <w:kern w:val="0"/>
          <w:sz w:val="32"/>
          <w:szCs w:val="32"/>
          <w14:textFill>
            <w14:solidFill>
              <w14:schemeClr w14:val="tx1"/>
            </w14:solidFill>
          </w14:textFill>
        </w:rPr>
        <w:t>国家药品监督管理局医疗器械审评中心.医疗器械软件注册审查指导原则（2022年修订版）:国家药监局器审中心通告2022年第9号</w:t>
      </w:r>
      <w:r>
        <w:rPr>
          <w:rFonts w:eastAsia="仿宋_GB2312"/>
          <w:color w:val="000000" w:themeColor="text1"/>
          <w:sz w:val="32"/>
          <w:szCs w:val="32"/>
          <w14:textFill>
            <w14:solidFill>
              <w14:schemeClr w14:val="tx1"/>
            </w14:solidFill>
          </w14:textFill>
        </w:rPr>
        <w:t>[Z].</w:t>
      </w:r>
    </w:p>
    <w:p w14:paraId="2ADAC138">
      <w:pPr>
        <w:spacing w:line="520" w:lineRule="exact"/>
        <w:ind w:firstLine="640" w:firstLineChars="200"/>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w:t>
      </w:r>
      <w:r>
        <w:rPr>
          <w:rFonts w:eastAsia="仿宋_GB2312"/>
          <w:color w:val="000000" w:themeColor="text1"/>
          <w:kern w:val="0"/>
          <w:sz w:val="32"/>
          <w:szCs w:val="32"/>
          <w14:textFill>
            <w14:solidFill>
              <w14:schemeClr w14:val="tx1"/>
            </w14:solidFill>
          </w14:textFill>
        </w:rPr>
        <w:t>国家药品监督管理局医疗器械审评中心.</w:t>
      </w:r>
      <w:r>
        <w:rPr>
          <w:rFonts w:hint="eastAsia" w:eastAsia="仿宋_GB2312"/>
          <w:color w:val="000000" w:themeColor="text1"/>
          <w:kern w:val="0"/>
          <w:sz w:val="32"/>
          <w:szCs w:val="32"/>
          <w14:textFill>
            <w14:solidFill>
              <w14:schemeClr w14:val="tx1"/>
            </w14:solidFill>
          </w14:textFill>
        </w:rPr>
        <w:t>医疗器械可用性工程注册审查指导原则</w:t>
      </w:r>
      <w:r>
        <w:rPr>
          <w:rFonts w:eastAsia="仿宋_GB2312"/>
          <w:color w:val="000000" w:themeColor="text1"/>
          <w:kern w:val="0"/>
          <w:sz w:val="32"/>
          <w:szCs w:val="32"/>
          <w14:textFill>
            <w14:solidFill>
              <w14:schemeClr w14:val="tx1"/>
            </w14:solidFill>
          </w14:textFill>
        </w:rPr>
        <w:t>:国家药监局器审中心通告202</w:t>
      </w:r>
      <w:r>
        <w:rPr>
          <w:rFonts w:hint="eastAsia" w:eastAsia="仿宋_GB2312"/>
          <w:color w:val="000000" w:themeColor="text1"/>
          <w:kern w:val="0"/>
          <w:sz w:val="32"/>
          <w:szCs w:val="32"/>
          <w14:textFill>
            <w14:solidFill>
              <w14:schemeClr w14:val="tx1"/>
            </w14:solidFill>
          </w14:textFill>
        </w:rPr>
        <w:t>4</w:t>
      </w:r>
      <w:r>
        <w:rPr>
          <w:rFonts w:eastAsia="仿宋_GB2312"/>
          <w:color w:val="000000" w:themeColor="text1"/>
          <w:kern w:val="0"/>
          <w:sz w:val="32"/>
          <w:szCs w:val="32"/>
          <w14:textFill>
            <w14:solidFill>
              <w14:schemeClr w14:val="tx1"/>
            </w14:solidFill>
          </w14:textFill>
        </w:rPr>
        <w:t>年第</w:t>
      </w:r>
      <w:r>
        <w:rPr>
          <w:rFonts w:hint="eastAsia" w:eastAsia="仿宋_GB2312"/>
          <w:color w:val="000000" w:themeColor="text1"/>
          <w:kern w:val="0"/>
          <w:sz w:val="32"/>
          <w:szCs w:val="32"/>
          <w14:textFill>
            <w14:solidFill>
              <w14:schemeClr w14:val="tx1"/>
            </w14:solidFill>
          </w14:textFill>
        </w:rPr>
        <w:t>13</w:t>
      </w:r>
      <w:r>
        <w:rPr>
          <w:rFonts w:eastAsia="仿宋_GB2312"/>
          <w:color w:val="000000" w:themeColor="text1"/>
          <w:kern w:val="0"/>
          <w:sz w:val="32"/>
          <w:szCs w:val="32"/>
          <w14:textFill>
            <w14:solidFill>
              <w14:schemeClr w14:val="tx1"/>
            </w14:solidFill>
          </w14:textFill>
        </w:rPr>
        <w:t>号</w:t>
      </w:r>
      <w:r>
        <w:rPr>
          <w:rFonts w:eastAsia="仿宋_GB2312"/>
          <w:color w:val="000000" w:themeColor="text1"/>
          <w:sz w:val="32"/>
          <w:szCs w:val="32"/>
          <w14:textFill>
            <w14:solidFill>
              <w14:schemeClr w14:val="tx1"/>
            </w14:solidFill>
          </w14:textFill>
        </w:rPr>
        <w:t>[Z].</w:t>
      </w:r>
    </w:p>
    <w:p w14:paraId="263CACE3">
      <w:pPr>
        <w:spacing w:line="520" w:lineRule="exact"/>
        <w:ind w:right="-67" w:rightChars="-32"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7</w:t>
      </w:r>
      <w:r>
        <w:rPr>
          <w:rFonts w:eastAsia="仿宋_GB2312"/>
          <w:color w:val="000000" w:themeColor="text1"/>
          <w:sz w:val="32"/>
          <w:szCs w:val="32"/>
          <w14:textFill>
            <w14:solidFill>
              <w14:schemeClr w14:val="tx1"/>
            </w14:solidFill>
          </w14:textFill>
        </w:rPr>
        <w:t>]国家食品药品监督管理局.医疗器械分类目录:国家食品药品监督管理总局公告2017年第104号[Z].</w:t>
      </w:r>
    </w:p>
    <w:p w14:paraId="7B3EC31F">
      <w:pPr>
        <w:spacing w:line="520" w:lineRule="exact"/>
        <w:ind w:right="-67" w:rightChars="-32"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8</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28"/>
          <w14:textFill>
            <w14:solidFill>
              <w14:schemeClr w14:val="tx1"/>
            </w14:solidFill>
          </w14:textFill>
        </w:rPr>
        <w:t>国家食品药品监督管理局</w:t>
      </w:r>
      <w:r>
        <w:rPr>
          <w:rFonts w:eastAsia="仿宋_GB2312"/>
          <w:color w:val="000000" w:themeColor="text1"/>
          <w:sz w:val="32"/>
          <w:szCs w:val="32"/>
          <w14:textFill>
            <w14:solidFill>
              <w14:schemeClr w14:val="tx1"/>
            </w14:solidFill>
          </w14:textFill>
        </w:rPr>
        <w:t>.医疗器械通用名称命名规则：</w:t>
      </w:r>
      <w:r>
        <w:rPr>
          <w:rFonts w:eastAsia="仿宋_GB2312"/>
          <w:color w:val="000000" w:themeColor="text1"/>
          <w:sz w:val="32"/>
          <w:szCs w:val="28"/>
          <w14:textFill>
            <w14:solidFill>
              <w14:schemeClr w14:val="tx1"/>
            </w14:solidFill>
          </w14:textFill>
        </w:rPr>
        <w:t>国家食品药品监督管理总局令第19号</w:t>
      </w:r>
      <w:r>
        <w:rPr>
          <w:rFonts w:eastAsia="仿宋_GB2312"/>
          <w:color w:val="000000" w:themeColor="text1"/>
          <w:sz w:val="32"/>
          <w:szCs w:val="32"/>
          <w14:textFill>
            <w14:solidFill>
              <w14:schemeClr w14:val="tx1"/>
            </w14:solidFill>
          </w14:textFill>
        </w:rPr>
        <w:t>[Z].</w:t>
      </w:r>
    </w:p>
    <w:p w14:paraId="47A8E799">
      <w:pPr>
        <w:spacing w:line="520" w:lineRule="exact"/>
        <w:ind w:right="-67" w:rightChars="-32"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9</w:t>
      </w:r>
      <w:r>
        <w:rPr>
          <w:rFonts w:eastAsia="仿宋_GB2312"/>
          <w:color w:val="000000" w:themeColor="text1"/>
          <w:sz w:val="32"/>
          <w:szCs w:val="32"/>
          <w14:textFill>
            <w14:solidFill>
              <w14:schemeClr w14:val="tx1"/>
            </w14:solidFill>
          </w14:textFill>
        </w:rPr>
        <w:t>]国家食品药品监督管理局.医疗器械注册单元划分指导原则:总局关于发布医疗器械注册单元划分指导原则的通告2017年第187号[Z].</w:t>
      </w:r>
    </w:p>
    <w:p w14:paraId="43B8DA28">
      <w:pPr>
        <w:spacing w:line="520" w:lineRule="exact"/>
        <w:ind w:right="-67" w:rightChars="-32"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10</w:t>
      </w:r>
      <w:r>
        <w:rPr>
          <w:rFonts w:eastAsia="仿宋_GB2312"/>
          <w:color w:val="000000" w:themeColor="text1"/>
          <w:sz w:val="32"/>
          <w:szCs w:val="32"/>
          <w14:textFill>
            <w14:solidFill>
              <w14:schemeClr w14:val="tx1"/>
            </w14:solidFill>
          </w14:textFill>
        </w:rPr>
        <w:t>]国家药品监督管理局.</w:t>
      </w:r>
      <w:r>
        <w:rPr>
          <w:rFonts w:hint="eastAsia" w:eastAsia="仿宋_GB2312"/>
          <w:color w:val="000000" w:themeColor="text1"/>
          <w:sz w:val="32"/>
          <w:szCs w:val="32"/>
          <w14:textFill>
            <w14:solidFill>
              <w14:schemeClr w14:val="tx1"/>
            </w14:solidFill>
          </w14:textFill>
        </w:rPr>
        <w:t>免于进行临床评价医疗器械目录</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国家药品监督管理局2025年第19号通告</w:t>
      </w:r>
      <w:r>
        <w:rPr>
          <w:rFonts w:eastAsia="仿宋_GB2312"/>
          <w:color w:val="000000" w:themeColor="text1"/>
          <w:sz w:val="32"/>
          <w:szCs w:val="32"/>
          <w14:textFill>
            <w14:solidFill>
              <w14:schemeClr w14:val="tx1"/>
            </w14:solidFill>
          </w14:textFill>
        </w:rPr>
        <w:t>[Z].</w:t>
      </w:r>
    </w:p>
    <w:p w14:paraId="5FAAE927">
      <w:pPr>
        <w:spacing w:line="520" w:lineRule="exact"/>
        <w:ind w:right="-67" w:rightChars="-32"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]GB/T 42062-2022,医疗器械 风险管理对医疗器械的应用[S].</w:t>
      </w:r>
    </w:p>
    <w:p w14:paraId="24021C67">
      <w:pPr>
        <w:overflowPunct w:val="0"/>
        <w:spacing w:line="520" w:lineRule="exact"/>
        <w:ind w:firstLine="640"/>
        <w:rPr>
          <w:rFonts w:eastAsia="仿宋_GB2312"/>
          <w:color w:val="000000" w:themeColor="text1"/>
          <w:sz w:val="32"/>
          <w:szCs w:val="28"/>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28"/>
          <w14:textFill>
            <w14:solidFill>
              <w14:schemeClr w14:val="tx1"/>
            </w14:solidFill>
          </w14:textFill>
        </w:rPr>
        <w:t>GB 4793-20</w:t>
      </w:r>
      <w:r>
        <w:rPr>
          <w:rFonts w:hint="eastAsia" w:eastAsia="仿宋_GB2312"/>
          <w:color w:val="000000" w:themeColor="text1"/>
          <w:sz w:val="32"/>
          <w:szCs w:val="28"/>
          <w14:textFill>
            <w14:solidFill>
              <w14:schemeClr w14:val="tx1"/>
            </w14:solidFill>
          </w14:textFill>
        </w:rPr>
        <w:t>24</w:t>
      </w:r>
      <w:r>
        <w:rPr>
          <w:rFonts w:eastAsia="仿宋_GB2312"/>
          <w:color w:val="000000" w:themeColor="text1"/>
          <w:sz w:val="32"/>
          <w:szCs w:val="28"/>
          <w14:textFill>
            <w14:solidFill>
              <w14:schemeClr w14:val="tx1"/>
            </w14:solidFill>
          </w14:textFill>
        </w:rPr>
        <w:t>,测量、控制和实验室用电气设备</w:t>
      </w:r>
      <w:r>
        <w:rPr>
          <w:rFonts w:hint="eastAsia" w:eastAsia="仿宋_GB2312"/>
          <w:color w:val="000000" w:themeColor="text1"/>
          <w:sz w:val="32"/>
          <w:szCs w:val="28"/>
          <w14:textFill>
            <w14:solidFill>
              <w14:schemeClr w14:val="tx1"/>
            </w14:solidFill>
          </w14:textFill>
        </w:rPr>
        <w:t>安全技术规范</w:t>
      </w:r>
      <w:r>
        <w:rPr>
          <w:rFonts w:eastAsia="仿宋_GB2312"/>
          <w:color w:val="000000" w:themeColor="text1"/>
          <w:sz w:val="32"/>
          <w:szCs w:val="28"/>
          <w14:textFill>
            <w14:solidFill>
              <w14:schemeClr w14:val="tx1"/>
            </w14:solidFill>
          </w14:textFill>
        </w:rPr>
        <w:t>[S].</w:t>
      </w:r>
    </w:p>
    <w:p w14:paraId="68A8527D">
      <w:pPr>
        <w:spacing w:line="520" w:lineRule="exact"/>
        <w:ind w:firstLine="640" w:firstLineChars="200"/>
        <w:rPr>
          <w:rFonts w:eastAsia="仿宋_GB2312"/>
          <w:color w:val="000000" w:themeColor="text1"/>
          <w:sz w:val="32"/>
          <w:szCs w:val="28"/>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28"/>
          <w14:textFill>
            <w14:solidFill>
              <w14:schemeClr w14:val="tx1"/>
            </w14:solidFill>
          </w14:textFill>
        </w:rPr>
        <w:t>GB/T 14710-2009,医用电器环境要求及试验方法[S].</w:t>
      </w:r>
    </w:p>
    <w:p w14:paraId="333A2A36">
      <w:pPr>
        <w:spacing w:line="520" w:lineRule="exact"/>
        <w:ind w:firstLine="640" w:firstLineChars="200"/>
        <w:rPr>
          <w:rFonts w:eastAsia="仿宋_GB2312"/>
          <w:color w:val="000000" w:themeColor="text1"/>
          <w:sz w:val="32"/>
          <w:szCs w:val="28"/>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28"/>
          <w14:textFill>
            <w14:solidFill>
              <w14:schemeClr w14:val="tx1"/>
            </w14:solidFill>
          </w14:textFill>
        </w:rPr>
        <w:t>GB/T 18268.1-20</w:t>
      </w:r>
      <w:r>
        <w:rPr>
          <w:rFonts w:hint="eastAsia" w:eastAsia="仿宋_GB2312"/>
          <w:color w:val="000000" w:themeColor="text1"/>
          <w:sz w:val="32"/>
          <w:szCs w:val="28"/>
          <w14:textFill>
            <w14:solidFill>
              <w14:schemeClr w14:val="tx1"/>
            </w14:solidFill>
          </w14:textFill>
        </w:rPr>
        <w:t>10</w:t>
      </w:r>
      <w:r>
        <w:rPr>
          <w:rFonts w:eastAsia="仿宋_GB2312"/>
          <w:color w:val="000000" w:themeColor="text1"/>
          <w:sz w:val="32"/>
          <w:szCs w:val="28"/>
          <w14:textFill>
            <w14:solidFill>
              <w14:schemeClr w14:val="tx1"/>
            </w14:solidFill>
          </w14:textFill>
        </w:rPr>
        <w:t>,测量、控制和实验室用的电设备 电磁兼容性要求 第1部分：通用要求[S].</w:t>
      </w:r>
    </w:p>
    <w:p w14:paraId="229AF2A1">
      <w:pPr>
        <w:spacing w:line="520" w:lineRule="exact"/>
        <w:ind w:firstLine="640" w:firstLineChars="200"/>
        <w:rPr>
          <w:rFonts w:eastAsia="仿宋_GB2312"/>
          <w:color w:val="000000" w:themeColor="text1"/>
          <w:sz w:val="32"/>
          <w:szCs w:val="28"/>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28"/>
          <w14:textFill>
            <w14:solidFill>
              <w14:schemeClr w14:val="tx1"/>
            </w14:solidFill>
          </w14:textFill>
        </w:rPr>
        <w:t>GB/T 18268.26-2010,测量、控制和实验室用的电设备 电磁兼容性要求 第26部分：特殊要求 体外诊断（IVD）医疗设备[S].</w:t>
      </w:r>
    </w:p>
    <w:p w14:paraId="11682679">
      <w:pPr>
        <w:overflowPunct w:val="0"/>
        <w:spacing w:line="520" w:lineRule="exact"/>
        <w:ind w:firstLine="640"/>
        <w:rPr>
          <w:rFonts w:eastAsia="仿宋_GB2312"/>
          <w:color w:val="000000" w:themeColor="text1"/>
          <w:sz w:val="32"/>
          <w:szCs w:val="28"/>
          <w14:textFill>
            <w14:solidFill>
              <w14:schemeClr w14:val="tx1"/>
            </w14:solidFill>
          </w14:textFill>
        </w:rPr>
      </w:pPr>
      <w:r>
        <w:rPr>
          <w:rFonts w:eastAsia="仿宋_GB2312"/>
          <w:color w:val="000000" w:themeColor="text1"/>
          <w:sz w:val="32"/>
          <w:szCs w:val="28"/>
          <w14:textFill>
            <w14:solidFill>
              <w14:schemeClr w14:val="tx1"/>
            </w14:solidFill>
          </w14:textFill>
        </w:rPr>
        <w:t>[1</w:t>
      </w:r>
      <w:r>
        <w:rPr>
          <w:rFonts w:hint="eastAsia" w:eastAsia="仿宋_GB2312"/>
          <w:color w:val="000000" w:themeColor="text1"/>
          <w:sz w:val="32"/>
          <w:szCs w:val="28"/>
          <w14:textFill>
            <w14:solidFill>
              <w14:schemeClr w14:val="tx1"/>
            </w14:solidFill>
          </w14:textFill>
        </w:rPr>
        <w:t>6</w:t>
      </w:r>
      <w:r>
        <w:rPr>
          <w:rFonts w:eastAsia="仿宋_GB2312"/>
          <w:color w:val="000000" w:themeColor="text1"/>
          <w:sz w:val="32"/>
          <w:szCs w:val="28"/>
          <w14:textFill>
            <w14:solidFill>
              <w14:schemeClr w14:val="tx1"/>
            </w14:solidFill>
          </w14:textFill>
        </w:rPr>
        <w:t xml:space="preserve">]GB/T </w:t>
      </w:r>
      <w:r>
        <w:rPr>
          <w:rFonts w:hint="eastAsia" w:eastAsia="仿宋_GB2312"/>
          <w:color w:val="000000" w:themeColor="text1"/>
          <w:sz w:val="32"/>
          <w:szCs w:val="28"/>
          <w14:textFill>
            <w14:solidFill>
              <w14:schemeClr w14:val="tx1"/>
            </w14:solidFill>
          </w14:textFill>
        </w:rPr>
        <w:t>42125.1-2024</w:t>
      </w:r>
      <w:r>
        <w:rPr>
          <w:rFonts w:eastAsia="仿宋_GB2312"/>
          <w:color w:val="000000" w:themeColor="text1"/>
          <w:sz w:val="32"/>
          <w:szCs w:val="28"/>
          <w14:textFill>
            <w14:solidFill>
              <w14:schemeClr w14:val="tx1"/>
            </w14:solidFill>
          </w14:textFill>
        </w:rPr>
        <w:t>,测量、控制和实验室用电气设备的安全要求 第</w:t>
      </w:r>
      <w:r>
        <w:rPr>
          <w:rFonts w:hint="eastAsia" w:eastAsia="仿宋_GB2312"/>
          <w:color w:val="000000" w:themeColor="text1"/>
          <w:sz w:val="32"/>
          <w:szCs w:val="28"/>
          <w14:textFill>
            <w14:solidFill>
              <w14:schemeClr w14:val="tx1"/>
            </w14:solidFill>
          </w14:textFill>
        </w:rPr>
        <w:t>1</w:t>
      </w:r>
      <w:r>
        <w:rPr>
          <w:rFonts w:eastAsia="仿宋_GB2312"/>
          <w:color w:val="000000" w:themeColor="text1"/>
          <w:sz w:val="32"/>
          <w:szCs w:val="28"/>
          <w14:textFill>
            <w14:solidFill>
              <w14:schemeClr w14:val="tx1"/>
            </w14:solidFill>
          </w14:textFill>
        </w:rPr>
        <w:t>部分：</w:t>
      </w:r>
      <w:r>
        <w:rPr>
          <w:rFonts w:hint="eastAsia" w:eastAsia="仿宋_GB2312"/>
          <w:color w:val="000000" w:themeColor="text1"/>
          <w:sz w:val="32"/>
          <w:szCs w:val="28"/>
          <w14:textFill>
            <w14:solidFill>
              <w14:schemeClr w14:val="tx1"/>
            </w14:solidFill>
          </w14:textFill>
        </w:rPr>
        <w:t>通用要求</w:t>
      </w:r>
      <w:r>
        <w:rPr>
          <w:rFonts w:eastAsia="仿宋_GB2312"/>
          <w:color w:val="000000" w:themeColor="text1"/>
          <w:sz w:val="32"/>
          <w:szCs w:val="28"/>
          <w14:textFill>
            <w14:solidFill>
              <w14:schemeClr w14:val="tx1"/>
            </w14:solidFill>
          </w14:textFill>
        </w:rPr>
        <w:t>[S].</w:t>
      </w:r>
    </w:p>
    <w:p w14:paraId="121D65E0">
      <w:pPr>
        <w:overflowPunct w:val="0"/>
        <w:spacing w:line="520" w:lineRule="exact"/>
        <w:ind w:firstLine="640"/>
        <w:rPr>
          <w:rFonts w:eastAsia="仿宋_GB2312"/>
          <w:color w:val="000000" w:themeColor="text1"/>
          <w:sz w:val="32"/>
          <w:szCs w:val="28"/>
          <w14:textFill>
            <w14:solidFill>
              <w14:schemeClr w14:val="tx1"/>
            </w14:solidFill>
          </w14:textFill>
        </w:rPr>
      </w:pPr>
      <w:r>
        <w:rPr>
          <w:rFonts w:eastAsia="仿宋_GB2312"/>
          <w:color w:val="000000" w:themeColor="text1"/>
          <w:sz w:val="32"/>
          <w:szCs w:val="28"/>
          <w14:textFill>
            <w14:solidFill>
              <w14:schemeClr w14:val="tx1"/>
            </w14:solidFill>
          </w14:textFill>
        </w:rPr>
        <w:t>[1</w:t>
      </w:r>
      <w:r>
        <w:rPr>
          <w:rFonts w:hint="eastAsia" w:eastAsia="仿宋_GB2312"/>
          <w:color w:val="000000" w:themeColor="text1"/>
          <w:sz w:val="32"/>
          <w:szCs w:val="28"/>
          <w14:textFill>
            <w14:solidFill>
              <w14:schemeClr w14:val="tx1"/>
            </w14:solidFill>
          </w14:textFill>
        </w:rPr>
        <w:t>7</w:t>
      </w:r>
      <w:r>
        <w:rPr>
          <w:rFonts w:eastAsia="仿宋_GB2312"/>
          <w:color w:val="000000" w:themeColor="text1"/>
          <w:sz w:val="32"/>
          <w:szCs w:val="28"/>
          <w14:textFill>
            <w14:solidFill>
              <w14:schemeClr w14:val="tx1"/>
            </w14:solidFill>
          </w14:textFill>
        </w:rPr>
        <w:t xml:space="preserve">]GB/T </w:t>
      </w:r>
      <w:r>
        <w:rPr>
          <w:rFonts w:hint="eastAsia" w:eastAsia="仿宋_GB2312"/>
          <w:color w:val="000000" w:themeColor="text1"/>
          <w:sz w:val="32"/>
          <w:szCs w:val="28"/>
          <w14:textFill>
            <w14:solidFill>
              <w14:schemeClr w14:val="tx1"/>
            </w14:solidFill>
          </w14:textFill>
        </w:rPr>
        <w:t>42125.2-2024</w:t>
      </w:r>
      <w:r>
        <w:rPr>
          <w:rFonts w:eastAsia="仿宋_GB2312"/>
          <w:color w:val="000000" w:themeColor="text1"/>
          <w:sz w:val="32"/>
          <w:szCs w:val="28"/>
          <w14:textFill>
            <w14:solidFill>
              <w14:schemeClr w14:val="tx1"/>
            </w14:solidFill>
          </w14:textFill>
        </w:rPr>
        <w:t>,测量、控制和实验室用电气设备的安全要求 第</w:t>
      </w:r>
      <w:r>
        <w:rPr>
          <w:rFonts w:hint="eastAsia" w:eastAsia="仿宋_GB2312"/>
          <w:color w:val="000000" w:themeColor="text1"/>
          <w:sz w:val="32"/>
          <w:szCs w:val="28"/>
          <w14:textFill>
            <w14:solidFill>
              <w14:schemeClr w14:val="tx1"/>
            </w14:solidFill>
          </w14:textFill>
        </w:rPr>
        <w:t>2</w:t>
      </w:r>
      <w:r>
        <w:rPr>
          <w:rFonts w:eastAsia="仿宋_GB2312"/>
          <w:color w:val="000000" w:themeColor="text1"/>
          <w:sz w:val="32"/>
          <w:szCs w:val="28"/>
          <w14:textFill>
            <w14:solidFill>
              <w14:schemeClr w14:val="tx1"/>
            </w14:solidFill>
          </w14:textFill>
        </w:rPr>
        <w:t>部分：</w:t>
      </w:r>
      <w:r>
        <w:rPr>
          <w:rFonts w:hint="eastAsia" w:eastAsia="仿宋_GB2312"/>
          <w:color w:val="000000" w:themeColor="text1"/>
          <w:sz w:val="32"/>
          <w:szCs w:val="28"/>
          <w14:textFill>
            <w14:solidFill>
              <w14:schemeClr w14:val="tx1"/>
            </w14:solidFill>
          </w14:textFill>
        </w:rPr>
        <w:t>材料加热用实验室设备的特殊要求</w:t>
      </w:r>
      <w:r>
        <w:rPr>
          <w:rFonts w:eastAsia="仿宋_GB2312"/>
          <w:color w:val="000000" w:themeColor="text1"/>
          <w:sz w:val="32"/>
          <w:szCs w:val="28"/>
          <w14:textFill>
            <w14:solidFill>
              <w14:schemeClr w14:val="tx1"/>
            </w14:solidFill>
          </w14:textFill>
        </w:rPr>
        <w:t>[S].</w:t>
      </w:r>
    </w:p>
    <w:p w14:paraId="31BD5FFD">
      <w:pPr>
        <w:spacing w:line="520" w:lineRule="exact"/>
        <w:ind w:firstLine="640" w:firstLineChars="200"/>
        <w:rPr>
          <w:rFonts w:eastAsia="仿宋_GB2312"/>
          <w:color w:val="000000" w:themeColor="text1"/>
          <w:sz w:val="32"/>
          <w:szCs w:val="28"/>
          <w14:textFill>
            <w14:solidFill>
              <w14:schemeClr w14:val="tx1"/>
            </w14:solidFill>
          </w14:textFill>
        </w:rPr>
      </w:pPr>
      <w:r>
        <w:rPr>
          <w:rFonts w:eastAsia="仿宋_GB2312"/>
          <w:color w:val="000000" w:themeColor="text1"/>
          <w:sz w:val="32"/>
          <w:szCs w:val="28"/>
          <w14:textFill>
            <w14:solidFill>
              <w14:schemeClr w14:val="tx1"/>
            </w14:solidFill>
          </w14:textFill>
        </w:rPr>
        <w:t>[1</w:t>
      </w:r>
      <w:r>
        <w:rPr>
          <w:rFonts w:hint="eastAsia" w:eastAsia="仿宋_GB2312"/>
          <w:color w:val="000000" w:themeColor="text1"/>
          <w:sz w:val="32"/>
          <w:szCs w:val="28"/>
          <w14:textFill>
            <w14:solidFill>
              <w14:schemeClr w14:val="tx1"/>
            </w14:solidFill>
          </w14:textFill>
        </w:rPr>
        <w:t>8</w:t>
      </w:r>
      <w:r>
        <w:rPr>
          <w:rFonts w:eastAsia="仿宋_GB2312"/>
          <w:color w:val="000000" w:themeColor="text1"/>
          <w:sz w:val="32"/>
          <w:szCs w:val="28"/>
          <w14:textFill>
            <w14:solidFill>
              <w14:schemeClr w14:val="tx1"/>
            </w14:solidFill>
          </w14:textFill>
        </w:rPr>
        <w:t>]YY/T 0466.1-20</w:t>
      </w:r>
      <w:r>
        <w:rPr>
          <w:rFonts w:hint="eastAsia" w:eastAsia="仿宋_GB2312"/>
          <w:color w:val="000000" w:themeColor="text1"/>
          <w:sz w:val="32"/>
          <w:szCs w:val="28"/>
          <w14:textFill>
            <w14:solidFill>
              <w14:schemeClr w14:val="tx1"/>
            </w14:solidFill>
          </w14:textFill>
        </w:rPr>
        <w:t>23</w:t>
      </w:r>
      <w:r>
        <w:rPr>
          <w:rFonts w:eastAsia="仿宋_GB2312"/>
          <w:color w:val="000000" w:themeColor="text1"/>
          <w:sz w:val="32"/>
          <w:szCs w:val="28"/>
          <w14:textFill>
            <w14:solidFill>
              <w14:schemeClr w14:val="tx1"/>
            </w14:solidFill>
          </w14:textFill>
        </w:rPr>
        <w:t>,医疗器械 用于医疗器械标签、标记和提供信息的符号 第1部分：通用要求[S].</w:t>
      </w:r>
    </w:p>
    <w:p w14:paraId="72AC8FE1">
      <w:pPr>
        <w:spacing w:line="520" w:lineRule="exact"/>
        <w:ind w:firstLine="640" w:firstLineChars="200"/>
        <w:rPr>
          <w:rFonts w:eastAsia="仿宋_GB2312"/>
          <w:color w:val="000000" w:themeColor="text1"/>
          <w:sz w:val="32"/>
          <w:szCs w:val="28"/>
          <w:highlight w:val="yellow"/>
          <w14:textFill>
            <w14:solidFill>
              <w14:schemeClr w14:val="tx1"/>
            </w14:solidFill>
          </w14:textFill>
        </w:rPr>
      </w:pPr>
      <w:r>
        <w:rPr>
          <w:rFonts w:eastAsia="仿宋_GB2312"/>
          <w:color w:val="000000" w:themeColor="text1"/>
          <w:sz w:val="32"/>
          <w:szCs w:val="28"/>
          <w14:textFill>
            <w14:solidFill>
              <w14:schemeClr w14:val="tx1"/>
            </w14:solidFill>
          </w14:textFill>
        </w:rPr>
        <w:t>[1</w:t>
      </w:r>
      <w:r>
        <w:rPr>
          <w:rFonts w:hint="eastAsia" w:eastAsia="仿宋_GB2312"/>
          <w:color w:val="000000" w:themeColor="text1"/>
          <w:sz w:val="32"/>
          <w:szCs w:val="28"/>
          <w14:textFill>
            <w14:solidFill>
              <w14:schemeClr w14:val="tx1"/>
            </w14:solidFill>
          </w14:textFill>
        </w:rPr>
        <w:t>9</w:t>
      </w:r>
      <w:r>
        <w:rPr>
          <w:rFonts w:eastAsia="仿宋_GB2312"/>
          <w:color w:val="000000" w:themeColor="text1"/>
          <w:sz w:val="32"/>
          <w:szCs w:val="28"/>
          <w14:textFill>
            <w14:solidFill>
              <w14:schemeClr w14:val="tx1"/>
            </w14:solidFill>
          </w14:textFill>
        </w:rPr>
        <w:t>]YY</w:t>
      </w:r>
      <w:r>
        <w:rPr>
          <w:rFonts w:hint="eastAsia" w:eastAsia="仿宋_GB2312"/>
          <w:color w:val="000000" w:themeColor="text1"/>
          <w:sz w:val="32"/>
          <w:szCs w:val="28"/>
          <w14:textFill>
            <w14:solidFill>
              <w14:schemeClr w14:val="tx1"/>
            </w14:solidFill>
          </w14:textFill>
        </w:rPr>
        <w:t>/T</w:t>
      </w:r>
      <w:r>
        <w:rPr>
          <w:rFonts w:eastAsia="仿宋_GB2312"/>
          <w:color w:val="000000" w:themeColor="text1"/>
          <w:sz w:val="32"/>
          <w:szCs w:val="28"/>
          <w14:textFill>
            <w14:solidFill>
              <w14:schemeClr w14:val="tx1"/>
            </w14:solidFill>
          </w14:textFill>
        </w:rPr>
        <w:t xml:space="preserve"> 0648-20</w:t>
      </w:r>
      <w:r>
        <w:rPr>
          <w:rFonts w:hint="eastAsia" w:eastAsia="仿宋_GB2312"/>
          <w:color w:val="000000" w:themeColor="text1"/>
          <w:sz w:val="32"/>
          <w:szCs w:val="28"/>
          <w14:textFill>
            <w14:solidFill>
              <w14:schemeClr w14:val="tx1"/>
            </w14:solidFill>
          </w14:textFill>
        </w:rPr>
        <w:t>25</w:t>
      </w:r>
      <w:r>
        <w:rPr>
          <w:rFonts w:eastAsia="仿宋_GB2312"/>
          <w:color w:val="000000" w:themeColor="text1"/>
          <w:sz w:val="32"/>
          <w:szCs w:val="28"/>
          <w14:textFill>
            <w14:solidFill>
              <w14:schemeClr w14:val="tx1"/>
            </w14:solidFill>
          </w14:textFill>
        </w:rPr>
        <w:t>,测量、控制和实验室用电气设备的安全要求 第2-101部分：体外诊断（IVD）医用设备的专用要求[S].</w:t>
      </w:r>
    </w:p>
    <w:p w14:paraId="563C82C9">
      <w:pPr>
        <w:spacing w:line="520" w:lineRule="exact"/>
        <w:ind w:firstLine="640"/>
        <w:rPr>
          <w:rFonts w:ascii="Times New Roman" w:hAnsi="Times New Roman" w:eastAsia="仿宋_GB2312"/>
          <w:color w:val="000000" w:themeColor="text1"/>
          <w:kern w:val="0"/>
          <w:sz w:val="32"/>
          <w:szCs w:val="32"/>
          <w14:textFill>
            <w14:solidFill>
              <w14:schemeClr w14:val="tx1"/>
            </w14:solidFill>
          </w14:textFill>
        </w:rPr>
      </w:pPr>
      <w:r>
        <w:rPr>
          <w:rFonts w:eastAsia="仿宋_GB2312"/>
          <w:color w:val="000000" w:themeColor="text1"/>
          <w:sz w:val="32"/>
          <w:szCs w:val="28"/>
          <w14:textFill>
            <w14:solidFill>
              <w14:schemeClr w14:val="tx1"/>
            </w14:solidFill>
          </w14:textFill>
        </w:rPr>
        <w:t>[</w:t>
      </w:r>
      <w:r>
        <w:rPr>
          <w:rFonts w:hint="eastAsia" w:eastAsia="仿宋_GB2312"/>
          <w:color w:val="000000" w:themeColor="text1"/>
          <w:sz w:val="32"/>
          <w:szCs w:val="28"/>
          <w14:textFill>
            <w14:solidFill>
              <w14:schemeClr w14:val="tx1"/>
            </w14:solidFill>
          </w14:textFill>
        </w:rPr>
        <w:t>20</w:t>
      </w:r>
      <w:r>
        <w:rPr>
          <w:rFonts w:eastAsia="仿宋_GB2312"/>
          <w:color w:val="000000" w:themeColor="text1"/>
          <w:sz w:val="32"/>
          <w:szCs w:val="28"/>
          <w14:textFill>
            <w14:solidFill>
              <w14:schemeClr w14:val="tx1"/>
            </w14:solidFill>
          </w14:textFill>
        </w:rPr>
        <w:t>]</w:t>
      </w:r>
      <w:bookmarkEnd w:id="26"/>
      <w:bookmarkEnd w:id="27"/>
      <w:r>
        <w:rPr>
          <w:rFonts w:hint="eastAsia" w:eastAsia="仿宋_GB2312"/>
          <w:color w:val="000000" w:themeColor="text1"/>
          <w:sz w:val="32"/>
          <w:szCs w:val="28"/>
          <w14:textFill>
            <w14:solidFill>
              <w14:schemeClr w14:val="tx1"/>
            </w14:solidFill>
          </w14:textFill>
        </w:rPr>
        <w:t>YY/T 1437-2023医疗器械 GB/T 42062应用指南</w:t>
      </w:r>
      <w:r>
        <w:rPr>
          <w:rFonts w:eastAsia="仿宋_GB2312"/>
          <w:color w:val="000000" w:themeColor="text1"/>
          <w:sz w:val="32"/>
          <w:szCs w:val="28"/>
          <w14:textFill>
            <w14:solidFill>
              <w14:schemeClr w14:val="tx1"/>
            </w14:solidFill>
          </w14:textFill>
        </w:rPr>
        <w:t>[S].</w:t>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D993E8-AEB6-4D10-A289-CE2588E8F6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3000509000000000000"/>
    <w:charset w:val="86"/>
    <w:family w:val="script"/>
    <w:pitch w:val="default"/>
    <w:sig w:usb0="00000001" w:usb1="080E0000" w:usb2="00000000" w:usb3="00000000" w:csb0="00040000" w:csb1="00000000"/>
    <w:embedRegular r:id="rId2" w:fontKey="{6A4FBDCC-7372-4DE0-8875-4F55D8F04AB7}"/>
  </w:font>
  <w:font w:name="仿宋_GB2312">
    <w:altName w:val="仿宋"/>
    <w:panose1 w:val="02010609030101010101"/>
    <w:charset w:val="86"/>
    <w:family w:val="modern"/>
    <w:pitch w:val="default"/>
    <w:sig w:usb0="00000000" w:usb1="00000000" w:usb2="00000000" w:usb3="00000000" w:csb0="00040000" w:csb1="00000000"/>
    <w:embedRegular r:id="rId3" w:fontKey="{60D0F5F3-C1AE-4AFE-8EDC-3CD97C1BE871}"/>
  </w:font>
  <w:font w:name="楷体_GB2312">
    <w:altName w:val="楷体"/>
    <w:panose1 w:val="00000000000000000000"/>
    <w:charset w:val="86"/>
    <w:family w:val="modern"/>
    <w:pitch w:val="default"/>
    <w:sig w:usb0="00000000" w:usb1="00000000" w:usb2="00000000" w:usb3="00000000" w:csb0="00040000" w:csb1="00000000"/>
    <w:embedRegular r:id="rId4" w:fontKey="{DE204F80-7540-4848-8842-CDF5DBFCB999}"/>
  </w:font>
  <w:font w:name="方正楷体_GBK">
    <w:altName w:val="Arial Unicode MS"/>
    <w:panose1 w:val="02000000000000000000"/>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5" w:fontKey="{4F575702-A65D-48CC-8C99-34303DC517BD}"/>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D67A7">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FA1AB0">
                          <w:pPr>
                            <w:pStyle w:val="4"/>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12</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16FA1AB0">
                    <w:pPr>
                      <w:pStyle w:val="4"/>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12</w:t>
                    </w:r>
                    <w:r>
                      <w:rPr>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9"/>
      <w:suff w:val="nothing"/>
      <w:lvlText w:val="%1%2　"/>
      <w:lvlJc w:val="left"/>
      <w:pPr>
        <w:ind w:left="0" w:firstLine="0"/>
      </w:pPr>
      <w:rPr>
        <w:rFonts w:hint="eastAsia" w:ascii="黑体" w:eastAsia="黑体"/>
        <w:b w:val="0"/>
        <w:i w:val="0"/>
        <w:sz w:val="21"/>
      </w:rPr>
    </w:lvl>
    <w:lvl w:ilvl="2" w:tentative="0">
      <w:start w:val="1"/>
      <w:numFmt w:val="decimal"/>
      <w:pStyle w:val="18"/>
      <w:suff w:val="nothing"/>
      <w:lvlText w:val="%1%2.%3　"/>
      <w:lvlJc w:val="left"/>
      <w:pPr>
        <w:ind w:left="284"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51404C"/>
    <w:rsid w:val="000C1C98"/>
    <w:rsid w:val="00141781"/>
    <w:rsid w:val="0015233F"/>
    <w:rsid w:val="001728AE"/>
    <w:rsid w:val="001E3FCC"/>
    <w:rsid w:val="00222E38"/>
    <w:rsid w:val="002935D6"/>
    <w:rsid w:val="00293950"/>
    <w:rsid w:val="00302836"/>
    <w:rsid w:val="0036784E"/>
    <w:rsid w:val="003F7B76"/>
    <w:rsid w:val="00465AC5"/>
    <w:rsid w:val="00473FA7"/>
    <w:rsid w:val="004D2A71"/>
    <w:rsid w:val="004E3E6B"/>
    <w:rsid w:val="00591A2C"/>
    <w:rsid w:val="005B15D8"/>
    <w:rsid w:val="005C4906"/>
    <w:rsid w:val="006313B3"/>
    <w:rsid w:val="006F552A"/>
    <w:rsid w:val="0071198A"/>
    <w:rsid w:val="0071463A"/>
    <w:rsid w:val="007227A6"/>
    <w:rsid w:val="0083481D"/>
    <w:rsid w:val="008761A5"/>
    <w:rsid w:val="00897F83"/>
    <w:rsid w:val="008B4B76"/>
    <w:rsid w:val="009874B4"/>
    <w:rsid w:val="009F2726"/>
    <w:rsid w:val="00A021CB"/>
    <w:rsid w:val="00A81C14"/>
    <w:rsid w:val="00AC146F"/>
    <w:rsid w:val="00AC1CD8"/>
    <w:rsid w:val="00AC6764"/>
    <w:rsid w:val="00BD5DF2"/>
    <w:rsid w:val="00C76F6E"/>
    <w:rsid w:val="00C771CA"/>
    <w:rsid w:val="00CB5A43"/>
    <w:rsid w:val="00D06ADF"/>
    <w:rsid w:val="00D07BD4"/>
    <w:rsid w:val="00D51241"/>
    <w:rsid w:val="00D57485"/>
    <w:rsid w:val="00E05F2D"/>
    <w:rsid w:val="00E220B9"/>
    <w:rsid w:val="00F27422"/>
    <w:rsid w:val="00F37E7A"/>
    <w:rsid w:val="00FC5A2A"/>
    <w:rsid w:val="01FE4E83"/>
    <w:rsid w:val="041A7D02"/>
    <w:rsid w:val="081919B9"/>
    <w:rsid w:val="092C51BE"/>
    <w:rsid w:val="0B604C3D"/>
    <w:rsid w:val="0CC600C8"/>
    <w:rsid w:val="0DE84974"/>
    <w:rsid w:val="103435D2"/>
    <w:rsid w:val="10A32505"/>
    <w:rsid w:val="13402471"/>
    <w:rsid w:val="160457F4"/>
    <w:rsid w:val="1AD1226E"/>
    <w:rsid w:val="1C2269D4"/>
    <w:rsid w:val="1E9A35ED"/>
    <w:rsid w:val="1F2E69D8"/>
    <w:rsid w:val="208670FD"/>
    <w:rsid w:val="20B63B8F"/>
    <w:rsid w:val="21611D4D"/>
    <w:rsid w:val="235B1065"/>
    <w:rsid w:val="24F67642"/>
    <w:rsid w:val="28B27E59"/>
    <w:rsid w:val="29054ADC"/>
    <w:rsid w:val="291E6506"/>
    <w:rsid w:val="2B25203D"/>
    <w:rsid w:val="2C3E5C25"/>
    <w:rsid w:val="2E152640"/>
    <w:rsid w:val="2F0E4FE6"/>
    <w:rsid w:val="374C2700"/>
    <w:rsid w:val="3BE178BA"/>
    <w:rsid w:val="3D76118C"/>
    <w:rsid w:val="3FF81676"/>
    <w:rsid w:val="44564BBE"/>
    <w:rsid w:val="457F5C0B"/>
    <w:rsid w:val="46DF6DC5"/>
    <w:rsid w:val="47D74BD3"/>
    <w:rsid w:val="48F07795"/>
    <w:rsid w:val="4A9D109F"/>
    <w:rsid w:val="4B765B8B"/>
    <w:rsid w:val="4DE86376"/>
    <w:rsid w:val="4FBFB82E"/>
    <w:rsid w:val="50E16372"/>
    <w:rsid w:val="5151404C"/>
    <w:rsid w:val="52250B07"/>
    <w:rsid w:val="53FB2343"/>
    <w:rsid w:val="55FF4C0C"/>
    <w:rsid w:val="5B6D1566"/>
    <w:rsid w:val="5CB27056"/>
    <w:rsid w:val="5CB80B51"/>
    <w:rsid w:val="5D6A35D0"/>
    <w:rsid w:val="5D7E2D84"/>
    <w:rsid w:val="61AB7E9F"/>
    <w:rsid w:val="61DFE529"/>
    <w:rsid w:val="626B73B4"/>
    <w:rsid w:val="63FA510E"/>
    <w:rsid w:val="663C1875"/>
    <w:rsid w:val="67A21D44"/>
    <w:rsid w:val="67E97973"/>
    <w:rsid w:val="68041125"/>
    <w:rsid w:val="693E1861"/>
    <w:rsid w:val="69D501AF"/>
    <w:rsid w:val="6C5F32E0"/>
    <w:rsid w:val="6D873B7B"/>
    <w:rsid w:val="6EDC6E70"/>
    <w:rsid w:val="6F75887C"/>
    <w:rsid w:val="6FBF5E32"/>
    <w:rsid w:val="6FF93AE6"/>
    <w:rsid w:val="6FFA43A5"/>
    <w:rsid w:val="708752DE"/>
    <w:rsid w:val="734737A0"/>
    <w:rsid w:val="745FFDBA"/>
    <w:rsid w:val="75AF5D58"/>
    <w:rsid w:val="75ED6880"/>
    <w:rsid w:val="78EE7072"/>
    <w:rsid w:val="7BD66DBE"/>
    <w:rsid w:val="7D5D3511"/>
    <w:rsid w:val="7DE9A4E5"/>
    <w:rsid w:val="7DFAF2BF"/>
    <w:rsid w:val="7E195DEA"/>
    <w:rsid w:val="7E562E53"/>
    <w:rsid w:val="7FBDC192"/>
    <w:rsid w:val="7FE74340"/>
    <w:rsid w:val="8FAF39A8"/>
    <w:rsid w:val="9A852658"/>
    <w:rsid w:val="BAFBE652"/>
    <w:rsid w:val="BC3FB852"/>
    <w:rsid w:val="BD3D8FC9"/>
    <w:rsid w:val="BFBF0AD4"/>
    <w:rsid w:val="BFD3E7C1"/>
    <w:rsid w:val="CF7E594D"/>
    <w:rsid w:val="D77BC971"/>
    <w:rsid w:val="DAFFB788"/>
    <w:rsid w:val="DE6B0221"/>
    <w:rsid w:val="DEBF1E71"/>
    <w:rsid w:val="DEFF06B5"/>
    <w:rsid w:val="DF9B43C1"/>
    <w:rsid w:val="DFEF60E2"/>
    <w:rsid w:val="E293ECC4"/>
    <w:rsid w:val="EBF9ABB9"/>
    <w:rsid w:val="EC5DE940"/>
    <w:rsid w:val="EDFD8504"/>
    <w:rsid w:val="EFEB1894"/>
    <w:rsid w:val="F6359E5A"/>
    <w:rsid w:val="F77AB2E2"/>
    <w:rsid w:val="F9FB71CD"/>
    <w:rsid w:val="FB2DEB3E"/>
    <w:rsid w:val="FDFE460B"/>
    <w:rsid w:val="FF8E89F2"/>
    <w:rsid w:val="FFBF0B5B"/>
    <w:rsid w:val="FFFFE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style>
  <w:style w:type="paragraph" w:styleId="3">
    <w:name w:val="Balloon Text"/>
    <w:basedOn w:val="1"/>
    <w:link w:val="15"/>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17"/>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character" w:styleId="12">
    <w:name w:val="annotation reference"/>
    <w:basedOn w:val="10"/>
    <w:qFormat/>
    <w:uiPriority w:val="0"/>
    <w:rPr>
      <w:sz w:val="21"/>
      <w:szCs w:val="21"/>
    </w:rPr>
  </w:style>
  <w:style w:type="paragraph" w:styleId="13">
    <w:name w:val="No Spacing"/>
    <w:qFormat/>
    <w:uiPriority w:val="0"/>
    <w:pPr>
      <w:adjustRightInd w:val="0"/>
      <w:snapToGrid w:val="0"/>
    </w:pPr>
    <w:rPr>
      <w:rFonts w:ascii="Tahoma" w:hAnsi="Tahoma" w:eastAsia="微软雅黑" w:cs="Times New Roman"/>
      <w:sz w:val="22"/>
      <w:szCs w:val="22"/>
      <w:lang w:val="en-US" w:eastAsia="zh-CN" w:bidi="ar-SA"/>
    </w:rPr>
  </w:style>
  <w:style w:type="paragraph" w:styleId="14">
    <w:name w:val="List Paragraph"/>
    <w:basedOn w:val="1"/>
    <w:qFormat/>
    <w:uiPriority w:val="34"/>
    <w:pPr>
      <w:ind w:firstLine="420"/>
    </w:pPr>
    <w:rPr>
      <w:rFonts w:ascii="宋体" w:hAnsi="宋体"/>
      <w:sz w:val="24"/>
    </w:rPr>
  </w:style>
  <w:style w:type="character" w:customStyle="1" w:styleId="15">
    <w:name w:val="批注框文本 字符"/>
    <w:basedOn w:val="10"/>
    <w:link w:val="3"/>
    <w:qFormat/>
    <w:uiPriority w:val="0"/>
    <w:rPr>
      <w:rFonts w:ascii="Calibri" w:hAnsi="Calibri"/>
      <w:kern w:val="2"/>
      <w:sz w:val="18"/>
      <w:szCs w:val="18"/>
    </w:rPr>
  </w:style>
  <w:style w:type="character" w:customStyle="1" w:styleId="16">
    <w:name w:val="批注文字 字符"/>
    <w:basedOn w:val="10"/>
    <w:link w:val="2"/>
    <w:qFormat/>
    <w:uiPriority w:val="99"/>
    <w:rPr>
      <w:rFonts w:ascii="Calibri" w:hAnsi="Calibri"/>
      <w:kern w:val="2"/>
      <w:sz w:val="21"/>
      <w:szCs w:val="24"/>
    </w:rPr>
  </w:style>
  <w:style w:type="character" w:customStyle="1" w:styleId="17">
    <w:name w:val="批注主题 字符"/>
    <w:basedOn w:val="16"/>
    <w:link w:val="7"/>
    <w:qFormat/>
    <w:uiPriority w:val="0"/>
    <w:rPr>
      <w:rFonts w:ascii="Calibri" w:hAnsi="Calibri"/>
      <w:b/>
      <w:bCs/>
      <w:kern w:val="2"/>
      <w:sz w:val="21"/>
      <w:szCs w:val="24"/>
    </w:rPr>
  </w:style>
  <w:style w:type="paragraph" w:customStyle="1" w:styleId="18">
    <w:name w:val="标准文件_一级条标题"/>
    <w:basedOn w:val="19"/>
    <w:next w:val="20"/>
    <w:qFormat/>
    <w:uiPriority w:val="0"/>
    <w:pPr>
      <w:numPr>
        <w:ilvl w:val="2"/>
      </w:numPr>
      <w:spacing w:before="50" w:beforeLines="50" w:after="50" w:afterLines="50"/>
      <w:outlineLvl w:val="1"/>
    </w:pPr>
  </w:style>
  <w:style w:type="paragraph" w:customStyle="1" w:styleId="19">
    <w:name w:val="标准文件_章标题"/>
    <w:next w:val="20"/>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2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8734</Words>
  <Characters>9299</Characters>
  <Lines>273</Lines>
  <Paragraphs>210</Paragraphs>
  <TotalTime>29</TotalTime>
  <ScaleCrop>false</ScaleCrop>
  <LinksUpToDate>false</LinksUpToDate>
  <CharactersWithSpaces>9351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2026-07-24T14:59:00Z</dcterms:created>
  <dc:creator>王艳文</dc:creator>
  <cp:lastModifiedBy>Qy</cp:lastModifiedBy>
  <dcterms:modified xsi:type="dcterms:W3CDTF">2026-07-29T02:42:14Z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B51EE92BB38FDCCBCEC7626A0537B4FD</vt:lpwstr>
  </property>
  <property fmtid="{D5CDD505-2E9C-101B-9397-08002B2CF9AE}" pid="4" name="KSOTemplateDocerSaveRecord">
    <vt:lpwstr>eyJoZGlkIjoiZWI2MzdiYWIxOWY1YWQ1ZjM3ZTU5ZDU1NDcwODZlMjAiLCJ1c2VySWQiOiI0NTc5MDYwNDgifQ==</vt:lpwstr>
  </property>
</Properties>
</file>