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69" w:rsidRPr="002363D7" w:rsidRDefault="00A87B69" w:rsidP="00A87B69">
      <w:pPr>
        <w:overflowPunct w:val="0"/>
        <w:spacing w:line="600" w:lineRule="exact"/>
        <w:rPr>
          <w:rFonts w:eastAsia="黑体"/>
          <w:color w:val="000000"/>
          <w:sz w:val="32"/>
          <w:szCs w:val="32"/>
        </w:rPr>
      </w:pPr>
      <w:r w:rsidRPr="002363D7">
        <w:rPr>
          <w:rFonts w:eastAsia="黑体"/>
          <w:color w:val="000000"/>
          <w:sz w:val="32"/>
          <w:szCs w:val="32"/>
        </w:rPr>
        <w:t>附件</w:t>
      </w:r>
      <w:r w:rsidRPr="002363D7">
        <w:rPr>
          <w:rFonts w:eastAsia="黑体"/>
          <w:color w:val="000000"/>
          <w:sz w:val="32"/>
          <w:szCs w:val="32"/>
        </w:rPr>
        <w:t>2</w:t>
      </w:r>
    </w:p>
    <w:p w:rsidR="00A87B69" w:rsidRPr="002363D7" w:rsidRDefault="00A87B69" w:rsidP="00A87B69">
      <w:pPr>
        <w:spacing w:line="600" w:lineRule="exact"/>
        <w:rPr>
          <w:rFonts w:eastAsia="方正小标宋简体"/>
          <w:sz w:val="44"/>
          <w:szCs w:val="44"/>
        </w:rPr>
      </w:pPr>
    </w:p>
    <w:p w:rsidR="00A87B69" w:rsidRPr="002363D7" w:rsidRDefault="00A87B69" w:rsidP="00A87B69">
      <w:pPr>
        <w:spacing w:line="600" w:lineRule="exact"/>
        <w:jc w:val="center"/>
        <w:rPr>
          <w:rFonts w:eastAsia="方正小标宋简体"/>
          <w:spacing w:val="-8"/>
          <w:sz w:val="44"/>
          <w:szCs w:val="44"/>
        </w:rPr>
      </w:pPr>
      <w:r w:rsidRPr="002363D7">
        <w:rPr>
          <w:rFonts w:eastAsia="方正小标宋简体"/>
          <w:spacing w:val="-8"/>
          <w:sz w:val="44"/>
          <w:szCs w:val="44"/>
        </w:rPr>
        <w:t>应用于结直肠癌辅助诊断的微小核糖核酸（</w:t>
      </w:r>
      <w:r w:rsidRPr="002363D7">
        <w:rPr>
          <w:rFonts w:eastAsia="方正小标宋简体"/>
          <w:spacing w:val="-8"/>
          <w:sz w:val="44"/>
          <w:szCs w:val="44"/>
        </w:rPr>
        <w:t>microRNA</w:t>
      </w:r>
      <w:r w:rsidRPr="002363D7">
        <w:rPr>
          <w:rFonts w:eastAsia="方正小标宋简体"/>
          <w:spacing w:val="-8"/>
          <w:sz w:val="44"/>
          <w:szCs w:val="44"/>
        </w:rPr>
        <w:t>）检测试剂非临床研究</w:t>
      </w:r>
    </w:p>
    <w:p w:rsidR="00A87B69" w:rsidRPr="002363D7" w:rsidRDefault="00A87B69" w:rsidP="00A87B69">
      <w:pPr>
        <w:spacing w:line="600" w:lineRule="exact"/>
        <w:jc w:val="center"/>
        <w:rPr>
          <w:rFonts w:eastAsia="方正小标宋简体"/>
          <w:spacing w:val="-8"/>
          <w:sz w:val="44"/>
          <w:szCs w:val="44"/>
        </w:rPr>
      </w:pPr>
      <w:r w:rsidRPr="002363D7">
        <w:rPr>
          <w:rFonts w:eastAsia="方正小标宋简体"/>
          <w:spacing w:val="-8"/>
          <w:sz w:val="44"/>
          <w:szCs w:val="44"/>
        </w:rPr>
        <w:t>审评要点</w:t>
      </w:r>
    </w:p>
    <w:p w:rsidR="00A87B69" w:rsidRPr="002363D7" w:rsidRDefault="00A87B69" w:rsidP="00A87B69">
      <w:pPr>
        <w:snapToGrid w:val="0"/>
        <w:spacing w:line="600" w:lineRule="exact"/>
        <w:ind w:firstLineChars="200" w:firstLine="640"/>
        <w:rPr>
          <w:rFonts w:eastAsia="仿宋_GB2312"/>
          <w:sz w:val="32"/>
          <w:szCs w:val="32"/>
        </w:rPr>
      </w:pP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本审评要点主要针对应用于结直肠癌辅助诊断的微小核糖核酸（</w:t>
      </w:r>
      <w:r w:rsidRPr="002363D7">
        <w:rPr>
          <w:rFonts w:eastAsia="仿宋_GB2312"/>
          <w:sz w:val="32"/>
          <w:szCs w:val="32"/>
        </w:rPr>
        <w:t>microRNA</w:t>
      </w:r>
      <w:r w:rsidRPr="002363D7">
        <w:rPr>
          <w:rFonts w:eastAsia="仿宋_GB2312"/>
          <w:sz w:val="32"/>
          <w:szCs w:val="32"/>
        </w:rPr>
        <w:t>）检测试剂的分析性能、阳性判断值、稳定性、主要原材料和生产工艺等研究过程，为体外诊断试剂注册申请人和技术审评部门提供参考。</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本审评要点是对应用于结直肠癌辅助诊断的</w:t>
      </w:r>
      <w:r w:rsidRPr="002363D7">
        <w:rPr>
          <w:rFonts w:eastAsia="仿宋_GB2312"/>
          <w:sz w:val="32"/>
          <w:szCs w:val="32"/>
        </w:rPr>
        <w:t>microRNA</w:t>
      </w:r>
      <w:r w:rsidRPr="002363D7">
        <w:rPr>
          <w:rFonts w:eastAsia="仿宋_GB2312"/>
          <w:sz w:val="32"/>
          <w:szCs w:val="32"/>
        </w:rPr>
        <w:t>检测试剂的一般要求，申请人应依据产品的具体特性确定其中内容是否适用。若不适用，需具体阐述理由及相应的科学依据，并依据产品的具体特性对注册申报资料的内容进行充实和细化。</w:t>
      </w:r>
    </w:p>
    <w:p w:rsidR="00A87B69" w:rsidRPr="002363D7" w:rsidRDefault="00A87B69" w:rsidP="00A87B69">
      <w:pPr>
        <w:snapToGrid w:val="0"/>
        <w:spacing w:line="520" w:lineRule="exact"/>
        <w:ind w:firstLine="636"/>
        <w:rPr>
          <w:rFonts w:eastAsia="仿宋_GB2312"/>
          <w:sz w:val="32"/>
          <w:szCs w:val="32"/>
        </w:rPr>
      </w:pPr>
      <w:r w:rsidRPr="002363D7">
        <w:rPr>
          <w:rFonts w:eastAsia="仿宋_GB2312"/>
          <w:sz w:val="32"/>
          <w:szCs w:val="32"/>
        </w:rPr>
        <w:t>本审评要点是供注册申请人和技术审评人员使用的指导性文件，但不包括审评审批所涉及的行政事项，亦不作为法规强制执行，应在遵循相关法规的前提下使用本审评要点。如果有能够满足相关法规要求的其他方法，也可以采用，但是需要提供详细的研究资料和验证资料。</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本审评要点是在现行法规和标准体系以及当前认知水平下制定，随着法规和标准的不断完善，以及科学技术的不断发展，相关内容也将适时进行调整。</w:t>
      </w:r>
    </w:p>
    <w:p w:rsidR="00A87B69" w:rsidRPr="002363D7" w:rsidRDefault="00A87B69" w:rsidP="00A87B69">
      <w:pPr>
        <w:spacing w:line="560" w:lineRule="exact"/>
        <w:ind w:firstLineChars="200" w:firstLine="640"/>
        <w:rPr>
          <w:rFonts w:eastAsia="黑体"/>
          <w:bCs/>
          <w:sz w:val="32"/>
          <w:szCs w:val="32"/>
        </w:rPr>
      </w:pPr>
      <w:r w:rsidRPr="002363D7">
        <w:rPr>
          <w:rFonts w:eastAsia="黑体"/>
          <w:bCs/>
          <w:sz w:val="32"/>
          <w:szCs w:val="32"/>
        </w:rPr>
        <w:t>一、适用范围</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本要点适用于采用实时荧光</w:t>
      </w:r>
      <w:r w:rsidRPr="002363D7">
        <w:rPr>
          <w:rFonts w:eastAsia="仿宋_GB2312"/>
          <w:sz w:val="32"/>
          <w:szCs w:val="32"/>
        </w:rPr>
        <w:t>PCR</w:t>
      </w:r>
      <w:r w:rsidRPr="002363D7">
        <w:rPr>
          <w:rFonts w:eastAsia="仿宋_GB2312"/>
          <w:sz w:val="32"/>
          <w:szCs w:val="32"/>
        </w:rPr>
        <w:t>法，对人粪便样本中的微小核糖核酸（</w:t>
      </w:r>
      <w:r w:rsidRPr="002363D7">
        <w:rPr>
          <w:rFonts w:eastAsia="仿宋_GB2312"/>
          <w:sz w:val="32"/>
          <w:szCs w:val="32"/>
        </w:rPr>
        <w:t>microRNA</w:t>
      </w:r>
      <w:r w:rsidRPr="002363D7">
        <w:rPr>
          <w:rFonts w:eastAsia="仿宋_GB2312"/>
          <w:sz w:val="32"/>
          <w:szCs w:val="32"/>
        </w:rPr>
        <w:t>）进行体外定性检测的试剂。临床用于对结直肠癌疑似患者的辅助诊断，不用于普通人群的肿瘤筛查。</w:t>
      </w:r>
    </w:p>
    <w:p w:rsidR="00A87B69" w:rsidRPr="002363D7" w:rsidRDefault="00A87B69" w:rsidP="00A87B69">
      <w:pPr>
        <w:snapToGrid w:val="0"/>
        <w:spacing w:line="560" w:lineRule="exact"/>
        <w:ind w:firstLineChars="200" w:firstLine="640"/>
        <w:rPr>
          <w:rFonts w:eastAsia="黑体"/>
          <w:sz w:val="32"/>
          <w:szCs w:val="32"/>
        </w:rPr>
      </w:pPr>
      <w:r w:rsidRPr="002363D7">
        <w:rPr>
          <w:rFonts w:eastAsia="黑体"/>
          <w:sz w:val="32"/>
          <w:szCs w:val="32"/>
        </w:rPr>
        <w:t>二、注册审查要点</w:t>
      </w:r>
    </w:p>
    <w:p w:rsidR="00A87B69" w:rsidRPr="002363D7" w:rsidRDefault="00A87B69" w:rsidP="00A87B69">
      <w:pPr>
        <w:snapToGrid w:val="0"/>
        <w:spacing w:line="560" w:lineRule="exact"/>
        <w:ind w:firstLineChars="200" w:firstLine="640"/>
        <w:rPr>
          <w:rFonts w:eastAsia="楷体"/>
          <w:sz w:val="32"/>
          <w:szCs w:val="32"/>
        </w:rPr>
      </w:pPr>
      <w:r w:rsidRPr="002363D7">
        <w:rPr>
          <w:rFonts w:eastAsia="楷体"/>
          <w:sz w:val="32"/>
          <w:szCs w:val="32"/>
        </w:rPr>
        <w:t>（一）监管信息</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1.</w:t>
      </w:r>
      <w:r w:rsidRPr="002363D7">
        <w:rPr>
          <w:rFonts w:eastAsia="仿宋_GB2312"/>
          <w:sz w:val="32"/>
          <w:szCs w:val="32"/>
        </w:rPr>
        <w:t>产品名称及分类编码</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产品名称应符合《体外诊断试剂注册与备案管理办法》（国家市场监督管理总局令第</w:t>
      </w:r>
      <w:r w:rsidRPr="002363D7">
        <w:rPr>
          <w:rFonts w:eastAsia="仿宋_GB2312"/>
          <w:sz w:val="32"/>
          <w:szCs w:val="32"/>
        </w:rPr>
        <w:t>48</w:t>
      </w:r>
      <w:r w:rsidRPr="002363D7">
        <w:rPr>
          <w:rFonts w:eastAsia="仿宋_GB2312"/>
          <w:sz w:val="32"/>
          <w:szCs w:val="32"/>
        </w:rPr>
        <w:t>号）及相关法规的要求，如微小核糖核酸（</w:t>
      </w:r>
      <w:r w:rsidRPr="002363D7">
        <w:rPr>
          <w:rFonts w:eastAsia="仿宋_GB2312"/>
          <w:sz w:val="32"/>
          <w:szCs w:val="32"/>
        </w:rPr>
        <w:t>microRNA</w:t>
      </w:r>
      <w:r w:rsidRPr="002363D7">
        <w:rPr>
          <w:rFonts w:eastAsia="仿宋_GB2312"/>
          <w:sz w:val="32"/>
          <w:szCs w:val="32"/>
        </w:rPr>
        <w:t>）检测试剂盒（荧光</w:t>
      </w:r>
      <w:r w:rsidRPr="002363D7">
        <w:rPr>
          <w:rFonts w:eastAsia="仿宋_GB2312"/>
          <w:sz w:val="32"/>
          <w:szCs w:val="32"/>
        </w:rPr>
        <w:t>PCR</w:t>
      </w:r>
      <w:r w:rsidRPr="002363D7">
        <w:rPr>
          <w:rFonts w:eastAsia="仿宋_GB2312"/>
          <w:sz w:val="32"/>
          <w:szCs w:val="32"/>
        </w:rPr>
        <w:t>法）。根据《体外诊断试剂分类规则》，该产品按照第三类体外诊断试剂管理，分类编码为</w:t>
      </w:r>
      <w:r w:rsidRPr="002363D7">
        <w:rPr>
          <w:rFonts w:eastAsia="仿宋_GB2312"/>
          <w:sz w:val="32"/>
          <w:szCs w:val="32"/>
        </w:rPr>
        <w:t>6840</w:t>
      </w:r>
      <w:r w:rsidRPr="002363D7">
        <w:rPr>
          <w:rFonts w:eastAsia="仿宋_GB2312"/>
          <w:sz w:val="32"/>
          <w:szCs w:val="32"/>
        </w:rPr>
        <w:t>。</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2.</w:t>
      </w:r>
      <w:r w:rsidRPr="002363D7">
        <w:rPr>
          <w:rFonts w:eastAsia="仿宋_GB2312"/>
          <w:sz w:val="32"/>
          <w:szCs w:val="32"/>
        </w:rPr>
        <w:t>其他信息还包括产品列表、关联文件、申报前与监管机构的联系情况和沟通记录以及符合性声明等文件。</w:t>
      </w:r>
    </w:p>
    <w:p w:rsidR="00A87B69" w:rsidRPr="002363D7" w:rsidRDefault="00A87B69" w:rsidP="00A87B69">
      <w:pPr>
        <w:snapToGrid w:val="0"/>
        <w:spacing w:line="560" w:lineRule="exact"/>
        <w:ind w:firstLineChars="200" w:firstLine="640"/>
        <w:rPr>
          <w:rFonts w:eastAsia="楷体"/>
          <w:sz w:val="32"/>
          <w:szCs w:val="32"/>
        </w:rPr>
      </w:pPr>
      <w:r w:rsidRPr="002363D7">
        <w:rPr>
          <w:rFonts w:eastAsia="楷体"/>
          <w:sz w:val="32"/>
          <w:szCs w:val="32"/>
        </w:rPr>
        <w:t>（二）综述资料</w:t>
      </w:r>
    </w:p>
    <w:p w:rsidR="00A87B69" w:rsidRPr="002363D7" w:rsidRDefault="00A87B69" w:rsidP="00A87B69">
      <w:pPr>
        <w:snapToGrid w:val="0"/>
        <w:spacing w:line="560" w:lineRule="exact"/>
        <w:ind w:firstLineChars="200" w:firstLine="640"/>
        <w:rPr>
          <w:rFonts w:eastAsia="仿宋_GB2312"/>
          <w:b/>
          <w:sz w:val="32"/>
          <w:szCs w:val="32"/>
        </w:rPr>
      </w:pPr>
      <w:r w:rsidRPr="002363D7">
        <w:rPr>
          <w:rFonts w:eastAsia="仿宋_GB2312"/>
          <w:sz w:val="32"/>
          <w:szCs w:val="32"/>
        </w:rPr>
        <w:t>综述资料主要包括概述、产品描述、预期用途、申报产品上市历史及其他需说明的内容。建议以图文结合的形式详细说明产品所采用的技术原理及检测流程，包括但不限于</w:t>
      </w:r>
      <w:r w:rsidRPr="002363D7">
        <w:rPr>
          <w:rFonts w:eastAsia="仿宋_GB2312"/>
          <w:sz w:val="32"/>
          <w:szCs w:val="32"/>
        </w:rPr>
        <w:t>RNA</w:t>
      </w:r>
      <w:r w:rsidRPr="002363D7">
        <w:rPr>
          <w:rFonts w:eastAsia="仿宋_GB2312"/>
          <w:sz w:val="32"/>
          <w:szCs w:val="32"/>
        </w:rPr>
        <w:t>提取、反转录前处理、反转录引物设计（如茎环结构等）、扩增引物探针设计原理等。如试剂盒中存在防污染体系，应进行说明。对于阳性判断值需计算后进行判读的产品，应详述计算原理、模型选择和判读规则。与已上市同类产品进行比较，比较内容包括样本类型、检测原理、检测靶基因、判读规则、分析性能和临床性能等。</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预期用途中明确产品检测的基因。详述基因选择标准及选择过程，提供相关指南或文献；同时提供文献中待检基因在其他肿瘤中的表达情况，并分析所检测基因的灵敏度和特异性是否符合临床需求。</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如为多靶标检测产品，应分析多靶标检测的灵敏度和特异性是否符合临床需求。</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明确产品预期人群，例如年龄和体征等指标。</w:t>
      </w:r>
    </w:p>
    <w:p w:rsidR="00A87B69" w:rsidRPr="002363D7" w:rsidRDefault="00A87B69" w:rsidP="00A87B69">
      <w:pPr>
        <w:snapToGrid w:val="0"/>
        <w:spacing w:line="560" w:lineRule="exact"/>
        <w:ind w:firstLineChars="200" w:firstLine="640"/>
        <w:rPr>
          <w:rFonts w:eastAsia="楷体"/>
          <w:sz w:val="32"/>
          <w:szCs w:val="32"/>
        </w:rPr>
      </w:pPr>
      <w:r w:rsidRPr="002363D7">
        <w:rPr>
          <w:rFonts w:eastAsia="楷体"/>
          <w:sz w:val="32"/>
          <w:szCs w:val="32"/>
        </w:rPr>
        <w:t>（三）产品技术要求及检验报告</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注册申请人应当在原材料质量和生产工艺稳定的前提下，根据产品研制、前期评价等结果，依据国家标准、行业标准及有关文献资料，结合产品特性按照《医疗器械产品技术要求编写指导原则》</w:t>
      </w:r>
      <w:hyperlink r:id="rId8" w:tgtFrame="_self" w:history="1">
        <w:r w:rsidRPr="002363D7">
          <w:rPr>
            <w:rFonts w:eastAsia="仿宋_GB2312"/>
            <w:sz w:val="32"/>
            <w:szCs w:val="32"/>
          </w:rPr>
          <w:t>（</w:t>
        </w:r>
        <w:r w:rsidRPr="002363D7">
          <w:rPr>
            <w:rFonts w:eastAsia="仿宋_GB2312"/>
            <w:sz w:val="32"/>
            <w:szCs w:val="32"/>
          </w:rPr>
          <w:t>2022</w:t>
        </w:r>
        <w:r w:rsidRPr="002363D7">
          <w:rPr>
            <w:rFonts w:eastAsia="仿宋_GB2312"/>
            <w:sz w:val="32"/>
            <w:szCs w:val="32"/>
          </w:rPr>
          <w:t>年第</w:t>
        </w:r>
        <w:r w:rsidRPr="002363D7">
          <w:rPr>
            <w:rFonts w:eastAsia="仿宋_GB2312"/>
            <w:sz w:val="32"/>
            <w:szCs w:val="32"/>
          </w:rPr>
          <w:t>8</w:t>
        </w:r>
        <w:r w:rsidRPr="002363D7">
          <w:rPr>
            <w:rFonts w:eastAsia="仿宋_GB2312"/>
            <w:sz w:val="32"/>
            <w:szCs w:val="32"/>
          </w:rPr>
          <w:t>号）</w:t>
        </w:r>
      </w:hyperlink>
      <w:r w:rsidRPr="002363D7">
        <w:rPr>
          <w:rFonts w:eastAsia="仿宋_GB2312"/>
          <w:sz w:val="32"/>
          <w:szCs w:val="32"/>
        </w:rPr>
        <w:t>的要求编写。该类产品作为第三类体外诊断试剂，应当以附录形式明确主要原材料（包括企业参考品）以及生产工艺要求。</w:t>
      </w:r>
    </w:p>
    <w:p w:rsidR="00A87B69" w:rsidRPr="002363D7" w:rsidRDefault="00A87B69" w:rsidP="00A87B69">
      <w:pPr>
        <w:snapToGrid w:val="0"/>
        <w:spacing w:line="560" w:lineRule="exact"/>
        <w:ind w:firstLineChars="200" w:firstLine="640"/>
        <w:rPr>
          <w:rFonts w:eastAsia="仿宋_GB2312"/>
          <w:spacing w:val="-1"/>
          <w:sz w:val="32"/>
          <w:szCs w:val="32"/>
        </w:rPr>
      </w:pPr>
      <w:r w:rsidRPr="002363D7">
        <w:rPr>
          <w:rFonts w:eastAsia="仿宋_GB2312"/>
          <w:sz w:val="32"/>
          <w:szCs w:val="32"/>
        </w:rPr>
        <w:t>如有</w:t>
      </w:r>
      <w:r w:rsidRPr="002363D7">
        <w:rPr>
          <w:rFonts w:eastAsia="仿宋_GB2312"/>
          <w:spacing w:val="-1"/>
          <w:sz w:val="32"/>
          <w:szCs w:val="32"/>
        </w:rPr>
        <w:t>国家标准品，技术要求中应体现国家标准品的相关要求，并使用国家标准品对三批产品进行检验。</w:t>
      </w:r>
    </w:p>
    <w:p w:rsidR="00A87B69" w:rsidRPr="002363D7" w:rsidRDefault="00A87B69" w:rsidP="00A87B69">
      <w:pPr>
        <w:snapToGrid w:val="0"/>
        <w:spacing w:line="560" w:lineRule="exact"/>
        <w:ind w:firstLineChars="200" w:firstLine="640"/>
        <w:rPr>
          <w:rFonts w:eastAsia="仿宋_GB2312"/>
          <w:spacing w:val="-1"/>
          <w:sz w:val="32"/>
          <w:szCs w:val="32"/>
        </w:rPr>
      </w:pPr>
      <w:r w:rsidRPr="002363D7">
        <w:rPr>
          <w:rFonts w:eastAsia="仿宋_GB2312"/>
          <w:sz w:val="32"/>
          <w:szCs w:val="32"/>
        </w:rPr>
        <w:t>如有适用的国家标准、行业标准，产品技术要求的相关要求应不低于相应的要求。</w:t>
      </w:r>
    </w:p>
    <w:p w:rsidR="00A87B69" w:rsidRPr="002363D7" w:rsidRDefault="00A87B69" w:rsidP="00A87B69">
      <w:pPr>
        <w:spacing w:line="560" w:lineRule="exact"/>
        <w:ind w:firstLineChars="200" w:firstLine="640"/>
        <w:rPr>
          <w:rFonts w:eastAsia="楷体"/>
          <w:sz w:val="32"/>
          <w:szCs w:val="32"/>
        </w:rPr>
      </w:pPr>
      <w:r w:rsidRPr="002363D7">
        <w:rPr>
          <w:rFonts w:eastAsia="楷体"/>
          <w:sz w:val="32"/>
          <w:szCs w:val="32"/>
        </w:rPr>
        <w:t>（四）分析性能研究</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注册申请人应采用在符合质量管理体系的环境下生产的试剂盒进行所有分析性能研究，提交具体研究方法、试验方案、试验数据、统计分析等详细资料。</w:t>
      </w:r>
    </w:p>
    <w:p w:rsidR="00A87B69" w:rsidRPr="002363D7" w:rsidRDefault="00A87B69" w:rsidP="00A87B69">
      <w:pPr>
        <w:adjustRightInd w:val="0"/>
        <w:snapToGrid w:val="0"/>
        <w:spacing w:line="520" w:lineRule="exact"/>
        <w:ind w:firstLineChars="200" w:firstLine="640"/>
        <w:rPr>
          <w:rFonts w:eastAsia="仿宋_GB2312"/>
          <w:sz w:val="32"/>
          <w:szCs w:val="32"/>
        </w:rPr>
      </w:pPr>
      <w:r w:rsidRPr="002363D7">
        <w:rPr>
          <w:rFonts w:eastAsia="仿宋_GB2312"/>
          <w:sz w:val="32"/>
          <w:szCs w:val="32"/>
        </w:rPr>
        <w:t>如果试剂适用不同的机型，需要在不同机型上分别进行分析性能评估。应采用一个或多个机型，进行充分的试剂分析性能建立研究，对于其他机型，应分析各适用机型的工作原理、检测方法、反应条件控制、信号处理等，如基本相同，可基于风险分析对已建立的分析性能指标进行合理验证。所有适用机型验证的分析性能应基本一致，如不同机型对某一检测项目的某一分析性能存在差异，应针对该差异采用不同机型进行充分的分析性能建立研究。</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如申报产品包含不同包装规格，需对各包装规格间的差异进行分析或验证。如不同规格间存在性能差异，需采用每个包装规格产品进行分析性能评估；如不同规格间不存在性能差异，需要详细说明各规格间的差别及可能产生的影响，采用具有代表性的包装规格进行分析性能评估。</w:t>
      </w:r>
    </w:p>
    <w:p w:rsidR="00A87B69" w:rsidRPr="002363D7" w:rsidRDefault="00A87B69" w:rsidP="00A87B69">
      <w:pPr>
        <w:pStyle w:val="ae"/>
        <w:spacing w:line="560" w:lineRule="exact"/>
        <w:ind w:firstLineChars="200" w:firstLine="640"/>
        <w:jc w:val="both"/>
        <w:rPr>
          <w:rFonts w:ascii="Times New Roman" w:hAnsi="Times New Roman" w:cs="Times New Roman"/>
        </w:rPr>
      </w:pPr>
      <w:r w:rsidRPr="002363D7">
        <w:rPr>
          <w:rFonts w:ascii="Times New Roman" w:eastAsia="仿宋_GB2312" w:hAnsi="Times New Roman" w:cs="Times New Roman"/>
          <w:sz w:val="32"/>
          <w:szCs w:val="32"/>
        </w:rPr>
        <w:t>分析性能评估所用样本应尽量与预期适用的真实临床样本一致。如特定低浓度的样本难以获得，可采用不同浓度的样本及阴性样本进行混合研究；必要时，如使用人工基质进行稀释，应考虑其基质效应。应提供样本基本信息，如样本来源、样本类型、稀释方式、定值过程及数据等。</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建议着重对以下分析性能进行研究。</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1.</w:t>
      </w:r>
      <w:r w:rsidRPr="002363D7">
        <w:rPr>
          <w:rFonts w:eastAsia="仿宋_GB2312"/>
          <w:sz w:val="32"/>
          <w:szCs w:val="32"/>
        </w:rPr>
        <w:t>反应体系</w:t>
      </w:r>
    </w:p>
    <w:p w:rsidR="00A87B69" w:rsidRPr="002363D7" w:rsidRDefault="00A87B69" w:rsidP="00A87B69">
      <w:pPr>
        <w:snapToGrid w:val="0"/>
        <w:spacing w:line="560" w:lineRule="exact"/>
        <w:ind w:firstLineChars="196" w:firstLine="627"/>
        <w:rPr>
          <w:rFonts w:eastAsia="仿宋_GB2312"/>
          <w:sz w:val="32"/>
          <w:szCs w:val="32"/>
        </w:rPr>
      </w:pPr>
      <w:r w:rsidRPr="002363D7">
        <w:rPr>
          <w:rFonts w:eastAsia="仿宋_GB2312"/>
          <w:sz w:val="32"/>
          <w:szCs w:val="32"/>
        </w:rPr>
        <w:t>1.1</w:t>
      </w:r>
      <w:r w:rsidRPr="002363D7">
        <w:rPr>
          <w:rFonts w:eastAsia="仿宋_GB2312"/>
          <w:sz w:val="32"/>
          <w:szCs w:val="32"/>
        </w:rPr>
        <w:t>样本采集和处理</w:t>
      </w:r>
    </w:p>
    <w:p w:rsidR="00A87B69" w:rsidRPr="002363D7" w:rsidRDefault="00A87B69" w:rsidP="00A87B69">
      <w:pPr>
        <w:snapToGrid w:val="0"/>
        <w:spacing w:line="560" w:lineRule="exact"/>
        <w:ind w:firstLineChars="196" w:firstLine="627"/>
        <w:rPr>
          <w:rFonts w:eastAsia="仿宋_GB2312"/>
          <w:sz w:val="32"/>
          <w:szCs w:val="32"/>
        </w:rPr>
      </w:pPr>
      <w:r w:rsidRPr="002363D7">
        <w:rPr>
          <w:rFonts w:eastAsia="仿宋_GB2312"/>
          <w:sz w:val="32"/>
          <w:szCs w:val="32"/>
        </w:rPr>
        <w:t>根据适用样本类型，进行样本采集研究。提供样本采集器具和保存液等的详细研究资料，对配套的每种保存液均需验证检出限和重复性。</w:t>
      </w:r>
    </w:p>
    <w:p w:rsidR="00A87B69" w:rsidRPr="002363D7" w:rsidRDefault="00A87B69" w:rsidP="00A87B69">
      <w:pPr>
        <w:snapToGrid w:val="0"/>
        <w:spacing w:line="560" w:lineRule="exact"/>
        <w:ind w:firstLineChars="196" w:firstLine="627"/>
        <w:rPr>
          <w:rFonts w:eastAsia="仿宋_GB2312"/>
          <w:sz w:val="32"/>
          <w:szCs w:val="32"/>
        </w:rPr>
      </w:pPr>
      <w:r w:rsidRPr="002363D7">
        <w:rPr>
          <w:rFonts w:eastAsia="仿宋_GB2312"/>
          <w:sz w:val="32"/>
          <w:szCs w:val="32"/>
        </w:rPr>
        <w:t>1.2</w:t>
      </w:r>
      <w:r w:rsidRPr="002363D7">
        <w:rPr>
          <w:rFonts w:eastAsia="仿宋_GB2312"/>
          <w:sz w:val="32"/>
          <w:szCs w:val="32"/>
        </w:rPr>
        <w:t>核酸提取、反转录和扩增反应体系</w:t>
      </w:r>
    </w:p>
    <w:p w:rsidR="00A87B69" w:rsidRPr="002363D7" w:rsidRDefault="00A87B69" w:rsidP="00A87B69">
      <w:pPr>
        <w:snapToGrid w:val="0"/>
        <w:spacing w:line="560" w:lineRule="exact"/>
        <w:ind w:firstLineChars="196" w:firstLine="627"/>
        <w:rPr>
          <w:rFonts w:eastAsia="仿宋_GB2312"/>
          <w:sz w:val="32"/>
          <w:szCs w:val="32"/>
        </w:rPr>
      </w:pPr>
      <w:r w:rsidRPr="002363D7">
        <w:rPr>
          <w:rFonts w:eastAsia="仿宋_GB2312"/>
          <w:sz w:val="32"/>
          <w:szCs w:val="32"/>
        </w:rPr>
        <w:t>研究确定最佳核酸提取、反转录和扩增反应体系，包括核酸提取方法与过程、提取用样本体积</w:t>
      </w:r>
      <w:r w:rsidRPr="002363D7">
        <w:rPr>
          <w:rFonts w:eastAsia="仿宋_GB2312"/>
          <w:sz w:val="32"/>
          <w:szCs w:val="32"/>
        </w:rPr>
        <w:t>/</w:t>
      </w:r>
      <w:r w:rsidRPr="002363D7">
        <w:rPr>
          <w:rFonts w:eastAsia="仿宋_GB2312"/>
          <w:sz w:val="32"/>
          <w:szCs w:val="32"/>
        </w:rPr>
        <w:t>重量、洗脱体积、</w:t>
      </w:r>
      <w:r w:rsidRPr="002363D7">
        <w:rPr>
          <w:rFonts w:eastAsia="仿宋_GB2312"/>
          <w:sz w:val="32"/>
          <w:szCs w:val="32"/>
        </w:rPr>
        <w:t>RNA</w:t>
      </w:r>
      <w:r w:rsidRPr="002363D7">
        <w:rPr>
          <w:rFonts w:eastAsia="仿宋_GB2312"/>
          <w:sz w:val="32"/>
          <w:szCs w:val="32"/>
        </w:rPr>
        <w:t>浓度、</w:t>
      </w:r>
      <w:r w:rsidRPr="002363D7">
        <w:rPr>
          <w:rFonts w:eastAsia="仿宋_GB2312"/>
          <w:sz w:val="32"/>
          <w:szCs w:val="32"/>
        </w:rPr>
        <w:t>DNA</w:t>
      </w:r>
      <w:r w:rsidRPr="002363D7">
        <w:rPr>
          <w:rFonts w:eastAsia="仿宋_GB2312"/>
          <w:sz w:val="32"/>
          <w:szCs w:val="32"/>
        </w:rPr>
        <w:t>去除（如有）、反转录和扩增模板量、酶用量（如有）</w:t>
      </w:r>
      <w:r w:rsidRPr="002363D7">
        <w:rPr>
          <w:rFonts w:eastAsia="仿宋_GB2312"/>
          <w:sz w:val="32"/>
          <w:szCs w:val="32"/>
        </w:rPr>
        <w:t>/</w:t>
      </w:r>
      <w:r w:rsidRPr="002363D7">
        <w:rPr>
          <w:rFonts w:eastAsia="仿宋_GB2312"/>
          <w:sz w:val="32"/>
          <w:szCs w:val="32"/>
        </w:rPr>
        <w:t>各种试剂加样体积及反应各阶段温度、时间、循环数等。</w:t>
      </w:r>
    </w:p>
    <w:p w:rsidR="00A87B69" w:rsidRPr="002363D7" w:rsidRDefault="00A87B69" w:rsidP="00A87B69">
      <w:pPr>
        <w:snapToGrid w:val="0"/>
        <w:spacing w:line="560" w:lineRule="exact"/>
        <w:ind w:firstLineChars="196" w:firstLine="627"/>
        <w:rPr>
          <w:rFonts w:eastAsia="仿宋_GB2312"/>
          <w:sz w:val="32"/>
          <w:szCs w:val="32"/>
        </w:rPr>
      </w:pPr>
      <w:r w:rsidRPr="002363D7">
        <w:rPr>
          <w:rFonts w:eastAsia="仿宋_GB2312"/>
          <w:sz w:val="32"/>
          <w:szCs w:val="32"/>
        </w:rPr>
        <w:t>提交不同适用机型基线和阈值循环数的确定资料。</w:t>
      </w:r>
    </w:p>
    <w:p w:rsidR="00A87B69" w:rsidRPr="002363D7" w:rsidRDefault="00A87B69" w:rsidP="00A87B69">
      <w:pPr>
        <w:snapToGrid w:val="0"/>
        <w:spacing w:line="560" w:lineRule="exact"/>
        <w:ind w:firstLineChars="196" w:firstLine="627"/>
        <w:rPr>
          <w:rFonts w:eastAsia="仿宋_GB2312"/>
          <w:sz w:val="32"/>
          <w:szCs w:val="32"/>
        </w:rPr>
      </w:pPr>
      <w:r w:rsidRPr="002363D7">
        <w:rPr>
          <w:rFonts w:eastAsia="仿宋_GB2312"/>
          <w:sz w:val="32"/>
          <w:szCs w:val="32"/>
        </w:rPr>
        <w:t>不同适用机型的反应条件如果有差异应分别详述，并提交验证资料。</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2.</w:t>
      </w:r>
      <w:r w:rsidRPr="002363D7">
        <w:rPr>
          <w:rFonts w:eastAsia="仿宋_GB2312"/>
          <w:sz w:val="32"/>
          <w:szCs w:val="32"/>
        </w:rPr>
        <w:t>样本稳定性</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对采集后各阶段的样本进行稳定性研究，研究内容包括保存条件、保存时间，冻融次数等。建议对每种保存液均进行稳定性研究。</w:t>
      </w:r>
    </w:p>
    <w:p w:rsidR="00A87B69" w:rsidRPr="002363D7" w:rsidRDefault="00A87B69" w:rsidP="00A87B69">
      <w:pPr>
        <w:snapToGrid w:val="0"/>
        <w:spacing w:line="560" w:lineRule="exact"/>
        <w:ind w:firstLineChars="196" w:firstLine="627"/>
        <w:rPr>
          <w:rFonts w:eastAsia="仿宋_GB2312"/>
          <w:sz w:val="32"/>
          <w:szCs w:val="32"/>
        </w:rPr>
      </w:pPr>
      <w:r w:rsidRPr="002363D7">
        <w:rPr>
          <w:rFonts w:eastAsia="仿宋_GB2312"/>
          <w:sz w:val="32"/>
          <w:szCs w:val="32"/>
        </w:rPr>
        <w:t>如核酸提取产物或反转录产物可不立即进行检测，还需对核酸提取产物或反转录产物的保存条件和稳定性进行研究。</w:t>
      </w:r>
    </w:p>
    <w:p w:rsidR="00A87B69" w:rsidRPr="002363D7" w:rsidRDefault="00A87B69" w:rsidP="00A87B69">
      <w:pPr>
        <w:snapToGrid w:val="0"/>
        <w:spacing w:line="560" w:lineRule="exact"/>
        <w:ind w:firstLineChars="196" w:firstLine="627"/>
        <w:rPr>
          <w:rFonts w:eastAsia="仿宋_GB2312"/>
          <w:sz w:val="32"/>
          <w:szCs w:val="32"/>
        </w:rPr>
      </w:pPr>
      <w:r w:rsidRPr="002363D7">
        <w:rPr>
          <w:rFonts w:eastAsia="仿宋_GB2312"/>
          <w:sz w:val="32"/>
          <w:szCs w:val="32"/>
        </w:rPr>
        <w:t>3.</w:t>
      </w:r>
      <w:r w:rsidRPr="002363D7">
        <w:rPr>
          <w:rFonts w:eastAsia="仿宋_GB2312"/>
          <w:sz w:val="32"/>
          <w:szCs w:val="32"/>
        </w:rPr>
        <w:t>样本适用性</w:t>
      </w:r>
    </w:p>
    <w:p w:rsidR="00A87B69" w:rsidRPr="002363D7" w:rsidRDefault="00A87B69" w:rsidP="00A87B69">
      <w:pPr>
        <w:snapToGrid w:val="0"/>
        <w:spacing w:line="560" w:lineRule="exact"/>
        <w:ind w:firstLineChars="196" w:firstLine="627"/>
        <w:rPr>
          <w:rFonts w:eastAsia="仿宋_GB2312"/>
          <w:sz w:val="32"/>
          <w:szCs w:val="32"/>
        </w:rPr>
      </w:pPr>
      <w:r w:rsidRPr="002363D7">
        <w:rPr>
          <w:rFonts w:eastAsia="仿宋_GB2312"/>
          <w:sz w:val="32"/>
          <w:szCs w:val="32"/>
        </w:rPr>
        <w:t>产</w:t>
      </w:r>
      <w:r w:rsidRPr="002363D7">
        <w:rPr>
          <w:rFonts w:eastAsia="MS Mincho"/>
          <w:sz w:val="32"/>
          <w:szCs w:val="32"/>
        </w:rPr>
        <w:t>​</w:t>
      </w:r>
      <w:r w:rsidRPr="002363D7">
        <w:rPr>
          <w:rFonts w:eastAsia="仿宋_GB2312"/>
          <w:sz w:val="32"/>
          <w:szCs w:val="32"/>
        </w:rPr>
        <w:t>品适用的样本类型为人粪便样本。建议根据布里斯托（</w:t>
      </w:r>
      <w:r w:rsidRPr="002363D7">
        <w:rPr>
          <w:rFonts w:eastAsia="仿宋_GB2312"/>
          <w:sz w:val="32"/>
          <w:szCs w:val="32"/>
        </w:rPr>
        <w:t>Bristol</w:t>
      </w:r>
      <w:r w:rsidRPr="002363D7">
        <w:rPr>
          <w:rFonts w:eastAsia="仿宋_GB2312"/>
          <w:sz w:val="32"/>
          <w:szCs w:val="32"/>
        </w:rPr>
        <w:t>）大便分类法收集主要型别的粪便样本及其他可能影响检测结果的粪便样本类型（如黏液便、胆汁便），分别进行研究。对不适用粪便类型应在说明书明示。</w:t>
      </w:r>
    </w:p>
    <w:p w:rsidR="00A87B69" w:rsidRPr="002363D7" w:rsidRDefault="00A87B69" w:rsidP="00A87B69">
      <w:pPr>
        <w:pStyle w:val="aa"/>
        <w:spacing w:line="560" w:lineRule="exact"/>
        <w:ind w:firstLine="640"/>
        <w:rPr>
          <w:rFonts w:ascii="Times New Roman" w:eastAsia="仿宋_GB2312" w:hAnsi="Times New Roman" w:cs="Times New Roman"/>
          <w:sz w:val="32"/>
          <w:szCs w:val="32"/>
        </w:rPr>
      </w:pPr>
      <w:r w:rsidRPr="002363D7">
        <w:rPr>
          <w:rFonts w:ascii="Times New Roman" w:eastAsia="仿宋_GB2312" w:hAnsi="Times New Roman" w:cs="Times New Roman"/>
          <w:sz w:val="32"/>
          <w:szCs w:val="32"/>
        </w:rPr>
        <w:t>4.</w:t>
      </w:r>
      <w:r w:rsidRPr="002363D7">
        <w:rPr>
          <w:rFonts w:ascii="Times New Roman" w:eastAsia="仿宋_GB2312" w:hAnsi="Times New Roman" w:cs="Times New Roman"/>
          <w:sz w:val="32"/>
          <w:szCs w:val="32"/>
        </w:rPr>
        <w:t>核酸提取</w:t>
      </w:r>
      <w:r w:rsidRPr="002363D7">
        <w:rPr>
          <w:rFonts w:ascii="Times New Roman" w:eastAsia="仿宋_GB2312" w:hAnsi="Times New Roman" w:cs="Times New Roman"/>
          <w:sz w:val="32"/>
          <w:szCs w:val="32"/>
        </w:rPr>
        <w:t>/</w:t>
      </w:r>
      <w:r w:rsidRPr="002363D7">
        <w:rPr>
          <w:rFonts w:ascii="Times New Roman" w:eastAsia="仿宋_GB2312" w:hAnsi="Times New Roman" w:cs="Times New Roman"/>
          <w:sz w:val="32"/>
          <w:szCs w:val="32"/>
        </w:rPr>
        <w:t>纯化性能</w:t>
      </w:r>
    </w:p>
    <w:p w:rsidR="00A87B69" w:rsidRPr="002363D7" w:rsidRDefault="00A87B69" w:rsidP="00A87B69">
      <w:pPr>
        <w:spacing w:line="560" w:lineRule="exact"/>
        <w:ind w:firstLineChars="250" w:firstLine="800"/>
        <w:rPr>
          <w:rFonts w:eastAsia="仿宋_GB2312"/>
          <w:sz w:val="32"/>
          <w:szCs w:val="32"/>
        </w:rPr>
      </w:pPr>
      <w:r w:rsidRPr="002363D7">
        <w:rPr>
          <w:rFonts w:eastAsia="仿宋_GB2312"/>
          <w:sz w:val="32"/>
          <w:szCs w:val="32"/>
        </w:rPr>
        <w:t>粪便样本中存在大量干扰物质。核酸提取</w:t>
      </w:r>
      <w:r w:rsidRPr="002363D7">
        <w:rPr>
          <w:rFonts w:eastAsia="仿宋_GB2312"/>
          <w:sz w:val="32"/>
          <w:szCs w:val="32"/>
        </w:rPr>
        <w:t>/</w:t>
      </w:r>
      <w:r w:rsidRPr="002363D7">
        <w:rPr>
          <w:rFonts w:eastAsia="仿宋_GB2312"/>
          <w:sz w:val="32"/>
          <w:szCs w:val="32"/>
        </w:rPr>
        <w:t>纯化步骤的目的除最大量分离出</w:t>
      </w:r>
      <w:r w:rsidRPr="002363D7">
        <w:rPr>
          <w:rFonts w:eastAsia="仿宋_GB2312"/>
          <w:sz w:val="32"/>
          <w:szCs w:val="32"/>
        </w:rPr>
        <w:t>RNA</w:t>
      </w:r>
      <w:r w:rsidRPr="002363D7">
        <w:rPr>
          <w:rFonts w:eastAsia="仿宋_GB2312"/>
          <w:sz w:val="32"/>
          <w:szCs w:val="32"/>
        </w:rPr>
        <w:t>外，还有相应的纯化作用，应尽可能去除</w:t>
      </w:r>
      <w:r w:rsidRPr="002363D7">
        <w:rPr>
          <w:rFonts w:eastAsia="仿宋_GB2312"/>
          <w:sz w:val="32"/>
          <w:szCs w:val="32"/>
        </w:rPr>
        <w:t>PCR</w:t>
      </w:r>
      <w:r w:rsidRPr="002363D7">
        <w:rPr>
          <w:rFonts w:eastAsia="仿宋_GB2312"/>
          <w:sz w:val="32"/>
          <w:szCs w:val="32"/>
        </w:rPr>
        <w:t>抑制物。对配合使用的所有核酸提取试剂进行提取核酸纯度、浓度、提取效率的研究。若产品适用两种或以上核酸提取试剂，则每一种核酸提取试剂均需配合检测试剂进行抗干扰、重复性和检出限的验证。</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5.</w:t>
      </w:r>
      <w:r w:rsidRPr="002363D7">
        <w:rPr>
          <w:rFonts w:eastAsia="仿宋_GB2312"/>
          <w:sz w:val="32"/>
          <w:szCs w:val="32"/>
        </w:rPr>
        <w:t>准确度</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建议采用申报试剂与已上市产品或其他对比方法同时检测临床样本比较检测结果之间的一致性程度。研究应包括一定数量的阴性、阳性样本，并纳入不同病理分期样本和干扰样本。</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6.</w:t>
      </w:r>
      <w:r w:rsidRPr="002363D7">
        <w:rPr>
          <w:rFonts w:eastAsia="仿宋_GB2312"/>
          <w:sz w:val="32"/>
          <w:szCs w:val="32"/>
        </w:rPr>
        <w:t>精密度</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采用三批试剂对可能影响检测精密度的主要变量进行验证，应考虑运行、时间、操作者、仪器、试剂批次和试验地点等影响精密度的条件，设计合理的精密度试验方案进行评价。精密度评价试验应包含核酸提取步骤。</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应至少包含</w:t>
      </w:r>
      <w:r w:rsidRPr="002363D7">
        <w:rPr>
          <w:rFonts w:eastAsia="仿宋_GB2312"/>
          <w:sz w:val="32"/>
          <w:szCs w:val="32"/>
        </w:rPr>
        <w:t>3</w:t>
      </w:r>
      <w:r w:rsidRPr="002363D7">
        <w:rPr>
          <w:rFonts w:eastAsia="仿宋_GB2312"/>
          <w:sz w:val="32"/>
          <w:szCs w:val="32"/>
        </w:rPr>
        <w:t>个水平：阴性样本、弱阳性样本、中</w:t>
      </w:r>
      <w:r w:rsidRPr="002363D7">
        <w:rPr>
          <w:rFonts w:eastAsia="仿宋_GB2312"/>
          <w:sz w:val="32"/>
          <w:szCs w:val="32"/>
        </w:rPr>
        <w:t>/</w:t>
      </w:r>
      <w:r w:rsidRPr="002363D7">
        <w:rPr>
          <w:rFonts w:eastAsia="仿宋_GB2312"/>
          <w:sz w:val="32"/>
          <w:szCs w:val="32"/>
        </w:rPr>
        <w:t>强阳性样本，并根据产品特性设定适当的精密度要求，例如：</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阴性样本：样本检测结果均应为阴性。</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弱阳性样本：结直肠癌患者样本，待测物浓度为试剂盒阳性判断值对应的靶基因浓度，靶基因</w:t>
      </w:r>
      <w:r w:rsidRPr="002363D7">
        <w:rPr>
          <w:rFonts w:eastAsia="仿宋_GB2312"/>
          <w:i/>
          <w:sz w:val="32"/>
          <w:szCs w:val="32"/>
        </w:rPr>
        <w:t>Ct</w:t>
      </w:r>
      <w:r w:rsidRPr="002363D7">
        <w:rPr>
          <w:rFonts w:eastAsia="仿宋_GB2312"/>
          <w:sz w:val="32"/>
          <w:szCs w:val="32"/>
        </w:rPr>
        <w:t>值的</w:t>
      </w:r>
      <w:r w:rsidRPr="002363D7">
        <w:rPr>
          <w:rFonts w:eastAsia="仿宋_GB2312"/>
          <w:sz w:val="32"/>
          <w:szCs w:val="32"/>
        </w:rPr>
        <w:t>CV≤5%</w:t>
      </w:r>
      <w:r w:rsidRPr="002363D7">
        <w:rPr>
          <w:rFonts w:eastAsia="仿宋_GB2312"/>
          <w:sz w:val="32"/>
          <w:szCs w:val="32"/>
        </w:rPr>
        <w:t>。</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中</w:t>
      </w:r>
      <w:r w:rsidRPr="002363D7">
        <w:rPr>
          <w:rFonts w:eastAsia="仿宋_GB2312"/>
          <w:sz w:val="32"/>
          <w:szCs w:val="32"/>
        </w:rPr>
        <w:t>/</w:t>
      </w:r>
      <w:r w:rsidRPr="002363D7">
        <w:rPr>
          <w:rFonts w:eastAsia="仿宋_GB2312"/>
          <w:sz w:val="32"/>
          <w:szCs w:val="32"/>
        </w:rPr>
        <w:t>强阳性样本：结直肠癌患者样本，待测物浓度呈中度到强阳性，阳性检出率为</w:t>
      </w:r>
      <w:r w:rsidRPr="002363D7">
        <w:rPr>
          <w:rFonts w:eastAsia="仿宋_GB2312"/>
          <w:sz w:val="32"/>
          <w:szCs w:val="32"/>
        </w:rPr>
        <w:t>100%</w:t>
      </w:r>
      <w:r w:rsidRPr="002363D7">
        <w:rPr>
          <w:rFonts w:eastAsia="仿宋_GB2312"/>
          <w:sz w:val="32"/>
          <w:szCs w:val="32"/>
        </w:rPr>
        <w:t>且靶基因</w:t>
      </w:r>
      <w:r w:rsidRPr="002363D7">
        <w:rPr>
          <w:rFonts w:eastAsia="仿宋_GB2312"/>
          <w:i/>
          <w:sz w:val="32"/>
          <w:szCs w:val="32"/>
        </w:rPr>
        <w:t>Ct</w:t>
      </w:r>
      <w:r w:rsidRPr="002363D7">
        <w:rPr>
          <w:rFonts w:eastAsia="仿宋_GB2312"/>
          <w:sz w:val="32"/>
          <w:szCs w:val="32"/>
        </w:rPr>
        <w:t>值的</w:t>
      </w:r>
      <w:r w:rsidRPr="002363D7">
        <w:rPr>
          <w:rFonts w:eastAsia="仿宋_GB2312"/>
          <w:sz w:val="32"/>
          <w:szCs w:val="32"/>
        </w:rPr>
        <w:t>CV≤5%</w:t>
      </w:r>
      <w:r w:rsidRPr="002363D7">
        <w:rPr>
          <w:rFonts w:eastAsia="仿宋_GB2312"/>
          <w:sz w:val="32"/>
          <w:szCs w:val="32"/>
        </w:rPr>
        <w:t>。</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7.</w:t>
      </w:r>
      <w:r w:rsidRPr="002363D7">
        <w:rPr>
          <w:rFonts w:eastAsia="仿宋_GB2312"/>
          <w:sz w:val="32"/>
          <w:szCs w:val="32"/>
        </w:rPr>
        <w:t>分析特异性</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7.1</w:t>
      </w:r>
      <w:r w:rsidRPr="002363D7">
        <w:rPr>
          <w:rFonts w:eastAsia="仿宋_GB2312"/>
          <w:sz w:val="32"/>
          <w:szCs w:val="32"/>
        </w:rPr>
        <w:t>交叉反应</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7.1.1</w:t>
      </w:r>
      <w:r w:rsidRPr="002363D7">
        <w:rPr>
          <w:rFonts w:eastAsia="仿宋_GB2312"/>
          <w:sz w:val="32"/>
          <w:szCs w:val="32"/>
        </w:rPr>
        <w:t>生物信息学分析</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采用生物信息学分析方法进行研究，应当包括人基因组、粪便常见</w:t>
      </w:r>
      <w:r w:rsidRPr="002363D7">
        <w:rPr>
          <w:rFonts w:eastAsia="仿宋_GB2312"/>
          <w:sz w:val="32"/>
          <w:szCs w:val="32"/>
        </w:rPr>
        <w:t>microRNA</w:t>
      </w:r>
      <w:r w:rsidRPr="002363D7">
        <w:rPr>
          <w:rFonts w:eastAsia="仿宋_GB2312"/>
          <w:sz w:val="32"/>
          <w:szCs w:val="32"/>
        </w:rPr>
        <w:t>和粪便微生物组。</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 xml:space="preserve">7.1.2 </w:t>
      </w:r>
      <w:r w:rsidRPr="002363D7">
        <w:rPr>
          <w:rFonts w:eastAsia="仿宋_GB2312"/>
          <w:sz w:val="32"/>
          <w:szCs w:val="32"/>
        </w:rPr>
        <w:t>样本验证</w:t>
      </w:r>
    </w:p>
    <w:p w:rsidR="00A87B69" w:rsidRPr="002363D7" w:rsidRDefault="00A87B69" w:rsidP="00A87B69">
      <w:pPr>
        <w:spacing w:line="560" w:lineRule="exact"/>
        <w:ind w:firstLineChars="200" w:firstLine="640"/>
        <w:rPr>
          <w:rStyle w:val="aff1"/>
          <w:rFonts w:eastAsia="PMingLiU"/>
          <w:sz w:val="32"/>
          <w:szCs w:val="32"/>
          <w:lang w:val="zh-TW" w:eastAsia="zh-TW"/>
        </w:rPr>
      </w:pPr>
      <w:r w:rsidRPr="002363D7">
        <w:rPr>
          <w:rStyle w:val="aff1"/>
          <w:rFonts w:eastAsia="仿宋_GB2312"/>
          <w:sz w:val="32"/>
          <w:szCs w:val="32"/>
          <w:lang w:val="zh-TW" w:eastAsia="zh-TW"/>
        </w:rPr>
        <w:t>样本基质应与预期检测样本类型一致，</w:t>
      </w:r>
      <w:r w:rsidRPr="002363D7">
        <w:rPr>
          <w:rStyle w:val="aff1"/>
          <w:rFonts w:eastAsia="仿宋_GB2312"/>
          <w:sz w:val="32"/>
          <w:szCs w:val="32"/>
          <w:lang w:val="zh-TW"/>
        </w:rPr>
        <w:t>交叉反应研究用样本</w:t>
      </w:r>
      <w:r w:rsidRPr="002363D7">
        <w:rPr>
          <w:rStyle w:val="aff1"/>
          <w:rFonts w:eastAsia="仿宋_GB2312"/>
          <w:sz w:val="32"/>
          <w:szCs w:val="32"/>
          <w:lang w:val="zh-TW" w:eastAsia="zh-TW"/>
        </w:rPr>
        <w:t>主要考虑以下几方面：</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其他恶性肿瘤患者尤其是其他部位消化道恶性肿瘤患者（如食管癌、胃癌、肝癌、胰腺癌、胆管癌等）粪便样本、消化道良性疾病患者（如炎症性肠病、消化性溃疡、结直肠肠息肉等）粪便样本；</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其他粪便常见</w:t>
      </w:r>
      <w:r w:rsidRPr="002363D7">
        <w:rPr>
          <w:rFonts w:eastAsia="仿宋_GB2312"/>
          <w:sz w:val="32"/>
          <w:szCs w:val="32"/>
        </w:rPr>
        <w:t>microRNA</w:t>
      </w:r>
      <w:r w:rsidRPr="002363D7">
        <w:rPr>
          <w:rFonts w:eastAsia="仿宋_GB2312"/>
          <w:sz w:val="32"/>
          <w:szCs w:val="32"/>
        </w:rPr>
        <w:t>、待检基因同源基因或待测靶标的相似序列</w:t>
      </w:r>
      <w:r w:rsidRPr="002363D7">
        <w:rPr>
          <w:rFonts w:eastAsia="仿宋_GB2312"/>
          <w:sz w:val="32"/>
          <w:szCs w:val="32"/>
        </w:rPr>
        <w:t>microRNA</w:t>
      </w:r>
      <w:r w:rsidRPr="002363D7">
        <w:rPr>
          <w:rFonts w:eastAsia="仿宋_GB2312"/>
          <w:sz w:val="32"/>
          <w:szCs w:val="32"/>
        </w:rPr>
        <w:t>。</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7.2</w:t>
      </w:r>
      <w:r w:rsidRPr="002363D7">
        <w:rPr>
          <w:rFonts w:eastAsia="仿宋_GB2312"/>
          <w:sz w:val="32"/>
          <w:szCs w:val="32"/>
        </w:rPr>
        <w:t>干扰研究</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应根据所采集样本类型，针对可能存在的内源</w:t>
      </w:r>
      <w:r w:rsidRPr="002363D7">
        <w:rPr>
          <w:rFonts w:eastAsia="仿宋_GB2312"/>
          <w:sz w:val="32"/>
          <w:szCs w:val="32"/>
        </w:rPr>
        <w:t>/</w:t>
      </w:r>
      <w:r w:rsidRPr="002363D7">
        <w:rPr>
          <w:rFonts w:eastAsia="仿宋_GB2312"/>
          <w:sz w:val="32"/>
          <w:szCs w:val="32"/>
        </w:rPr>
        <w:t>外源物质干扰情况进行验证。建议申请人在每种干扰物质的潜在最大浓度（</w:t>
      </w:r>
      <w:r w:rsidRPr="002363D7">
        <w:rPr>
          <w:rFonts w:eastAsia="仿宋_GB2312"/>
          <w:sz w:val="32"/>
          <w:szCs w:val="32"/>
        </w:rPr>
        <w:t>“</w:t>
      </w:r>
      <w:r w:rsidRPr="002363D7">
        <w:rPr>
          <w:rFonts w:eastAsia="仿宋_GB2312"/>
          <w:sz w:val="32"/>
          <w:szCs w:val="32"/>
        </w:rPr>
        <w:t>最差条件</w:t>
      </w:r>
      <w:r w:rsidRPr="002363D7">
        <w:rPr>
          <w:rFonts w:eastAsia="仿宋_GB2312"/>
          <w:sz w:val="32"/>
          <w:szCs w:val="32"/>
        </w:rPr>
        <w:t>”</w:t>
      </w:r>
      <w:r w:rsidRPr="002363D7">
        <w:rPr>
          <w:rFonts w:eastAsia="仿宋_GB2312"/>
          <w:sz w:val="32"/>
          <w:szCs w:val="32"/>
        </w:rPr>
        <w:t>）条件下进行试验，采用至少包含弱阳性水平在内的样本。对结果进行合理的统计分析，对比添加干扰物质前后的</w:t>
      </w:r>
      <w:r w:rsidRPr="002363D7">
        <w:rPr>
          <w:rFonts w:eastAsia="仿宋_GB2312"/>
          <w:sz w:val="32"/>
          <w:szCs w:val="32"/>
        </w:rPr>
        <w:t xml:space="preserve"> </w:t>
      </w:r>
      <w:r w:rsidRPr="002363D7">
        <w:rPr>
          <w:rFonts w:eastAsia="仿宋_GB2312"/>
          <w:i/>
          <w:sz w:val="32"/>
          <w:szCs w:val="32"/>
        </w:rPr>
        <w:t>Ct</w:t>
      </w:r>
      <w:r w:rsidRPr="002363D7">
        <w:rPr>
          <w:rFonts w:eastAsia="仿宋_GB2312"/>
          <w:sz w:val="32"/>
          <w:szCs w:val="32"/>
        </w:rPr>
        <w:t xml:space="preserve"> </w:t>
      </w:r>
      <w:r w:rsidRPr="002363D7">
        <w:rPr>
          <w:rFonts w:eastAsia="仿宋_GB2312"/>
          <w:sz w:val="32"/>
          <w:szCs w:val="32"/>
        </w:rPr>
        <w:t>值差异；如为多靶标检测产品，还应比较综合计算后的结果差异。检测的潜在干扰物包括样本中的原有物质及在样本采集和处理期间引入的物质。</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常见内源性干扰物质：血红蛋白、胆红素、白细胞、血清白蛋白、多糖等。</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常见外源性干扰物质：维生素</w:t>
      </w:r>
      <w:r w:rsidRPr="002363D7">
        <w:rPr>
          <w:rFonts w:eastAsia="仿宋_GB2312"/>
          <w:sz w:val="32"/>
          <w:szCs w:val="32"/>
        </w:rPr>
        <w:t>C</w:t>
      </w:r>
      <w:r w:rsidRPr="002363D7">
        <w:rPr>
          <w:rFonts w:eastAsia="仿宋_GB2312"/>
          <w:sz w:val="32"/>
          <w:szCs w:val="32"/>
        </w:rPr>
        <w:t>、膳食纤维、消化道疾病常用药物（通便灵、西咪替丁等</w:t>
      </w:r>
      <w:r w:rsidRPr="002363D7">
        <w:rPr>
          <w:rFonts w:eastAsia="仿宋_GB2312"/>
          <w:sz w:val="32"/>
          <w:szCs w:val="32"/>
        </w:rPr>
        <w:t>H2</w:t>
      </w:r>
      <w:r w:rsidRPr="002363D7">
        <w:rPr>
          <w:rFonts w:eastAsia="仿宋_GB2312"/>
          <w:sz w:val="32"/>
          <w:szCs w:val="32"/>
        </w:rPr>
        <w:t>受体拮抗剂；奥美拉唑等质子泵抑制剂、硫糖铝等胃黏膜保护剂；乳酸杆菌等胃肠道益生菌、吗丁啉等促胃肠动力药</w:t>
      </w:r>
      <w:r w:rsidRPr="002363D7">
        <w:rPr>
          <w:rFonts w:eastAsia="仿宋_GB2312"/>
          <w:sz w:val="32"/>
          <w:szCs w:val="32"/>
          <w:lang w:val="x-none"/>
        </w:rPr>
        <w:t>、胰酶等消化酶补充剂</w:t>
      </w:r>
      <w:r w:rsidRPr="002363D7">
        <w:rPr>
          <w:rFonts w:eastAsia="仿宋_GB2312"/>
          <w:sz w:val="32"/>
          <w:szCs w:val="32"/>
        </w:rPr>
        <w:t>）。</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8.</w:t>
      </w:r>
      <w:r w:rsidRPr="002363D7">
        <w:rPr>
          <w:rFonts w:eastAsia="仿宋_GB2312"/>
          <w:sz w:val="32"/>
          <w:szCs w:val="32"/>
        </w:rPr>
        <w:t>检出限</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8.1</w:t>
      </w:r>
      <w:r w:rsidRPr="002363D7">
        <w:rPr>
          <w:rFonts w:eastAsia="仿宋_GB2312"/>
          <w:sz w:val="32"/>
          <w:szCs w:val="32"/>
        </w:rPr>
        <w:t>检出限的确定</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将不同来源的至少</w:t>
      </w:r>
      <w:r w:rsidRPr="002363D7">
        <w:rPr>
          <w:rFonts w:eastAsia="仿宋_GB2312"/>
          <w:sz w:val="32"/>
          <w:szCs w:val="32"/>
        </w:rPr>
        <w:t>3</w:t>
      </w:r>
      <w:r w:rsidRPr="002363D7">
        <w:rPr>
          <w:rFonts w:eastAsia="仿宋_GB2312"/>
          <w:sz w:val="32"/>
          <w:szCs w:val="32"/>
        </w:rPr>
        <w:t>个样本梯度稀释于与适用样本一致的基质中，进行检出限的确定。每个浓度梯度最少重复</w:t>
      </w:r>
      <w:r w:rsidRPr="002363D7">
        <w:rPr>
          <w:rFonts w:eastAsia="仿宋_GB2312"/>
          <w:sz w:val="32"/>
          <w:szCs w:val="32"/>
        </w:rPr>
        <w:t>3</w:t>
      </w:r>
      <w:r w:rsidRPr="002363D7">
        <w:rPr>
          <w:rFonts w:eastAsia="仿宋_GB2312"/>
          <w:sz w:val="32"/>
          <w:szCs w:val="32"/>
        </w:rPr>
        <w:t>次检测，以</w:t>
      </w:r>
      <w:r w:rsidRPr="002363D7">
        <w:rPr>
          <w:rFonts w:eastAsia="仿宋_GB2312"/>
          <w:sz w:val="32"/>
          <w:szCs w:val="32"/>
        </w:rPr>
        <w:t>100%</w:t>
      </w:r>
      <w:r w:rsidRPr="002363D7">
        <w:rPr>
          <w:rFonts w:eastAsia="仿宋_GB2312"/>
          <w:sz w:val="32"/>
          <w:szCs w:val="32"/>
        </w:rPr>
        <w:t>可检出的最低浓度水平作为估计检出限，在此浓度附近制备若干梯度浓度样本，每个浓度至少重复</w:t>
      </w:r>
      <w:r w:rsidRPr="002363D7">
        <w:rPr>
          <w:rFonts w:eastAsia="仿宋_GB2312"/>
          <w:sz w:val="32"/>
          <w:szCs w:val="32"/>
        </w:rPr>
        <w:t>20</w:t>
      </w:r>
      <w:r w:rsidRPr="002363D7">
        <w:rPr>
          <w:rFonts w:eastAsia="仿宋_GB2312"/>
          <w:sz w:val="32"/>
          <w:szCs w:val="32"/>
        </w:rPr>
        <w:t>次检测，将具有</w:t>
      </w:r>
      <w:r w:rsidRPr="002363D7">
        <w:rPr>
          <w:rFonts w:eastAsia="仿宋_GB2312"/>
          <w:sz w:val="32"/>
          <w:szCs w:val="32"/>
        </w:rPr>
        <w:t>95%</w:t>
      </w:r>
      <w:r w:rsidRPr="002363D7">
        <w:rPr>
          <w:rFonts w:eastAsia="仿宋_GB2312"/>
          <w:sz w:val="32"/>
          <w:szCs w:val="32"/>
        </w:rPr>
        <w:t>阳性检出率的最低浓度水平作为确定的检出限。</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8.2</w:t>
      </w:r>
      <w:r w:rsidRPr="002363D7">
        <w:rPr>
          <w:rFonts w:eastAsia="仿宋_GB2312"/>
          <w:sz w:val="32"/>
          <w:szCs w:val="32"/>
        </w:rPr>
        <w:t>检出限的验证</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选择另外</w:t>
      </w:r>
      <w:r w:rsidRPr="002363D7">
        <w:rPr>
          <w:rFonts w:eastAsia="仿宋_GB2312"/>
          <w:sz w:val="32"/>
          <w:szCs w:val="32"/>
        </w:rPr>
        <w:t>3</w:t>
      </w:r>
      <w:r w:rsidRPr="002363D7">
        <w:rPr>
          <w:rFonts w:eastAsia="仿宋_GB2312"/>
          <w:sz w:val="32"/>
          <w:szCs w:val="32"/>
        </w:rPr>
        <w:t>个不同来源的样本在检出限浓度水平进行验证，应达到</w:t>
      </w:r>
      <w:r w:rsidRPr="002363D7">
        <w:rPr>
          <w:rFonts w:eastAsia="仿宋_GB2312"/>
          <w:sz w:val="32"/>
          <w:szCs w:val="32"/>
        </w:rPr>
        <w:t>95%</w:t>
      </w:r>
      <w:r w:rsidRPr="002363D7">
        <w:rPr>
          <w:rFonts w:eastAsia="仿宋_GB2312"/>
          <w:sz w:val="32"/>
          <w:szCs w:val="32"/>
        </w:rPr>
        <w:t>阳性检出率。</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如包括多个检测靶标，应分别进行研究。</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9.</w:t>
      </w:r>
      <w:r w:rsidRPr="002363D7">
        <w:rPr>
          <w:rFonts w:eastAsia="仿宋_GB2312"/>
          <w:sz w:val="32"/>
          <w:szCs w:val="32"/>
        </w:rPr>
        <w:t>企业参考品验证</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根据主要原材料研究资料中的企业参考品设置情况，采用三批产品对企业参考品进行检验并提供详细的试验数据。</w:t>
      </w:r>
    </w:p>
    <w:p w:rsidR="00A87B69" w:rsidRPr="002363D7" w:rsidRDefault="00A87B69" w:rsidP="00A87B69">
      <w:pPr>
        <w:snapToGrid w:val="0"/>
        <w:spacing w:line="560" w:lineRule="exact"/>
        <w:ind w:firstLineChars="200" w:firstLine="640"/>
        <w:rPr>
          <w:rFonts w:eastAsia="楷体"/>
          <w:sz w:val="32"/>
          <w:szCs w:val="32"/>
        </w:rPr>
      </w:pPr>
      <w:r w:rsidRPr="002363D7">
        <w:rPr>
          <w:rFonts w:eastAsia="楷体"/>
          <w:sz w:val="32"/>
          <w:szCs w:val="32"/>
        </w:rPr>
        <w:t>（五）稳定性研究</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申报试剂的稳定性主要包括实时稳定性（有效期）、使用稳定性、运输稳定性及冻融次数限制等研究，申请人可根据实际需要选择合理的稳定性研究方案。稳定性研究资料应包括具体的实施方案、详细的研究数据以及统计分析结论。对于实时稳定性研究，应提供至少三批产品在实际储存条件下保存至成品有效期后的研究资料。</w:t>
      </w:r>
    </w:p>
    <w:p w:rsidR="00A87B69" w:rsidRPr="002363D7" w:rsidRDefault="00A87B69" w:rsidP="00A87B69">
      <w:pPr>
        <w:snapToGrid w:val="0"/>
        <w:spacing w:line="560" w:lineRule="exact"/>
        <w:ind w:firstLineChars="200" w:firstLine="640"/>
        <w:rPr>
          <w:rFonts w:eastAsia="楷体"/>
          <w:sz w:val="32"/>
          <w:szCs w:val="32"/>
        </w:rPr>
      </w:pPr>
      <w:r w:rsidRPr="002363D7">
        <w:rPr>
          <w:rFonts w:eastAsia="楷体"/>
          <w:sz w:val="32"/>
          <w:szCs w:val="32"/>
        </w:rPr>
        <w:t>（六）阳性判断值研究</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单靶标检测的申报产品，阳性判断值一般为申报产品检测靶标阳性的</w:t>
      </w:r>
      <w:r w:rsidRPr="002363D7">
        <w:rPr>
          <w:rFonts w:eastAsia="仿宋_GB2312"/>
          <w:i/>
          <w:sz w:val="32"/>
          <w:szCs w:val="32"/>
        </w:rPr>
        <w:t>Ct</w:t>
      </w:r>
      <w:r w:rsidRPr="002363D7">
        <w:rPr>
          <w:rFonts w:eastAsia="仿宋_GB2312"/>
          <w:sz w:val="32"/>
          <w:szCs w:val="32"/>
        </w:rPr>
        <w:t>值。如申报产品需通过多个靶标计算后进行判读，申请人应详述计算模型选择依据、计算过程、权重系数等。</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阳性判断值研究用样本来源应具有多样性和代表性，考虑不同时间、地域、不同的生理状态等因素。应根据结直肠癌辅助诊断的预期用途，纳入相关预期人群，包括不同病理分期的结直肠癌患者、不同种消化道良</w:t>
      </w:r>
      <w:r w:rsidRPr="002363D7">
        <w:rPr>
          <w:rFonts w:eastAsia="仿宋_GB2312"/>
          <w:sz w:val="32"/>
          <w:szCs w:val="32"/>
        </w:rPr>
        <w:t>/</w:t>
      </w:r>
      <w:r w:rsidRPr="002363D7">
        <w:rPr>
          <w:rFonts w:eastAsia="仿宋_GB2312"/>
          <w:sz w:val="32"/>
          <w:szCs w:val="32"/>
        </w:rPr>
        <w:t>恶性肿瘤疾病干扰样本，并尽量纳入较多弱阳性和高阴性水平的样本。采用</w:t>
      </w:r>
      <w:r w:rsidRPr="002363D7">
        <w:rPr>
          <w:rFonts w:eastAsia="仿宋_GB2312"/>
          <w:sz w:val="32"/>
          <w:szCs w:val="32"/>
        </w:rPr>
        <w:t>ROC</w:t>
      </w:r>
      <w:r w:rsidRPr="002363D7">
        <w:rPr>
          <w:rFonts w:eastAsia="仿宋_GB2312"/>
          <w:sz w:val="32"/>
          <w:szCs w:val="32"/>
        </w:rPr>
        <w:t>曲线分析建立阳性判断值，并确定产品的判读规则。如判定值存在灰区，应提供灰区的确认资料。</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提交阳性判断值研究所用样本的背景信息列表，至少包括性别、年龄、临床诊断信息、样本来源机构、检测结果等信息。</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提供内标检测结果范围的确定方法和研究资料。</w:t>
      </w:r>
    </w:p>
    <w:p w:rsidR="00A87B69" w:rsidRPr="002363D7" w:rsidRDefault="00A87B69" w:rsidP="00A87B69">
      <w:pPr>
        <w:spacing w:line="560" w:lineRule="exact"/>
        <w:ind w:firstLineChars="200" w:firstLine="640"/>
        <w:rPr>
          <w:rFonts w:eastAsia="楷体"/>
          <w:sz w:val="32"/>
          <w:szCs w:val="32"/>
        </w:rPr>
      </w:pPr>
      <w:r w:rsidRPr="002363D7">
        <w:rPr>
          <w:rFonts w:eastAsia="楷体"/>
          <w:sz w:val="32"/>
          <w:szCs w:val="32"/>
        </w:rPr>
        <w:t>（七）其他非临床研究资料</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1.</w:t>
      </w:r>
      <w:r w:rsidRPr="002363D7">
        <w:rPr>
          <w:rFonts w:eastAsia="仿宋_GB2312"/>
          <w:sz w:val="32"/>
          <w:szCs w:val="32"/>
        </w:rPr>
        <w:t>主要原材料研究</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该类产品的主要原材料包括引物、探针、酶、</w:t>
      </w:r>
      <w:r w:rsidRPr="002363D7">
        <w:rPr>
          <w:rFonts w:eastAsia="仿宋_GB2312"/>
          <w:bCs/>
          <w:sz w:val="32"/>
          <w:szCs w:val="32"/>
        </w:rPr>
        <w:t>dNTP</w:t>
      </w:r>
      <w:r w:rsidRPr="002363D7">
        <w:rPr>
          <w:rFonts w:eastAsia="仿宋_GB2312"/>
          <w:sz w:val="32"/>
          <w:szCs w:val="32"/>
        </w:rPr>
        <w:t>、核酸分离</w:t>
      </w:r>
      <w:r w:rsidRPr="002363D7">
        <w:rPr>
          <w:rFonts w:eastAsia="仿宋_GB2312"/>
          <w:sz w:val="32"/>
          <w:szCs w:val="32"/>
        </w:rPr>
        <w:t>/</w:t>
      </w:r>
      <w:r w:rsidRPr="002363D7">
        <w:rPr>
          <w:rFonts w:eastAsia="仿宋_GB2312"/>
          <w:sz w:val="32"/>
          <w:szCs w:val="32"/>
        </w:rPr>
        <w:t>纯化组分（如有）、质控品、企业参考品等。应提供主要原材料的选择与来源、制备过程、质量控制标准等相关研究资料、质控品的定值试验资料等。如主要原材料为企业自制，应提供其详细制备过程；如主要原材料源于外购，应提供资料包括：选择该原材料的依据及对比筛选试验资料、质量标准、出厂检验报告，以及该原材料到货后的质量检验资料。生产商应固定，不得随意更换。</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1.1</w:t>
      </w:r>
      <w:r w:rsidRPr="002363D7">
        <w:rPr>
          <w:rFonts w:eastAsia="仿宋_GB2312"/>
          <w:sz w:val="32"/>
          <w:szCs w:val="32"/>
        </w:rPr>
        <w:t>引物和探针：</w:t>
      </w:r>
      <w:r w:rsidRPr="002363D7">
        <w:rPr>
          <w:rFonts w:eastAsia="仿宋_GB2312"/>
          <w:sz w:val="32"/>
          <w:szCs w:val="32"/>
        </w:rPr>
        <w:t>microRNA</w:t>
      </w:r>
      <w:r w:rsidRPr="002363D7">
        <w:rPr>
          <w:rFonts w:eastAsia="仿宋_GB2312"/>
          <w:sz w:val="32"/>
          <w:szCs w:val="32"/>
        </w:rPr>
        <w:t>长度短、序列相似度高，在引物</w:t>
      </w:r>
      <w:r w:rsidRPr="002363D7">
        <w:rPr>
          <w:rFonts w:eastAsia="仿宋_GB2312"/>
          <w:sz w:val="32"/>
          <w:szCs w:val="32"/>
        </w:rPr>
        <w:t>/</w:t>
      </w:r>
      <w:r w:rsidRPr="002363D7">
        <w:rPr>
          <w:rFonts w:eastAsia="仿宋_GB2312"/>
          <w:sz w:val="32"/>
          <w:szCs w:val="32"/>
        </w:rPr>
        <w:t>反转录引物、探针设计时应充分考虑</w:t>
      </w:r>
      <w:r w:rsidRPr="002363D7">
        <w:rPr>
          <w:rFonts w:eastAsia="仿宋_GB2312"/>
          <w:sz w:val="32"/>
          <w:szCs w:val="32"/>
        </w:rPr>
        <w:t>microRNA</w:t>
      </w:r>
      <w:r w:rsidRPr="002363D7">
        <w:rPr>
          <w:rFonts w:eastAsia="仿宋_GB2312"/>
          <w:sz w:val="32"/>
          <w:szCs w:val="32"/>
        </w:rPr>
        <w:t>结构特点。详述靶标或靶标组合的选择过程，对于多靶标组合产品应尽可能保持彼此间的差异性，提高探针的特异性。详述引物和探针的设计原则，提供引物、探针核酸序列、靶序列的基因位点及两者的对应情况。反转录引物应结合结构图（如茎环结构），详述各部位序列、作用及反转录过程中结构变化等情况。通过筛选确定最佳的引物和探针组合。引物、探针的质量标准应至少包括序列准确性、纯度、浓度及功能性实验等。</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1.2</w:t>
      </w:r>
      <w:r w:rsidRPr="002363D7">
        <w:rPr>
          <w:rFonts w:eastAsia="仿宋_GB2312"/>
          <w:sz w:val="32"/>
          <w:szCs w:val="32"/>
        </w:rPr>
        <w:t>脱氧三磷酸核苷（</w:t>
      </w:r>
      <w:r w:rsidRPr="002363D7">
        <w:rPr>
          <w:rFonts w:eastAsia="仿宋_GB2312"/>
          <w:sz w:val="32"/>
          <w:szCs w:val="32"/>
        </w:rPr>
        <w:t>dNTP</w:t>
      </w:r>
      <w:r w:rsidRPr="002363D7">
        <w:rPr>
          <w:rFonts w:eastAsia="仿宋_GB2312"/>
          <w:sz w:val="32"/>
          <w:szCs w:val="32"/>
        </w:rPr>
        <w:t>）：包括</w:t>
      </w:r>
      <w:r w:rsidRPr="002363D7">
        <w:rPr>
          <w:rFonts w:eastAsia="仿宋_GB2312"/>
          <w:bCs/>
          <w:sz w:val="32"/>
          <w:szCs w:val="32"/>
        </w:rPr>
        <w:t>dATP</w:t>
      </w:r>
      <w:r w:rsidRPr="002363D7">
        <w:rPr>
          <w:rFonts w:eastAsia="仿宋_GB2312"/>
          <w:bCs/>
          <w:sz w:val="32"/>
          <w:szCs w:val="32"/>
        </w:rPr>
        <w:t>、</w:t>
      </w:r>
      <w:r w:rsidRPr="002363D7">
        <w:rPr>
          <w:rFonts w:eastAsia="仿宋_GB2312"/>
          <w:bCs/>
          <w:sz w:val="32"/>
          <w:szCs w:val="32"/>
        </w:rPr>
        <w:t>dUTP</w:t>
      </w:r>
      <w:r w:rsidRPr="002363D7">
        <w:rPr>
          <w:rFonts w:eastAsia="仿宋_GB2312"/>
          <w:bCs/>
          <w:sz w:val="32"/>
          <w:szCs w:val="32"/>
        </w:rPr>
        <w:t>、</w:t>
      </w:r>
      <w:r w:rsidRPr="002363D7">
        <w:rPr>
          <w:rFonts w:eastAsia="仿宋_GB2312"/>
          <w:bCs/>
          <w:sz w:val="32"/>
          <w:szCs w:val="32"/>
        </w:rPr>
        <w:t>dGTP</w:t>
      </w:r>
      <w:r w:rsidRPr="002363D7">
        <w:rPr>
          <w:rFonts w:eastAsia="仿宋_GB2312"/>
          <w:bCs/>
          <w:sz w:val="32"/>
          <w:szCs w:val="32"/>
        </w:rPr>
        <w:t>、</w:t>
      </w:r>
      <w:r w:rsidRPr="002363D7">
        <w:rPr>
          <w:rFonts w:eastAsia="仿宋_GB2312"/>
          <w:bCs/>
          <w:sz w:val="32"/>
          <w:szCs w:val="32"/>
        </w:rPr>
        <w:t>dCTP</w:t>
      </w:r>
      <w:r w:rsidRPr="002363D7">
        <w:rPr>
          <w:rFonts w:eastAsia="仿宋_GB2312"/>
          <w:bCs/>
          <w:sz w:val="32"/>
          <w:szCs w:val="32"/>
        </w:rPr>
        <w:t>和</w:t>
      </w:r>
      <w:r w:rsidRPr="002363D7">
        <w:rPr>
          <w:rFonts w:eastAsia="仿宋_GB2312"/>
          <w:bCs/>
          <w:sz w:val="32"/>
          <w:szCs w:val="32"/>
        </w:rPr>
        <w:t>dTTP</w:t>
      </w:r>
      <w:r w:rsidRPr="002363D7">
        <w:rPr>
          <w:rFonts w:eastAsia="仿宋_GB2312"/>
          <w:sz w:val="32"/>
          <w:szCs w:val="32"/>
        </w:rPr>
        <w:t>，应提供对其纯度、浓度、功能性等的详细验证资料。</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1.3</w:t>
      </w:r>
      <w:r w:rsidRPr="002363D7">
        <w:rPr>
          <w:rFonts w:eastAsia="仿宋_GB2312"/>
          <w:sz w:val="32"/>
          <w:szCs w:val="32"/>
        </w:rPr>
        <w:t>酶：需要的酶主要包括核糖核酸酶</w:t>
      </w:r>
      <w:r w:rsidRPr="002363D7">
        <w:rPr>
          <w:rFonts w:eastAsia="仿宋_GB2312"/>
          <w:sz w:val="32"/>
          <w:szCs w:val="32"/>
        </w:rPr>
        <w:t>H</w:t>
      </w:r>
      <w:r w:rsidRPr="002363D7">
        <w:rPr>
          <w:rFonts w:eastAsia="仿宋_GB2312"/>
          <w:sz w:val="32"/>
          <w:szCs w:val="32"/>
        </w:rPr>
        <w:t>（</w:t>
      </w:r>
      <w:r w:rsidRPr="002363D7">
        <w:rPr>
          <w:rFonts w:eastAsia="仿宋_GB2312"/>
          <w:sz w:val="32"/>
          <w:szCs w:val="32"/>
        </w:rPr>
        <w:t>RNase H</w:t>
      </w:r>
      <w:r w:rsidRPr="002363D7">
        <w:rPr>
          <w:rFonts w:eastAsia="仿宋_GB2312"/>
          <w:sz w:val="32"/>
          <w:szCs w:val="32"/>
        </w:rPr>
        <w:t>）、</w:t>
      </w:r>
      <w:r w:rsidRPr="002363D7">
        <w:rPr>
          <w:rFonts w:eastAsia="仿宋_GB2312"/>
          <w:sz w:val="32"/>
          <w:szCs w:val="32"/>
        </w:rPr>
        <w:t>RNA</w:t>
      </w:r>
      <w:r w:rsidRPr="002363D7">
        <w:rPr>
          <w:rFonts w:eastAsia="仿宋_GB2312"/>
          <w:sz w:val="32"/>
          <w:szCs w:val="32"/>
        </w:rPr>
        <w:t>依赖的</w:t>
      </w:r>
      <w:r w:rsidRPr="002363D7">
        <w:rPr>
          <w:rFonts w:eastAsia="仿宋_GB2312"/>
          <w:sz w:val="32"/>
          <w:szCs w:val="32"/>
        </w:rPr>
        <w:t>DNA</w:t>
      </w:r>
      <w:r w:rsidRPr="002363D7">
        <w:rPr>
          <w:rFonts w:eastAsia="仿宋_GB2312"/>
          <w:sz w:val="32"/>
          <w:szCs w:val="32"/>
        </w:rPr>
        <w:t>聚合酶、</w:t>
      </w:r>
      <w:r w:rsidRPr="002363D7">
        <w:rPr>
          <w:rFonts w:eastAsia="仿宋_GB2312"/>
          <w:sz w:val="32"/>
          <w:szCs w:val="32"/>
        </w:rPr>
        <w:t>DNA</w:t>
      </w:r>
      <w:r w:rsidRPr="002363D7">
        <w:rPr>
          <w:rFonts w:eastAsia="仿宋_GB2312"/>
          <w:sz w:val="32"/>
          <w:szCs w:val="32"/>
        </w:rPr>
        <w:t>依赖的</w:t>
      </w:r>
      <w:r w:rsidRPr="002363D7">
        <w:rPr>
          <w:rFonts w:eastAsia="仿宋_GB2312"/>
          <w:sz w:val="32"/>
          <w:szCs w:val="32"/>
        </w:rPr>
        <w:t>DNA</w:t>
      </w:r>
      <w:r w:rsidRPr="002363D7">
        <w:rPr>
          <w:rFonts w:eastAsia="仿宋_GB2312"/>
          <w:sz w:val="32"/>
          <w:szCs w:val="32"/>
        </w:rPr>
        <w:t>聚合酶、尿嘧啶</w:t>
      </w:r>
      <w:r w:rsidRPr="002363D7">
        <w:rPr>
          <w:rFonts w:eastAsia="仿宋_GB2312"/>
          <w:sz w:val="32"/>
          <w:szCs w:val="32"/>
        </w:rPr>
        <w:t>DNA</w:t>
      </w:r>
      <w:r w:rsidRPr="002363D7">
        <w:rPr>
          <w:rFonts w:eastAsia="仿宋_GB2312"/>
          <w:sz w:val="32"/>
          <w:szCs w:val="32"/>
        </w:rPr>
        <w:t>糖基化酶等，应分别对酶活性、热稳定性、功能性等进行评价和验证。</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1.4</w:t>
      </w:r>
      <w:r w:rsidRPr="002363D7">
        <w:rPr>
          <w:rFonts w:eastAsia="仿宋_GB2312"/>
          <w:sz w:val="32"/>
          <w:szCs w:val="32"/>
        </w:rPr>
        <w:t>质控品</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试剂盒一般包含阴性质控品和阳性质控品。阳性质控品应包含试剂盒检测的靶序列。质控品需参与样本处理、核酸的平行提取和检测的全过程，以对整个提取和</w:t>
      </w:r>
      <w:r w:rsidRPr="002363D7">
        <w:rPr>
          <w:rFonts w:eastAsia="仿宋_GB2312"/>
          <w:sz w:val="32"/>
          <w:szCs w:val="32"/>
        </w:rPr>
        <w:t>PCR</w:t>
      </w:r>
      <w:r w:rsidRPr="002363D7">
        <w:rPr>
          <w:rFonts w:eastAsia="仿宋_GB2312"/>
          <w:sz w:val="32"/>
          <w:szCs w:val="32"/>
        </w:rPr>
        <w:t>扩增过程、试剂</w:t>
      </w:r>
      <w:r w:rsidRPr="002363D7">
        <w:rPr>
          <w:rFonts w:eastAsia="仿宋_GB2312"/>
          <w:sz w:val="32"/>
          <w:szCs w:val="32"/>
        </w:rPr>
        <w:t>/</w:t>
      </w:r>
      <w:r w:rsidRPr="002363D7">
        <w:rPr>
          <w:rFonts w:eastAsia="仿宋_GB2312"/>
          <w:sz w:val="32"/>
          <w:szCs w:val="32"/>
        </w:rPr>
        <w:t>设备、交叉污染等环节进行合理质量控制。提交试剂盒质控品有关原料选择、制备、定值过程、浓度范围等试验资料，对质控品的检测结果</w:t>
      </w:r>
      <w:r w:rsidRPr="002363D7">
        <w:rPr>
          <w:rFonts w:eastAsia="仿宋_GB2312"/>
          <w:i/>
          <w:sz w:val="32"/>
          <w:szCs w:val="32"/>
        </w:rPr>
        <w:t>Ct</w:t>
      </w:r>
      <w:r w:rsidRPr="002363D7">
        <w:rPr>
          <w:rFonts w:eastAsia="仿宋_GB2312"/>
          <w:sz w:val="32"/>
          <w:szCs w:val="32"/>
        </w:rPr>
        <w:t>值范围做出明确的要求。如为多靶标检测产品，还应对综合计算后的结果范围做出明确的要求。</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1.5</w:t>
      </w:r>
      <w:r w:rsidRPr="002363D7">
        <w:rPr>
          <w:rFonts w:eastAsia="仿宋_GB2312"/>
          <w:sz w:val="32"/>
          <w:szCs w:val="32"/>
        </w:rPr>
        <w:t>内标</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内标，又称内对照，可对检验过程进行质量控制，应与靶核酸一同提取及扩增。应详述内标基因的选择。申请人需对内标的引物、探针设计和相关反应体系的浓度做精确验证，既要保证内标荧光通道呈明显的阳性曲线又要尽量降低对靶基因检测造成的抑制。明确内标的检测结果</w:t>
      </w:r>
      <w:r w:rsidRPr="002363D7">
        <w:rPr>
          <w:rFonts w:eastAsia="仿宋_GB2312"/>
          <w:i/>
          <w:sz w:val="32"/>
          <w:szCs w:val="32"/>
        </w:rPr>
        <w:t>Ct</w:t>
      </w:r>
      <w:r w:rsidRPr="002363D7">
        <w:rPr>
          <w:rFonts w:eastAsia="仿宋_GB2312"/>
          <w:sz w:val="32"/>
          <w:szCs w:val="32"/>
        </w:rPr>
        <w:t>值范围。建议科学设置内标，对待测样本的取样质量、试剂的反应体系进行监控。</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1.6</w:t>
      </w:r>
      <w:r w:rsidRPr="002363D7">
        <w:rPr>
          <w:rFonts w:eastAsia="仿宋_GB2312"/>
          <w:sz w:val="32"/>
          <w:szCs w:val="32"/>
        </w:rPr>
        <w:t>核酸扩增反应液（如适用）</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如申请人选择包含多组分的商用核酸扩增反应液，应提交不同商用核酸扩增反应液的选择、验证研究资料，并明确核酸扩增反应液的质量标准。</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 xml:space="preserve">1.7 </w:t>
      </w:r>
      <w:r w:rsidRPr="002363D7">
        <w:rPr>
          <w:rFonts w:eastAsia="仿宋_GB2312"/>
          <w:sz w:val="32"/>
          <w:szCs w:val="32"/>
        </w:rPr>
        <w:t>其他</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试剂盒中其他生物活性物质，如</w:t>
      </w:r>
      <w:r w:rsidRPr="002363D7">
        <w:rPr>
          <w:rFonts w:eastAsia="仿宋_GB2312"/>
          <w:sz w:val="32"/>
          <w:szCs w:val="32"/>
        </w:rPr>
        <w:t>RNA</w:t>
      </w:r>
      <w:r w:rsidRPr="002363D7">
        <w:rPr>
          <w:rFonts w:eastAsia="仿宋_GB2312"/>
          <w:sz w:val="32"/>
          <w:szCs w:val="32"/>
        </w:rPr>
        <w:t>酶抑制剂、</w:t>
      </w:r>
      <w:r w:rsidRPr="002363D7">
        <w:rPr>
          <w:rFonts w:eastAsia="仿宋_GB2312"/>
          <w:sz w:val="32"/>
          <w:szCs w:val="32"/>
        </w:rPr>
        <w:t>DNA</w:t>
      </w:r>
      <w:r w:rsidRPr="002363D7">
        <w:rPr>
          <w:rFonts w:eastAsia="仿宋_GB2312"/>
          <w:sz w:val="32"/>
          <w:szCs w:val="32"/>
        </w:rPr>
        <w:t>去除剂等，应分别明确其质量标准并进行验证。</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1.8</w:t>
      </w:r>
      <w:r w:rsidRPr="002363D7">
        <w:rPr>
          <w:rFonts w:eastAsia="仿宋_GB2312"/>
          <w:sz w:val="32"/>
          <w:szCs w:val="32"/>
        </w:rPr>
        <w:t>企业参考品制备</w:t>
      </w:r>
    </w:p>
    <w:p w:rsidR="00A87B69" w:rsidRPr="002363D7" w:rsidRDefault="00A87B69" w:rsidP="00A87B69">
      <w:pPr>
        <w:spacing w:line="560" w:lineRule="exact"/>
        <w:ind w:firstLineChars="200" w:firstLine="640"/>
        <w:rPr>
          <w:rFonts w:eastAsia="仿宋_GB2312"/>
          <w:sz w:val="32"/>
          <w:szCs w:val="32"/>
        </w:rPr>
      </w:pPr>
      <w:r w:rsidRPr="002363D7">
        <w:rPr>
          <w:rFonts w:eastAsia="仿宋_GB2312"/>
          <w:sz w:val="32"/>
          <w:szCs w:val="32"/>
        </w:rPr>
        <w:t>申请人应根据产品性能验证的实际情况自行设定企业内部参考品，包括阳性参考品、阴性参考品、检出限参考品、精密度参考品。参考品可采用临床样本、细胞系，基质一般为真实粪便样本。如特定低浓度的样本难以获得，可采用不同浓度的样本及阴性样本进行混合研究；必要时，如使用人工基质进行稀释，应考虑其基质效应。应提交企业参考品的原料来源、选择、制备、阴阳性及浓度确认方法或试剂等相关验证资料。</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阳性参考品应包含不同浓度水平靶基因的结直肠癌粪便样本。</w:t>
      </w:r>
    </w:p>
    <w:p w:rsidR="00A87B69" w:rsidRPr="002363D7" w:rsidRDefault="00A87B69" w:rsidP="00A87B69">
      <w:pPr>
        <w:spacing w:line="560" w:lineRule="exact"/>
        <w:rPr>
          <w:rFonts w:eastAsia="仿宋_GB2312"/>
          <w:sz w:val="32"/>
          <w:szCs w:val="32"/>
        </w:rPr>
      </w:pPr>
      <w:r w:rsidRPr="002363D7">
        <w:rPr>
          <w:rFonts w:eastAsia="仿宋_GB2312"/>
          <w:sz w:val="32"/>
          <w:szCs w:val="32"/>
        </w:rPr>
        <w:t xml:space="preserve">    </w:t>
      </w:r>
      <w:r w:rsidRPr="002363D7">
        <w:rPr>
          <w:rFonts w:eastAsia="仿宋_GB2312"/>
          <w:sz w:val="32"/>
          <w:szCs w:val="32"/>
        </w:rPr>
        <w:t>阴性参考品应包含易发生交叉反应的其他良恶性疾病粪便样本及干扰物质、待测靶标序列相似的</w:t>
      </w:r>
      <w:r w:rsidRPr="002363D7">
        <w:rPr>
          <w:rFonts w:eastAsia="仿宋_GB2312"/>
          <w:sz w:val="32"/>
          <w:szCs w:val="32"/>
        </w:rPr>
        <w:t>microRNA</w:t>
      </w:r>
      <w:r w:rsidRPr="002363D7">
        <w:rPr>
          <w:rFonts w:eastAsia="仿宋_GB2312"/>
          <w:sz w:val="32"/>
          <w:szCs w:val="32"/>
        </w:rPr>
        <w:t>。</w:t>
      </w:r>
    </w:p>
    <w:p w:rsidR="00A87B69" w:rsidRPr="002363D7" w:rsidRDefault="00A87B69" w:rsidP="00A87B69">
      <w:pPr>
        <w:spacing w:line="560" w:lineRule="exact"/>
        <w:ind w:firstLine="570"/>
        <w:rPr>
          <w:rFonts w:eastAsia="仿宋_GB2312"/>
          <w:sz w:val="32"/>
          <w:szCs w:val="32"/>
        </w:rPr>
      </w:pPr>
      <w:r w:rsidRPr="002363D7">
        <w:rPr>
          <w:rFonts w:eastAsia="仿宋_GB2312"/>
          <w:sz w:val="32"/>
          <w:szCs w:val="32"/>
        </w:rPr>
        <w:t>检出限参考品应包含所有靶基因检出限水平或略高于检出限的水平。</w:t>
      </w:r>
    </w:p>
    <w:p w:rsidR="00A87B69" w:rsidRPr="002363D7" w:rsidRDefault="00A87B69" w:rsidP="00A87B69">
      <w:pPr>
        <w:spacing w:line="560" w:lineRule="exact"/>
        <w:ind w:firstLine="570"/>
        <w:rPr>
          <w:rFonts w:eastAsia="仿宋_GB2312"/>
          <w:sz w:val="32"/>
          <w:szCs w:val="32"/>
        </w:rPr>
      </w:pPr>
      <w:r w:rsidRPr="002363D7">
        <w:rPr>
          <w:rFonts w:eastAsia="仿宋_GB2312"/>
          <w:sz w:val="32"/>
          <w:szCs w:val="32"/>
        </w:rPr>
        <w:t>精密度参考品应选择代表性靶基因，并包括高、低两个浓度的样本，低浓度应为阳性判断值对应的靶基因浓度。</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2.</w:t>
      </w:r>
      <w:r w:rsidRPr="002363D7">
        <w:rPr>
          <w:rFonts w:eastAsia="仿宋_GB2312"/>
          <w:sz w:val="32"/>
          <w:szCs w:val="32"/>
        </w:rPr>
        <w:t>生产工艺研究资料</w:t>
      </w:r>
    </w:p>
    <w:p w:rsidR="00A87B69" w:rsidRPr="002363D7" w:rsidRDefault="00A87B69" w:rsidP="00A87B69">
      <w:pPr>
        <w:snapToGrid w:val="0"/>
        <w:spacing w:line="560" w:lineRule="exact"/>
        <w:ind w:firstLineChars="200" w:firstLine="640"/>
        <w:rPr>
          <w:rFonts w:eastAsia="仿宋_GB2312"/>
          <w:sz w:val="32"/>
          <w:szCs w:val="32"/>
        </w:rPr>
      </w:pPr>
      <w:r w:rsidRPr="002363D7">
        <w:rPr>
          <w:rFonts w:eastAsia="仿宋_GB2312"/>
          <w:sz w:val="32"/>
          <w:szCs w:val="32"/>
        </w:rPr>
        <w:t>介绍产品主要生产工艺，可用流程图结合文字的方式表述。提交主要生产工艺的确定及优化研究资料。</w:t>
      </w:r>
    </w:p>
    <w:p w:rsidR="00A87B69" w:rsidRPr="002363D7" w:rsidRDefault="00A87B69" w:rsidP="00A87B69">
      <w:pPr>
        <w:snapToGrid w:val="0"/>
        <w:spacing w:line="520" w:lineRule="exact"/>
        <w:rPr>
          <w:rFonts w:eastAsia="仿宋_GB2312"/>
          <w:sz w:val="32"/>
          <w:szCs w:val="32"/>
        </w:rPr>
      </w:pPr>
    </w:p>
    <w:p w:rsidR="00230AE5" w:rsidRPr="002363D7" w:rsidRDefault="00230AE5"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p>
    <w:p w:rsidR="00A87B69" w:rsidRPr="002363D7" w:rsidRDefault="00A87B69" w:rsidP="004871DF">
      <w:pPr>
        <w:overflowPunct w:val="0"/>
        <w:spacing w:line="500" w:lineRule="exact"/>
        <w:rPr>
          <w:rFonts w:eastAsia="仿宋_GB2312"/>
          <w:color w:val="000000"/>
          <w:sz w:val="32"/>
          <w:szCs w:val="32"/>
        </w:rPr>
      </w:pPr>
      <w:bookmarkStart w:id="0" w:name="_GoBack"/>
      <w:bookmarkEnd w:id="0"/>
    </w:p>
    <w:sectPr w:rsidR="00A87B69" w:rsidRPr="002363D7" w:rsidSect="0060713A">
      <w:headerReference w:type="even" r:id="rId9"/>
      <w:headerReference w:type="default" r:id="rId10"/>
      <w:footerReference w:type="even" r:id="rId11"/>
      <w:footerReference w:type="default" r:id="rId12"/>
      <w:pgSz w:w="11906" w:h="16838"/>
      <w:pgMar w:top="1701" w:right="1588" w:bottom="1701" w:left="1588" w:header="851" w:footer="1191" w:gutter="0"/>
      <w:pgNumType w:start="1" w:chapStyle="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2E" w:rsidRDefault="0079132E" w:rsidP="003079E8">
      <w:r>
        <w:separator/>
      </w:r>
    </w:p>
  </w:endnote>
  <w:endnote w:type="continuationSeparator" w:id="0">
    <w:p w:rsidR="0079132E" w:rsidRDefault="0079132E" w:rsidP="003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dobe 仿宋 Std R">
    <w:altName w:val="仿宋"/>
    <w:charset w:val="86"/>
    <w:family w:val="roman"/>
    <w:pitch w:val="default"/>
    <w:sig w:usb0="00000001"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8F" w:rsidRPr="00B61E5F" w:rsidRDefault="0045521A" w:rsidP="00B61E5F">
    <w:pPr>
      <w:pStyle w:val="a5"/>
      <w:numPr>
        <w:ilvl w:val="0"/>
        <w:numId w:val="16"/>
      </w:numPr>
      <w:rPr>
        <w:rFonts w:ascii="Times New Roman" w:hAnsi="Times New Roman" w:cs="Times New Roman"/>
        <w:sz w:val="28"/>
        <w:szCs w:val="28"/>
      </w:rPr>
    </w:pPr>
    <w:sdt>
      <w:sdtPr>
        <w:id w:val="237143137"/>
        <w:docPartObj>
          <w:docPartGallery w:val="Page Numbers (Bottom of Page)"/>
          <w:docPartUnique/>
        </w:docPartObj>
      </w:sdtPr>
      <w:sdtEndPr>
        <w:rPr>
          <w:rFonts w:ascii="Times New Roman" w:hAnsi="Times New Roman" w:cs="Times New Roman"/>
          <w:sz w:val="28"/>
          <w:szCs w:val="28"/>
        </w:rPr>
      </w:sdtEndPr>
      <w:sdtContent>
        <w:r w:rsidR="001A4F78" w:rsidRPr="001A4F78">
          <w:rPr>
            <w:rFonts w:ascii="Times New Roman" w:hAnsi="Times New Roman" w:cs="Times New Roman"/>
            <w:sz w:val="28"/>
            <w:szCs w:val="28"/>
          </w:rPr>
          <w:fldChar w:fldCharType="begin"/>
        </w:r>
        <w:r w:rsidR="001A4F78" w:rsidRPr="001A4F78">
          <w:rPr>
            <w:rFonts w:ascii="Times New Roman" w:hAnsi="Times New Roman" w:cs="Times New Roman"/>
            <w:sz w:val="28"/>
            <w:szCs w:val="28"/>
          </w:rPr>
          <w:instrText>PAGE   \* MERGEFORMAT</w:instrText>
        </w:r>
        <w:r w:rsidR="001A4F78" w:rsidRPr="001A4F78">
          <w:rPr>
            <w:rFonts w:ascii="Times New Roman" w:hAnsi="Times New Roman" w:cs="Times New Roman"/>
            <w:sz w:val="28"/>
            <w:szCs w:val="28"/>
          </w:rPr>
          <w:fldChar w:fldCharType="separate"/>
        </w:r>
        <w:r w:rsidR="004B3FDD" w:rsidRPr="004B3FDD">
          <w:rPr>
            <w:rFonts w:ascii="Times New Roman" w:hAnsi="Times New Roman" w:cs="Times New Roman"/>
            <w:noProof/>
            <w:sz w:val="28"/>
            <w:szCs w:val="28"/>
            <w:lang w:val="zh-CN"/>
          </w:rPr>
          <w:t>12</w:t>
        </w:r>
        <w:r w:rsidR="001A4F78" w:rsidRPr="001A4F78">
          <w:rPr>
            <w:rFonts w:ascii="Times New Roman" w:hAnsi="Times New Roman" w:cs="Times New Roman"/>
            <w:sz w:val="28"/>
            <w:szCs w:val="28"/>
          </w:rPr>
          <w:fldChar w:fldCharType="end"/>
        </w:r>
        <w:r w:rsidR="001A4F78" w:rsidRPr="001A4F78">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4091"/>
      <w:docPartObj>
        <w:docPartGallery w:val="Page Numbers (Bottom of Page)"/>
        <w:docPartUnique/>
      </w:docPartObj>
    </w:sdtPr>
    <w:sdtEndPr>
      <w:rPr>
        <w:rFonts w:ascii="Times New Roman" w:hAnsi="Times New Roman" w:cs="Times New Roman"/>
        <w:sz w:val="28"/>
        <w:szCs w:val="28"/>
      </w:rPr>
    </w:sdtEndPr>
    <w:sdtContent>
      <w:p w:rsidR="0078788F" w:rsidRPr="00B61E5F" w:rsidRDefault="001A4F78" w:rsidP="00B61E5F">
        <w:pPr>
          <w:pStyle w:val="a5"/>
          <w:numPr>
            <w:ilvl w:val="0"/>
            <w:numId w:val="19"/>
          </w:numPr>
          <w:jc w:val="right"/>
          <w:rPr>
            <w:rFonts w:ascii="Times New Roman" w:hAnsi="Times New Roman" w:cs="Times New Roman"/>
            <w:sz w:val="28"/>
            <w:szCs w:val="28"/>
          </w:rPr>
        </w:pPr>
        <w:r w:rsidRPr="001A4F78">
          <w:rPr>
            <w:rFonts w:ascii="Times New Roman" w:hAnsi="Times New Roman" w:cs="Times New Roman"/>
            <w:sz w:val="28"/>
            <w:szCs w:val="28"/>
          </w:rPr>
          <w:fldChar w:fldCharType="begin"/>
        </w:r>
        <w:r w:rsidRPr="001A4F78">
          <w:rPr>
            <w:rFonts w:ascii="Times New Roman" w:hAnsi="Times New Roman" w:cs="Times New Roman"/>
            <w:sz w:val="28"/>
            <w:szCs w:val="28"/>
          </w:rPr>
          <w:instrText>PAGE   \* MERGEFORMAT</w:instrText>
        </w:r>
        <w:r w:rsidRPr="001A4F78">
          <w:rPr>
            <w:rFonts w:ascii="Times New Roman" w:hAnsi="Times New Roman" w:cs="Times New Roman"/>
            <w:sz w:val="28"/>
            <w:szCs w:val="28"/>
          </w:rPr>
          <w:fldChar w:fldCharType="separate"/>
        </w:r>
        <w:r w:rsidR="004B3FDD" w:rsidRPr="004B3FDD">
          <w:rPr>
            <w:rFonts w:ascii="Times New Roman" w:hAnsi="Times New Roman" w:cs="Times New Roman"/>
            <w:noProof/>
            <w:sz w:val="28"/>
            <w:szCs w:val="28"/>
            <w:lang w:val="zh-CN"/>
          </w:rPr>
          <w:t>11</w:t>
        </w:r>
        <w:r w:rsidRPr="001A4F78">
          <w:rPr>
            <w:rFonts w:ascii="Times New Roman" w:hAnsi="Times New Roman" w:cs="Times New Roman"/>
            <w:sz w:val="28"/>
            <w:szCs w:val="28"/>
          </w:rPr>
          <w:fldChar w:fldCharType="end"/>
        </w:r>
        <w:r w:rsidRPr="001A4F78">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2E" w:rsidRDefault="0079132E" w:rsidP="003079E8">
      <w:r>
        <w:separator/>
      </w:r>
    </w:p>
  </w:footnote>
  <w:footnote w:type="continuationSeparator" w:id="0">
    <w:p w:rsidR="0079132E" w:rsidRDefault="0079132E" w:rsidP="0030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Default="00B52670" w:rsidP="00134ED0">
    <w:pPr>
      <w:pStyle w:val="a3"/>
      <w:pBdr>
        <w:bottom w:val="none" w:sz="0" w:space="0" w:color="auto"/>
      </w:pBdr>
    </w:pPr>
  </w:p>
  <w:p w:rsidR="0078788F" w:rsidRDefault="00787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Pr="00D96564" w:rsidRDefault="00B52670" w:rsidP="00134ED0">
    <w:pPr>
      <w:pStyle w:val="a3"/>
      <w:pBdr>
        <w:bottom w:val="none" w:sz="0" w:space="0" w:color="auto"/>
      </w:pBdr>
      <w:rPr>
        <w:rFonts w:ascii="Times New Roman" w:hAnsi="Times New Roman" w:cs="Times New Roman"/>
        <w:sz w:val="28"/>
        <w:szCs w:val="28"/>
      </w:rPr>
    </w:pPr>
  </w:p>
  <w:p w:rsidR="0078788F" w:rsidRDefault="00787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BEA"/>
    <w:multiLevelType w:val="hybridMultilevel"/>
    <w:tmpl w:val="29C6E3D6"/>
    <w:lvl w:ilvl="0" w:tplc="02F4B4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901CF8"/>
    <w:multiLevelType w:val="multilevel"/>
    <w:tmpl w:val="14901CF8"/>
    <w:lvl w:ilvl="0">
      <w:start w:val="1"/>
      <w:numFmt w:val="decimal"/>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A00A7"/>
    <w:multiLevelType w:val="hybridMultilevel"/>
    <w:tmpl w:val="2B4EAB08"/>
    <w:lvl w:ilvl="0" w:tplc="EAF09A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4"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57E1BB0"/>
    <w:multiLevelType w:val="multilevel"/>
    <w:tmpl w:val="257E1B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AAC3D6E"/>
    <w:multiLevelType w:val="hybridMultilevel"/>
    <w:tmpl w:val="13F4DE32"/>
    <w:lvl w:ilvl="0" w:tplc="BE5A2AFA">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3E5064"/>
    <w:multiLevelType w:val="hybridMultilevel"/>
    <w:tmpl w:val="FE6E7C9E"/>
    <w:lvl w:ilvl="0" w:tplc="17FA2D84">
      <w:start w:val="8"/>
      <w:numFmt w:val="bullet"/>
      <w:lvlText w:val="—"/>
      <w:lvlJc w:val="left"/>
      <w:pPr>
        <w:ind w:left="360" w:hanging="360"/>
      </w:pPr>
      <w:rPr>
        <w:rFonts w:ascii="Times New Roman" w:eastAsia="等线"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CC1BE4"/>
    <w:multiLevelType w:val="multilevel"/>
    <w:tmpl w:val="35CC1B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6336573"/>
    <w:multiLevelType w:val="hybridMultilevel"/>
    <w:tmpl w:val="9E604E68"/>
    <w:lvl w:ilvl="0" w:tplc="FE84C412">
      <w:numFmt w:val="bullet"/>
      <w:lvlText w:val="—"/>
      <w:lvlJc w:val="left"/>
      <w:pPr>
        <w:ind w:left="360" w:hanging="360"/>
      </w:pPr>
      <w:rPr>
        <w:rFonts w:ascii="宋体" w:eastAsia="宋体" w:hAnsi="宋体" w:cs="Times New Roman" w:hint="eastAsia"/>
        <w:color w:val="FFFF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51240AD4"/>
    <w:multiLevelType w:val="hybridMultilevel"/>
    <w:tmpl w:val="8B3E3080"/>
    <w:lvl w:ilvl="0" w:tplc="1BA8612E">
      <w:start w:val="1"/>
      <w:numFmt w:val="decimal"/>
      <w:lvlText w:val="%1."/>
      <w:lvlJc w:val="left"/>
      <w:pPr>
        <w:ind w:left="1000" w:hanging="360"/>
      </w:pPr>
      <w:rPr>
        <w:rFonts w:ascii="Times New Roman" w:hAnsi="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30EF510"/>
    <w:multiLevelType w:val="singleLevel"/>
    <w:tmpl w:val="530EF510"/>
    <w:lvl w:ilvl="0">
      <w:start w:val="2"/>
      <w:numFmt w:val="decimal"/>
      <w:suff w:val="nothing"/>
      <w:lvlText w:val="%1."/>
      <w:lvlJc w:val="left"/>
    </w:lvl>
  </w:abstractNum>
  <w:abstractNum w:abstractNumId="13" w15:restartNumberingAfterBreak="0">
    <w:nsid w:val="531833DE"/>
    <w:multiLevelType w:val="singleLevel"/>
    <w:tmpl w:val="531833DE"/>
    <w:lvl w:ilvl="0">
      <w:start w:val="7"/>
      <w:numFmt w:val="decimal"/>
      <w:suff w:val="nothing"/>
      <w:lvlText w:val="%1."/>
      <w:lvlJc w:val="left"/>
    </w:lvl>
  </w:abstractNum>
  <w:abstractNum w:abstractNumId="14" w15:restartNumberingAfterBreak="0">
    <w:nsid w:val="5ADA3302"/>
    <w:multiLevelType w:val="hybridMultilevel"/>
    <w:tmpl w:val="2DF44F5E"/>
    <w:lvl w:ilvl="0" w:tplc="5F06C8C6">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02207D"/>
    <w:multiLevelType w:val="singleLevel"/>
    <w:tmpl w:val="61524726"/>
    <w:lvl w:ilvl="0">
      <w:start w:val="2"/>
      <w:numFmt w:val="chineseCounting"/>
      <w:suff w:val="nothing"/>
      <w:lvlText w:val="%1、"/>
      <w:lvlJc w:val="left"/>
      <w:rPr>
        <w:rFonts w:hint="eastAsia"/>
      </w:rPr>
    </w:lvl>
  </w:abstractNum>
  <w:abstractNum w:abstractNumId="16" w15:restartNumberingAfterBreak="0">
    <w:nsid w:val="61524726"/>
    <w:multiLevelType w:val="singleLevel"/>
    <w:tmpl w:val="61524726"/>
    <w:lvl w:ilvl="0">
      <w:start w:val="2"/>
      <w:numFmt w:val="chineseCounting"/>
      <w:suff w:val="nothing"/>
      <w:lvlText w:val="%1、"/>
      <w:lvlJc w:val="left"/>
      <w:rPr>
        <w:rFonts w:hint="eastAsia"/>
      </w:rPr>
    </w:lvl>
  </w:abstractNum>
  <w:abstractNum w:abstractNumId="17"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15:restartNumberingAfterBreak="0">
    <w:nsid w:val="7F662D84"/>
    <w:multiLevelType w:val="singleLevel"/>
    <w:tmpl w:val="7F662D84"/>
    <w:lvl w:ilvl="0">
      <w:start w:val="10"/>
      <w:numFmt w:val="decimal"/>
      <w:lvlText w:val="%1."/>
      <w:lvlJc w:val="left"/>
      <w:pPr>
        <w:tabs>
          <w:tab w:val="left" w:pos="312"/>
        </w:tabs>
      </w:pPr>
    </w:lvl>
  </w:abstractNum>
  <w:abstractNum w:abstractNumId="19"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9"/>
  </w:num>
  <w:num w:numId="2">
    <w:abstractNumId w:val="17"/>
  </w:num>
  <w:num w:numId="3">
    <w:abstractNumId w:val="3"/>
  </w:num>
  <w:num w:numId="4">
    <w:abstractNumId w:val="18"/>
  </w:num>
  <w:num w:numId="5">
    <w:abstractNumId w:val="13"/>
  </w:num>
  <w:num w:numId="6">
    <w:abstractNumId w:val="12"/>
  </w:num>
  <w:num w:numId="7">
    <w:abstractNumId w:val="5"/>
  </w:num>
  <w:num w:numId="8">
    <w:abstractNumId w:val="14"/>
  </w:num>
  <w:num w:numId="9">
    <w:abstractNumId w:val="6"/>
  </w:num>
  <w:num w:numId="10">
    <w:abstractNumId w:val="8"/>
  </w:num>
  <w:num w:numId="11">
    <w:abstractNumId w:val="4"/>
  </w:num>
  <w:num w:numId="12">
    <w:abstractNumId w:val="0"/>
  </w:num>
  <w:num w:numId="13">
    <w:abstractNumId w:val="11"/>
  </w:num>
  <w:num w:numId="14">
    <w:abstractNumId w:val="9"/>
  </w:num>
  <w:num w:numId="15">
    <w:abstractNumId w:val="10"/>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23"/>
    <w:rsid w:val="00002AAD"/>
    <w:rsid w:val="000146D7"/>
    <w:rsid w:val="000329DA"/>
    <w:rsid w:val="000A63C1"/>
    <w:rsid w:val="000D32E0"/>
    <w:rsid w:val="000D4E34"/>
    <w:rsid w:val="00106A9D"/>
    <w:rsid w:val="00114E64"/>
    <w:rsid w:val="00122FBD"/>
    <w:rsid w:val="00134ED0"/>
    <w:rsid w:val="00137012"/>
    <w:rsid w:val="00141273"/>
    <w:rsid w:val="00150E66"/>
    <w:rsid w:val="00151932"/>
    <w:rsid w:val="00184973"/>
    <w:rsid w:val="00191F7A"/>
    <w:rsid w:val="001A4F78"/>
    <w:rsid w:val="001A70F6"/>
    <w:rsid w:val="001B78C4"/>
    <w:rsid w:val="001C4F2E"/>
    <w:rsid w:val="001D11D9"/>
    <w:rsid w:val="001D1A12"/>
    <w:rsid w:val="001F0DF0"/>
    <w:rsid w:val="001F1046"/>
    <w:rsid w:val="00201F93"/>
    <w:rsid w:val="002062EA"/>
    <w:rsid w:val="00217E23"/>
    <w:rsid w:val="00217F03"/>
    <w:rsid w:val="00222BB7"/>
    <w:rsid w:val="00230AE5"/>
    <w:rsid w:val="002363D7"/>
    <w:rsid w:val="00244D02"/>
    <w:rsid w:val="00252B40"/>
    <w:rsid w:val="002548F3"/>
    <w:rsid w:val="00294F3C"/>
    <w:rsid w:val="00295409"/>
    <w:rsid w:val="00295F3E"/>
    <w:rsid w:val="002B2CA7"/>
    <w:rsid w:val="002D5575"/>
    <w:rsid w:val="002F062A"/>
    <w:rsid w:val="002F557C"/>
    <w:rsid w:val="003079E8"/>
    <w:rsid w:val="003100D4"/>
    <w:rsid w:val="003438E9"/>
    <w:rsid w:val="0035732D"/>
    <w:rsid w:val="0036717C"/>
    <w:rsid w:val="003832CA"/>
    <w:rsid w:val="00386FA0"/>
    <w:rsid w:val="00390CE2"/>
    <w:rsid w:val="00393EFB"/>
    <w:rsid w:val="003953C8"/>
    <w:rsid w:val="003B7510"/>
    <w:rsid w:val="003F0E18"/>
    <w:rsid w:val="004067A3"/>
    <w:rsid w:val="00412EF1"/>
    <w:rsid w:val="004150EE"/>
    <w:rsid w:val="0041585F"/>
    <w:rsid w:val="00417976"/>
    <w:rsid w:val="0042131A"/>
    <w:rsid w:val="004214A4"/>
    <w:rsid w:val="004246F2"/>
    <w:rsid w:val="00436D1B"/>
    <w:rsid w:val="004627AE"/>
    <w:rsid w:val="00480C25"/>
    <w:rsid w:val="00482972"/>
    <w:rsid w:val="00483ECD"/>
    <w:rsid w:val="004871DF"/>
    <w:rsid w:val="00494D22"/>
    <w:rsid w:val="004A31E1"/>
    <w:rsid w:val="004A429D"/>
    <w:rsid w:val="004B1017"/>
    <w:rsid w:val="004B3FDD"/>
    <w:rsid w:val="004C22C9"/>
    <w:rsid w:val="004F2884"/>
    <w:rsid w:val="004F486F"/>
    <w:rsid w:val="005040E6"/>
    <w:rsid w:val="00510DB3"/>
    <w:rsid w:val="00580051"/>
    <w:rsid w:val="005C6177"/>
    <w:rsid w:val="005D5360"/>
    <w:rsid w:val="005D5874"/>
    <w:rsid w:val="005D71E7"/>
    <w:rsid w:val="0060513F"/>
    <w:rsid w:val="0060713A"/>
    <w:rsid w:val="00615B40"/>
    <w:rsid w:val="0061625D"/>
    <w:rsid w:val="00616661"/>
    <w:rsid w:val="00617194"/>
    <w:rsid w:val="0063084F"/>
    <w:rsid w:val="00631AA9"/>
    <w:rsid w:val="00635BFE"/>
    <w:rsid w:val="006376F5"/>
    <w:rsid w:val="00637BD2"/>
    <w:rsid w:val="00640B84"/>
    <w:rsid w:val="00641D70"/>
    <w:rsid w:val="006515C5"/>
    <w:rsid w:val="00651DCB"/>
    <w:rsid w:val="00664817"/>
    <w:rsid w:val="0066775D"/>
    <w:rsid w:val="00690E61"/>
    <w:rsid w:val="006C0F4B"/>
    <w:rsid w:val="006E697B"/>
    <w:rsid w:val="00710650"/>
    <w:rsid w:val="007459D2"/>
    <w:rsid w:val="00745B62"/>
    <w:rsid w:val="00773903"/>
    <w:rsid w:val="0078788F"/>
    <w:rsid w:val="0079132E"/>
    <w:rsid w:val="0079267F"/>
    <w:rsid w:val="00793B82"/>
    <w:rsid w:val="007A5573"/>
    <w:rsid w:val="007A7B0C"/>
    <w:rsid w:val="007B226A"/>
    <w:rsid w:val="00807022"/>
    <w:rsid w:val="00814D41"/>
    <w:rsid w:val="00821123"/>
    <w:rsid w:val="00822C26"/>
    <w:rsid w:val="00822C68"/>
    <w:rsid w:val="00827ED2"/>
    <w:rsid w:val="00831214"/>
    <w:rsid w:val="00844620"/>
    <w:rsid w:val="00857E8D"/>
    <w:rsid w:val="00860D78"/>
    <w:rsid w:val="00866BF0"/>
    <w:rsid w:val="00875AE8"/>
    <w:rsid w:val="00894CA1"/>
    <w:rsid w:val="008A50D5"/>
    <w:rsid w:val="008A7314"/>
    <w:rsid w:val="008C7889"/>
    <w:rsid w:val="008D589E"/>
    <w:rsid w:val="008E64B6"/>
    <w:rsid w:val="00962F71"/>
    <w:rsid w:val="0099578F"/>
    <w:rsid w:val="009C0679"/>
    <w:rsid w:val="009C7F29"/>
    <w:rsid w:val="009D2C2D"/>
    <w:rsid w:val="009D751B"/>
    <w:rsid w:val="009E0C86"/>
    <w:rsid w:val="009F46C1"/>
    <w:rsid w:val="00A16C43"/>
    <w:rsid w:val="00A21DA8"/>
    <w:rsid w:val="00A346B7"/>
    <w:rsid w:val="00A650B1"/>
    <w:rsid w:val="00A81F0C"/>
    <w:rsid w:val="00A87B69"/>
    <w:rsid w:val="00AA7E86"/>
    <w:rsid w:val="00AF37DC"/>
    <w:rsid w:val="00B2671F"/>
    <w:rsid w:val="00B2724F"/>
    <w:rsid w:val="00B27B9C"/>
    <w:rsid w:val="00B35B77"/>
    <w:rsid w:val="00B52670"/>
    <w:rsid w:val="00B539BD"/>
    <w:rsid w:val="00B61E5F"/>
    <w:rsid w:val="00B7255B"/>
    <w:rsid w:val="00BB0A1D"/>
    <w:rsid w:val="00BB26D7"/>
    <w:rsid w:val="00BD3433"/>
    <w:rsid w:val="00BD5BB8"/>
    <w:rsid w:val="00BE6AAA"/>
    <w:rsid w:val="00BF33A6"/>
    <w:rsid w:val="00C01F62"/>
    <w:rsid w:val="00C10FD2"/>
    <w:rsid w:val="00C25443"/>
    <w:rsid w:val="00C421D8"/>
    <w:rsid w:val="00C77C14"/>
    <w:rsid w:val="00CA15D0"/>
    <w:rsid w:val="00CB40F3"/>
    <w:rsid w:val="00CC15CF"/>
    <w:rsid w:val="00CC7810"/>
    <w:rsid w:val="00CD7359"/>
    <w:rsid w:val="00CE7716"/>
    <w:rsid w:val="00CF3E07"/>
    <w:rsid w:val="00D0654B"/>
    <w:rsid w:val="00D2114A"/>
    <w:rsid w:val="00D22218"/>
    <w:rsid w:val="00D31360"/>
    <w:rsid w:val="00D364F7"/>
    <w:rsid w:val="00D57B53"/>
    <w:rsid w:val="00D9244F"/>
    <w:rsid w:val="00D941BF"/>
    <w:rsid w:val="00D96564"/>
    <w:rsid w:val="00DA3197"/>
    <w:rsid w:val="00DB285C"/>
    <w:rsid w:val="00DB63E0"/>
    <w:rsid w:val="00DC2A13"/>
    <w:rsid w:val="00DE4529"/>
    <w:rsid w:val="00DE4F4E"/>
    <w:rsid w:val="00DF1104"/>
    <w:rsid w:val="00DF487B"/>
    <w:rsid w:val="00DF6A15"/>
    <w:rsid w:val="00E1589F"/>
    <w:rsid w:val="00E2148D"/>
    <w:rsid w:val="00E42413"/>
    <w:rsid w:val="00E84CB3"/>
    <w:rsid w:val="00E917E5"/>
    <w:rsid w:val="00EC5105"/>
    <w:rsid w:val="00F017EC"/>
    <w:rsid w:val="00F1084F"/>
    <w:rsid w:val="00F30FB1"/>
    <w:rsid w:val="00F31C51"/>
    <w:rsid w:val="00F32980"/>
    <w:rsid w:val="00F44E8C"/>
    <w:rsid w:val="00F82827"/>
    <w:rsid w:val="00F83687"/>
    <w:rsid w:val="00F83D79"/>
    <w:rsid w:val="00F91F4F"/>
    <w:rsid w:val="00FA53B8"/>
    <w:rsid w:val="00FA576D"/>
    <w:rsid w:val="00FB0765"/>
    <w:rsid w:val="00FE498C"/>
    <w:rsid w:val="00FE4E41"/>
    <w:rsid w:val="00FE78CD"/>
    <w:rsid w:val="00FF31AA"/>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E99FC34-19A3-4001-AFFF-AB8E6C5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E8"/>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2F557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2F557C"/>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qFormat/>
    <w:rsid w:val="00D2114A"/>
    <w:pPr>
      <w:keepNext/>
      <w:keepLines/>
      <w:spacing w:before="260" w:after="260" w:line="416" w:lineRule="auto"/>
      <w:outlineLvl w:val="2"/>
    </w:pPr>
    <w:rPr>
      <w:b/>
      <w:bCs/>
      <w:sz w:val="32"/>
      <w:szCs w:val="32"/>
    </w:rPr>
  </w:style>
  <w:style w:type="paragraph" w:styleId="4">
    <w:name w:val="heading 4"/>
    <w:basedOn w:val="a"/>
    <w:next w:val="a"/>
    <w:link w:val="40"/>
    <w:qFormat/>
    <w:rsid w:val="00D2114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rsid w:val="00D2114A"/>
    <w:pPr>
      <w:keepNext/>
      <w:keepLines/>
      <w:spacing w:before="280" w:after="290" w:line="376" w:lineRule="auto"/>
      <w:outlineLvl w:val="4"/>
    </w:pPr>
    <w:rPr>
      <w:b/>
      <w:bCs/>
      <w:sz w:val="28"/>
      <w:szCs w:val="28"/>
    </w:rPr>
  </w:style>
  <w:style w:type="paragraph" w:styleId="6">
    <w:name w:val="heading 6"/>
    <w:basedOn w:val="a"/>
    <w:next w:val="a"/>
    <w:link w:val="60"/>
    <w:qFormat/>
    <w:rsid w:val="00D2114A"/>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rsid w:val="00D2114A"/>
    <w:pPr>
      <w:keepNext/>
      <w:keepLines/>
      <w:spacing w:before="240" w:after="64" w:line="320" w:lineRule="auto"/>
      <w:outlineLvl w:val="6"/>
    </w:pPr>
    <w:rPr>
      <w:b/>
      <w:bCs/>
      <w:sz w:val="24"/>
    </w:rPr>
  </w:style>
  <w:style w:type="paragraph" w:styleId="8">
    <w:name w:val="heading 8"/>
    <w:basedOn w:val="a"/>
    <w:next w:val="a"/>
    <w:link w:val="80"/>
    <w:qFormat/>
    <w:rsid w:val="00D2114A"/>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rsid w:val="00D2114A"/>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557C"/>
    <w:rPr>
      <w:b/>
      <w:bCs/>
      <w:kern w:val="44"/>
      <w:sz w:val="44"/>
      <w:szCs w:val="44"/>
    </w:rPr>
  </w:style>
  <w:style w:type="character" w:customStyle="1" w:styleId="20">
    <w:name w:val="标题 2 字符"/>
    <w:basedOn w:val="a0"/>
    <w:link w:val="2"/>
    <w:qFormat/>
    <w:rsid w:val="002F557C"/>
    <w:rPr>
      <w:rFonts w:asciiTheme="majorHAnsi" w:eastAsia="黑体" w:hAnsiTheme="majorHAnsi" w:cstheme="majorBidi"/>
      <w:bCs/>
      <w:sz w:val="32"/>
      <w:szCs w:val="32"/>
    </w:rPr>
  </w:style>
  <w:style w:type="character" w:customStyle="1" w:styleId="30">
    <w:name w:val="标题 3 字符"/>
    <w:basedOn w:val="a0"/>
    <w:link w:val="3"/>
    <w:qFormat/>
    <w:rsid w:val="00D2114A"/>
    <w:rPr>
      <w:rFonts w:ascii="Times New Roman" w:eastAsia="宋体" w:hAnsi="Times New Roman" w:cs="Times New Roman"/>
      <w:b/>
      <w:bCs/>
      <w:sz w:val="32"/>
      <w:szCs w:val="32"/>
    </w:rPr>
  </w:style>
  <w:style w:type="character" w:customStyle="1" w:styleId="40">
    <w:name w:val="标题 4 字符"/>
    <w:basedOn w:val="a0"/>
    <w:link w:val="4"/>
    <w:rsid w:val="00D2114A"/>
    <w:rPr>
      <w:rFonts w:ascii="Calibri Light" w:eastAsia="宋体" w:hAnsi="Calibri Light" w:cs="Times New Roman"/>
      <w:b/>
      <w:bCs/>
      <w:sz w:val="28"/>
      <w:szCs w:val="28"/>
    </w:rPr>
  </w:style>
  <w:style w:type="character" w:customStyle="1" w:styleId="50">
    <w:name w:val="标题 5 字符"/>
    <w:basedOn w:val="a0"/>
    <w:link w:val="5"/>
    <w:rsid w:val="00D2114A"/>
    <w:rPr>
      <w:rFonts w:ascii="Times New Roman" w:eastAsia="宋体" w:hAnsi="Times New Roman" w:cs="Times New Roman"/>
      <w:b/>
      <w:bCs/>
      <w:sz w:val="28"/>
      <w:szCs w:val="28"/>
    </w:rPr>
  </w:style>
  <w:style w:type="character" w:customStyle="1" w:styleId="60">
    <w:name w:val="标题 6 字符"/>
    <w:basedOn w:val="a0"/>
    <w:link w:val="6"/>
    <w:qFormat/>
    <w:rsid w:val="00D2114A"/>
    <w:rPr>
      <w:rFonts w:ascii="Calibri Light" w:eastAsia="宋体" w:hAnsi="Calibri Light" w:cs="Times New Roman"/>
      <w:b/>
      <w:bCs/>
      <w:sz w:val="24"/>
      <w:szCs w:val="24"/>
    </w:rPr>
  </w:style>
  <w:style w:type="character" w:customStyle="1" w:styleId="70">
    <w:name w:val="标题 7 字符"/>
    <w:basedOn w:val="a0"/>
    <w:link w:val="7"/>
    <w:qFormat/>
    <w:rsid w:val="00D2114A"/>
    <w:rPr>
      <w:rFonts w:ascii="Times New Roman" w:eastAsia="宋体" w:hAnsi="Times New Roman" w:cs="Times New Roman"/>
      <w:b/>
      <w:bCs/>
      <w:sz w:val="24"/>
      <w:szCs w:val="24"/>
    </w:rPr>
  </w:style>
  <w:style w:type="character" w:customStyle="1" w:styleId="80">
    <w:name w:val="标题 8 字符"/>
    <w:basedOn w:val="a0"/>
    <w:link w:val="8"/>
    <w:qFormat/>
    <w:rsid w:val="00D2114A"/>
    <w:rPr>
      <w:rFonts w:ascii="Calibri Light" w:eastAsia="宋体" w:hAnsi="Calibri Light" w:cs="Times New Roman"/>
      <w:sz w:val="24"/>
      <w:szCs w:val="24"/>
    </w:rPr>
  </w:style>
  <w:style w:type="character" w:customStyle="1" w:styleId="90">
    <w:name w:val="标题 9 字符"/>
    <w:basedOn w:val="a0"/>
    <w:link w:val="9"/>
    <w:rsid w:val="00D2114A"/>
    <w:rPr>
      <w:rFonts w:ascii="等线 Light" w:eastAsia="等线 Light" w:hAnsi="等线 Light" w:cs="Times New Roman"/>
      <w:szCs w:val="21"/>
    </w:rPr>
  </w:style>
  <w:style w:type="paragraph" w:styleId="a3">
    <w:name w:val="header"/>
    <w:basedOn w:val="a"/>
    <w:link w:val="a4"/>
    <w:uiPriority w:val="99"/>
    <w:unhideWhenUsed/>
    <w:qFormat/>
    <w:rsid w:val="00307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79E8"/>
    <w:rPr>
      <w:sz w:val="18"/>
      <w:szCs w:val="18"/>
    </w:rPr>
  </w:style>
  <w:style w:type="paragraph" w:styleId="a5">
    <w:name w:val="footer"/>
    <w:basedOn w:val="a"/>
    <w:link w:val="a6"/>
    <w:uiPriority w:val="99"/>
    <w:unhideWhenUsed/>
    <w:qFormat/>
    <w:rsid w:val="00307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079E8"/>
    <w:rPr>
      <w:sz w:val="18"/>
      <w:szCs w:val="18"/>
    </w:rPr>
  </w:style>
  <w:style w:type="paragraph" w:styleId="a7">
    <w:name w:val="Normal (Web)"/>
    <w:basedOn w:val="a"/>
    <w:uiPriority w:val="99"/>
    <w:unhideWhenUsed/>
    <w:qFormat/>
    <w:rsid w:val="0079267F"/>
    <w:pPr>
      <w:widowControl/>
      <w:spacing w:before="100" w:beforeAutospacing="1" w:after="100" w:afterAutospacing="1"/>
      <w:jc w:val="left"/>
    </w:pPr>
    <w:rPr>
      <w:rFonts w:ascii="宋体" w:hAnsi="宋体" w:cs="宋体"/>
      <w:kern w:val="0"/>
      <w:sz w:val="24"/>
    </w:rPr>
  </w:style>
  <w:style w:type="paragraph" w:styleId="a8">
    <w:name w:val="Plain Text"/>
    <w:basedOn w:val="a"/>
    <w:link w:val="a9"/>
    <w:uiPriority w:val="99"/>
    <w:unhideWhenUsed/>
    <w:qFormat/>
    <w:rsid w:val="002F557C"/>
    <w:rPr>
      <w:rFonts w:ascii="宋体" w:hAnsi="Courier New" w:cs="Courier New"/>
      <w:szCs w:val="21"/>
    </w:rPr>
  </w:style>
  <w:style w:type="character" w:customStyle="1" w:styleId="a9">
    <w:name w:val="纯文本 字符"/>
    <w:basedOn w:val="a0"/>
    <w:link w:val="a8"/>
    <w:uiPriority w:val="99"/>
    <w:qFormat/>
    <w:rsid w:val="002F557C"/>
    <w:rPr>
      <w:rFonts w:ascii="宋体" w:eastAsia="宋体" w:hAnsi="Courier New" w:cs="Courier New"/>
      <w:szCs w:val="21"/>
    </w:rPr>
  </w:style>
  <w:style w:type="character" w:customStyle="1" w:styleId="FontStyle47">
    <w:name w:val="Font Style47"/>
    <w:autoRedefine/>
    <w:qFormat/>
    <w:rsid w:val="002F557C"/>
    <w:rPr>
      <w:rFonts w:ascii="Times New Roman" w:hAnsi="Times New Roman" w:cs="Times New Roman"/>
      <w:sz w:val="22"/>
      <w:szCs w:val="22"/>
    </w:rPr>
  </w:style>
  <w:style w:type="paragraph" w:styleId="aa">
    <w:name w:val="List Paragraph"/>
    <w:basedOn w:val="a"/>
    <w:autoRedefine/>
    <w:uiPriority w:val="99"/>
    <w:qFormat/>
    <w:rsid w:val="002F557C"/>
    <w:pPr>
      <w:ind w:firstLineChars="200" w:firstLine="420"/>
    </w:pPr>
    <w:rPr>
      <w:rFonts w:asciiTheme="minorHAnsi" w:eastAsiaTheme="minorEastAsia" w:hAnsiTheme="minorHAnsi" w:cstheme="minorBidi"/>
      <w:szCs w:val="22"/>
    </w:rPr>
  </w:style>
  <w:style w:type="paragraph" w:styleId="ab">
    <w:name w:val="Balloon Text"/>
    <w:basedOn w:val="a"/>
    <w:link w:val="ac"/>
    <w:semiHidden/>
    <w:unhideWhenUsed/>
    <w:qFormat/>
    <w:rsid w:val="00A81F0C"/>
    <w:rPr>
      <w:sz w:val="18"/>
      <w:szCs w:val="18"/>
    </w:rPr>
  </w:style>
  <w:style w:type="character" w:customStyle="1" w:styleId="ac">
    <w:name w:val="批注框文本 字符"/>
    <w:basedOn w:val="a0"/>
    <w:link w:val="ab"/>
    <w:uiPriority w:val="99"/>
    <w:semiHidden/>
    <w:rsid w:val="00A81F0C"/>
    <w:rPr>
      <w:rFonts w:ascii="Times New Roman" w:eastAsia="宋体" w:hAnsi="Times New Roman" w:cs="Times New Roman"/>
      <w:sz w:val="18"/>
      <w:szCs w:val="18"/>
    </w:rPr>
  </w:style>
  <w:style w:type="paragraph" w:styleId="ad">
    <w:name w:val="No Spacing"/>
    <w:qFormat/>
    <w:rsid w:val="00FA576D"/>
    <w:pPr>
      <w:widowControl w:val="0"/>
      <w:jc w:val="both"/>
    </w:pPr>
    <w:rPr>
      <w:rFonts w:ascii="Times New Roman" w:eastAsia="宋体" w:hAnsi="Times New Roman" w:cs="Times New Roman"/>
      <w:szCs w:val="24"/>
    </w:rPr>
  </w:style>
  <w:style w:type="paragraph" w:customStyle="1" w:styleId="21">
    <w:name w:val="列出段落2"/>
    <w:basedOn w:val="a"/>
    <w:qFormat/>
    <w:rsid w:val="00FA576D"/>
    <w:pPr>
      <w:widowControl/>
      <w:ind w:firstLineChars="200" w:firstLine="420"/>
      <w:jc w:val="left"/>
    </w:pPr>
    <w:rPr>
      <w:rFonts w:ascii="宋体" w:hAnsi="宋体" w:cs="宋体"/>
      <w:kern w:val="0"/>
      <w:sz w:val="24"/>
    </w:rPr>
  </w:style>
  <w:style w:type="paragraph" w:styleId="ae">
    <w:name w:val="annotation text"/>
    <w:basedOn w:val="a"/>
    <w:link w:val="af"/>
    <w:uiPriority w:val="99"/>
    <w:unhideWhenUsed/>
    <w:qFormat/>
    <w:rsid w:val="00E84CB3"/>
    <w:pPr>
      <w:jc w:val="left"/>
    </w:pPr>
    <w:rPr>
      <w:rFonts w:ascii="宋体" w:hAnsi="宋体" w:cs="宋体"/>
      <w:sz w:val="24"/>
    </w:rPr>
  </w:style>
  <w:style w:type="character" w:customStyle="1" w:styleId="af">
    <w:name w:val="批注文字 字符"/>
    <w:basedOn w:val="a0"/>
    <w:link w:val="ae"/>
    <w:qFormat/>
    <w:rsid w:val="00E84CB3"/>
    <w:rPr>
      <w:rFonts w:ascii="宋体" w:eastAsia="宋体" w:hAnsi="宋体" w:cs="宋体"/>
      <w:sz w:val="24"/>
      <w:szCs w:val="24"/>
    </w:rPr>
  </w:style>
  <w:style w:type="paragraph" w:customStyle="1" w:styleId="11">
    <w:name w:val="列出段落1"/>
    <w:basedOn w:val="a"/>
    <w:qFormat/>
    <w:rsid w:val="00E84CB3"/>
    <w:pPr>
      <w:ind w:firstLineChars="200" w:firstLine="420"/>
    </w:pPr>
    <w:rPr>
      <w:rFonts w:ascii="Calibri" w:hAnsi="Calibri" w:cs="黑体"/>
      <w:szCs w:val="22"/>
    </w:rPr>
  </w:style>
  <w:style w:type="character" w:styleId="af0">
    <w:name w:val="page number"/>
    <w:qFormat/>
    <w:rsid w:val="00D2114A"/>
  </w:style>
  <w:style w:type="character" w:styleId="af1">
    <w:name w:val="line number"/>
    <w:qFormat/>
    <w:rsid w:val="00D2114A"/>
  </w:style>
  <w:style w:type="character" w:styleId="af2">
    <w:name w:val="annotation reference"/>
    <w:uiPriority w:val="99"/>
    <w:qFormat/>
    <w:rsid w:val="00D2114A"/>
    <w:rPr>
      <w:sz w:val="21"/>
      <w:szCs w:val="21"/>
    </w:rPr>
  </w:style>
  <w:style w:type="character" w:customStyle="1" w:styleId="af3">
    <w:name w:val="日期 字符"/>
    <w:link w:val="af4"/>
    <w:qFormat/>
    <w:rsid w:val="00D2114A"/>
    <w:rPr>
      <w:szCs w:val="24"/>
    </w:rPr>
  </w:style>
  <w:style w:type="paragraph" w:styleId="af4">
    <w:name w:val="Date"/>
    <w:basedOn w:val="a"/>
    <w:next w:val="a"/>
    <w:link w:val="af3"/>
    <w:qFormat/>
    <w:rsid w:val="00D2114A"/>
    <w:pPr>
      <w:ind w:leftChars="2500" w:left="100"/>
    </w:pPr>
    <w:rPr>
      <w:rFonts w:asciiTheme="minorHAnsi" w:eastAsiaTheme="minorEastAsia" w:hAnsiTheme="minorHAnsi" w:cstheme="minorBidi"/>
    </w:rPr>
  </w:style>
  <w:style w:type="character" w:customStyle="1" w:styleId="af5">
    <w:name w:val="批注主题 字符"/>
    <w:link w:val="af6"/>
    <w:qFormat/>
    <w:rsid w:val="00D2114A"/>
    <w:rPr>
      <w:b/>
      <w:bCs/>
      <w:szCs w:val="24"/>
    </w:rPr>
  </w:style>
  <w:style w:type="paragraph" w:styleId="af6">
    <w:name w:val="annotation subject"/>
    <w:basedOn w:val="ae"/>
    <w:next w:val="ae"/>
    <w:link w:val="af5"/>
    <w:qFormat/>
    <w:rsid w:val="00D2114A"/>
    <w:rPr>
      <w:rFonts w:asciiTheme="minorHAnsi" w:eastAsiaTheme="minorEastAsia" w:hAnsiTheme="minorHAnsi" w:cstheme="minorBidi"/>
      <w:b/>
      <w:bCs/>
      <w:sz w:val="21"/>
    </w:rPr>
  </w:style>
  <w:style w:type="character" w:customStyle="1" w:styleId="af7">
    <w:name w:val="正文文本 字符"/>
    <w:link w:val="af8"/>
    <w:qFormat/>
    <w:rsid w:val="00D2114A"/>
    <w:rPr>
      <w:rFonts w:ascii="Times New Roman" w:hAnsi="Times New Roman"/>
      <w:szCs w:val="24"/>
    </w:rPr>
  </w:style>
  <w:style w:type="paragraph" w:styleId="af8">
    <w:name w:val="Body Text"/>
    <w:basedOn w:val="a"/>
    <w:link w:val="af7"/>
    <w:qFormat/>
    <w:rsid w:val="00D2114A"/>
    <w:pPr>
      <w:spacing w:after="120"/>
    </w:pPr>
    <w:rPr>
      <w:rFonts w:eastAsiaTheme="minorEastAsia" w:cstheme="minorBidi"/>
    </w:rPr>
  </w:style>
  <w:style w:type="character" w:customStyle="1" w:styleId="af9">
    <w:name w:val="文档结构图 字符"/>
    <w:basedOn w:val="a0"/>
    <w:link w:val="afa"/>
    <w:semiHidden/>
    <w:rsid w:val="00D2114A"/>
    <w:rPr>
      <w:rFonts w:ascii="Times New Roman" w:eastAsia="宋体" w:hAnsi="Times New Roman" w:cs="Times New Roman"/>
      <w:szCs w:val="24"/>
      <w:shd w:val="clear" w:color="auto" w:fill="000080"/>
    </w:rPr>
  </w:style>
  <w:style w:type="paragraph" w:styleId="afa">
    <w:name w:val="Document Map"/>
    <w:basedOn w:val="a"/>
    <w:link w:val="af9"/>
    <w:semiHidden/>
    <w:rsid w:val="00D2114A"/>
    <w:pPr>
      <w:shd w:val="clear" w:color="auto" w:fill="000080"/>
    </w:pPr>
  </w:style>
  <w:style w:type="character" w:customStyle="1" w:styleId="12">
    <w:name w:val="日期 字符1"/>
    <w:basedOn w:val="a0"/>
    <w:uiPriority w:val="99"/>
    <w:semiHidden/>
    <w:rsid w:val="00D2114A"/>
    <w:rPr>
      <w:rFonts w:ascii="Times New Roman" w:eastAsia="宋体" w:hAnsi="Times New Roman" w:cs="Times New Roman"/>
      <w:szCs w:val="24"/>
    </w:rPr>
  </w:style>
  <w:style w:type="character" w:customStyle="1" w:styleId="13">
    <w:name w:val="正文文本 字符1"/>
    <w:basedOn w:val="a0"/>
    <w:uiPriority w:val="99"/>
    <w:semiHidden/>
    <w:rsid w:val="00D2114A"/>
    <w:rPr>
      <w:rFonts w:ascii="Times New Roman" w:eastAsia="宋体" w:hAnsi="Times New Roman" w:cs="Times New Roman"/>
      <w:szCs w:val="24"/>
    </w:rPr>
  </w:style>
  <w:style w:type="character" w:customStyle="1" w:styleId="14">
    <w:name w:val="批注主题 字符1"/>
    <w:basedOn w:val="af"/>
    <w:uiPriority w:val="99"/>
    <w:semiHidden/>
    <w:rsid w:val="00D2114A"/>
    <w:rPr>
      <w:rFonts w:ascii="Times New Roman" w:eastAsia="宋体" w:hAnsi="Times New Roman" w:cs="Times New Roman"/>
      <w:b/>
      <w:bCs/>
      <w:sz w:val="24"/>
      <w:szCs w:val="24"/>
    </w:rPr>
  </w:style>
  <w:style w:type="paragraph" w:styleId="afb">
    <w:name w:val="Revision"/>
    <w:hidden/>
    <w:uiPriority w:val="99"/>
    <w:unhideWhenUsed/>
    <w:rsid w:val="00D2114A"/>
    <w:rPr>
      <w:rFonts w:ascii="Times New Roman" w:eastAsia="宋体" w:hAnsi="Times New Roman" w:cs="Times New Roman"/>
      <w:szCs w:val="24"/>
    </w:rPr>
  </w:style>
  <w:style w:type="paragraph" w:customStyle="1" w:styleId="Default">
    <w:name w:val="Default"/>
    <w:qFormat/>
    <w:rsid w:val="00D2114A"/>
    <w:pPr>
      <w:widowControl w:val="0"/>
      <w:autoSpaceDE w:val="0"/>
      <w:autoSpaceDN w:val="0"/>
      <w:adjustRightInd w:val="0"/>
    </w:pPr>
    <w:rPr>
      <w:rFonts w:ascii="黑体" w:eastAsia="黑体" w:hAnsi="Times New Roman" w:cs="黑体"/>
      <w:color w:val="000000"/>
      <w:kern w:val="0"/>
      <w:sz w:val="24"/>
      <w:szCs w:val="24"/>
    </w:rPr>
  </w:style>
  <w:style w:type="table" w:styleId="afc">
    <w:name w:val="Table Grid"/>
    <w:basedOn w:val="a1"/>
    <w:uiPriority w:val="39"/>
    <w:qFormat/>
    <w:rsid w:val="00D94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Web)"/>
    <w:basedOn w:val="a"/>
    <w:qFormat/>
    <w:rsid w:val="00137012"/>
    <w:pPr>
      <w:widowControl/>
      <w:spacing w:before="100" w:beforeAutospacing="1" w:after="100" w:afterAutospacing="1"/>
      <w:jc w:val="left"/>
    </w:pPr>
    <w:rPr>
      <w:rFonts w:ascii="宋体" w:hAnsi="宋体"/>
      <w:color w:val="000000"/>
      <w:kern w:val="0"/>
      <w:sz w:val="24"/>
    </w:rPr>
  </w:style>
  <w:style w:type="paragraph" w:styleId="afd">
    <w:name w:val="footnote text"/>
    <w:basedOn w:val="a"/>
    <w:link w:val="afe"/>
    <w:unhideWhenUsed/>
    <w:qFormat/>
    <w:rsid w:val="002D5575"/>
    <w:pPr>
      <w:snapToGrid w:val="0"/>
      <w:jc w:val="left"/>
    </w:pPr>
    <w:rPr>
      <w:rFonts w:eastAsia="Adobe 仿宋 Std R"/>
      <w:sz w:val="18"/>
      <w:szCs w:val="18"/>
    </w:rPr>
  </w:style>
  <w:style w:type="character" w:customStyle="1" w:styleId="afe">
    <w:name w:val="脚注文本 字符"/>
    <w:basedOn w:val="a0"/>
    <w:link w:val="afd"/>
    <w:uiPriority w:val="99"/>
    <w:semiHidden/>
    <w:rsid w:val="002D5575"/>
    <w:rPr>
      <w:rFonts w:ascii="Times New Roman" w:eastAsia="Adobe 仿宋 Std R" w:hAnsi="Times New Roman" w:cs="Times New Roman"/>
      <w:sz w:val="18"/>
      <w:szCs w:val="18"/>
    </w:rPr>
  </w:style>
  <w:style w:type="character" w:styleId="aff">
    <w:name w:val="footnote reference"/>
    <w:unhideWhenUsed/>
    <w:qFormat/>
    <w:rsid w:val="002D5575"/>
    <w:rPr>
      <w:vertAlign w:val="superscript"/>
    </w:rPr>
  </w:style>
  <w:style w:type="character" w:styleId="aff0">
    <w:name w:val="Hyperlink"/>
    <w:basedOn w:val="a0"/>
    <w:qFormat/>
    <w:rsid w:val="004067A3"/>
    <w:rPr>
      <w:color w:val="0000FF"/>
      <w:u w:val="single"/>
    </w:rPr>
  </w:style>
  <w:style w:type="character" w:customStyle="1" w:styleId="Char">
    <w:name w:val="批注文字 Char"/>
    <w:uiPriority w:val="99"/>
    <w:rsid w:val="00A87B69"/>
    <w:rPr>
      <w:rFonts w:ascii="Times New Roman" w:hAnsi="Times New Roman"/>
      <w:kern w:val="2"/>
      <w:sz w:val="21"/>
      <w:szCs w:val="24"/>
    </w:rPr>
  </w:style>
  <w:style w:type="character" w:customStyle="1" w:styleId="aff1">
    <w:name w:val="无"/>
    <w:rsid w:val="00A8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8139">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de.org.cn/directory/web/WS01/images/0r3Bxsb30LWy+sa3vLzK9dKqxOx4NC01ri1vNSt1PKjqDIwMjLE6rXaOLrFo6kuZG9j.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0C8E-A642-4E31-896A-938FA60C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893</Words>
  <Characters>5096</Characters>
  <Application>Microsoft Office Word</Application>
  <DocSecurity>0</DocSecurity>
  <Lines>42</Lines>
  <Paragraphs>11</Paragraphs>
  <ScaleCrop>false</ScaleCrop>
  <Company>神州网信技术有限公司</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屈贝贝</cp:lastModifiedBy>
  <cp:revision>15</cp:revision>
  <cp:lastPrinted>2025-08-19T00:45:00Z</cp:lastPrinted>
  <dcterms:created xsi:type="dcterms:W3CDTF">2025-08-20T06:06:00Z</dcterms:created>
  <dcterms:modified xsi:type="dcterms:W3CDTF">2025-08-21T01:54:00Z</dcterms:modified>
</cp:coreProperties>
</file>