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B" w:rsidRPr="00511EB1" w:rsidRDefault="00545B8B" w:rsidP="00032F46">
      <w:pPr>
        <w:spacing w:line="500" w:lineRule="exact"/>
        <w:jc w:val="left"/>
        <w:rPr>
          <w:rFonts w:eastAsia="黑体"/>
          <w:szCs w:val="32"/>
        </w:rPr>
      </w:pPr>
      <w:r w:rsidRPr="00511EB1">
        <w:rPr>
          <w:rFonts w:eastAsia="黑体"/>
          <w:szCs w:val="32"/>
        </w:rPr>
        <w:t>附件</w:t>
      </w:r>
      <w:r w:rsidR="00511EB1" w:rsidRPr="00511EB1">
        <w:rPr>
          <w:rFonts w:eastAsia="黑体"/>
          <w:szCs w:val="32"/>
        </w:rPr>
        <w:t>3</w:t>
      </w:r>
    </w:p>
    <w:p w:rsidR="00545B8B" w:rsidRPr="00511EB1" w:rsidRDefault="00545B8B" w:rsidP="00032F46">
      <w:pPr>
        <w:spacing w:line="500" w:lineRule="exact"/>
        <w:jc w:val="center"/>
        <w:rPr>
          <w:rFonts w:eastAsia="方正小标宋简体"/>
          <w:sz w:val="44"/>
          <w:szCs w:val="44"/>
        </w:rPr>
      </w:pPr>
    </w:p>
    <w:p w:rsidR="00E71E6A" w:rsidRPr="00511EB1" w:rsidRDefault="00E71E6A" w:rsidP="00E71E6A">
      <w:pPr>
        <w:adjustRightInd w:val="0"/>
        <w:spacing w:line="600" w:lineRule="exact"/>
        <w:jc w:val="center"/>
        <w:rPr>
          <w:rFonts w:eastAsia="方正小标宋简体"/>
          <w:sz w:val="44"/>
          <w:szCs w:val="44"/>
        </w:rPr>
      </w:pPr>
      <w:r w:rsidRPr="00511EB1">
        <w:rPr>
          <w:rFonts w:eastAsia="方正小标宋简体"/>
          <w:sz w:val="44"/>
          <w:szCs w:val="44"/>
        </w:rPr>
        <w:t>乙型肝炎病毒前</w:t>
      </w:r>
      <w:r w:rsidRPr="00511EB1">
        <w:rPr>
          <w:rFonts w:eastAsia="方正小标宋简体"/>
          <w:sz w:val="44"/>
          <w:szCs w:val="44"/>
        </w:rPr>
        <w:t>S1</w:t>
      </w:r>
      <w:r w:rsidRPr="00511EB1">
        <w:rPr>
          <w:rFonts w:eastAsia="方正小标宋简体"/>
          <w:sz w:val="44"/>
          <w:szCs w:val="44"/>
        </w:rPr>
        <w:t>抗原检测试剂</w:t>
      </w:r>
    </w:p>
    <w:p w:rsidR="00E71E6A" w:rsidRPr="00511EB1" w:rsidRDefault="00E71E6A" w:rsidP="00E71E6A">
      <w:pPr>
        <w:adjustRightInd w:val="0"/>
        <w:spacing w:line="600" w:lineRule="exact"/>
        <w:jc w:val="center"/>
        <w:rPr>
          <w:rFonts w:eastAsia="方正小标宋简体"/>
          <w:sz w:val="44"/>
          <w:szCs w:val="44"/>
        </w:rPr>
      </w:pPr>
      <w:r w:rsidRPr="00511EB1">
        <w:rPr>
          <w:rFonts w:eastAsia="方正小标宋简体"/>
          <w:sz w:val="44"/>
          <w:szCs w:val="44"/>
        </w:rPr>
        <w:t>临床试验资料技术审评要点</w:t>
      </w:r>
    </w:p>
    <w:p w:rsidR="00E71E6A" w:rsidRPr="00511EB1" w:rsidRDefault="00E71E6A" w:rsidP="00E71E6A">
      <w:pPr>
        <w:spacing w:line="520" w:lineRule="exact"/>
        <w:ind w:firstLineChars="200" w:firstLine="880"/>
        <w:jc w:val="center"/>
        <w:rPr>
          <w:rFonts w:eastAsia="方正小标宋简体"/>
          <w:sz w:val="44"/>
          <w:szCs w:val="44"/>
        </w:rPr>
      </w:pP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本审评要点旨在指导注册申请人对乙型肝炎病毒前</w:t>
      </w:r>
      <w:r w:rsidRPr="00511EB1">
        <w:rPr>
          <w:rFonts w:eastAsia="仿宋_GB2312"/>
          <w:szCs w:val="32"/>
        </w:rPr>
        <w:t>S1</w:t>
      </w:r>
      <w:r w:rsidRPr="00511EB1">
        <w:rPr>
          <w:rFonts w:eastAsia="仿宋_GB2312"/>
          <w:szCs w:val="32"/>
        </w:rPr>
        <w:t>抗原检测试剂产品注册临床试验的开展及临床试验资料的准备及撰写，同时也为技术审评部门审评临床试验资料提供参考。</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本审评要点是对乙型肝炎病毒前</w:t>
      </w:r>
      <w:r w:rsidRPr="00511EB1">
        <w:rPr>
          <w:rFonts w:eastAsia="仿宋_GB2312"/>
          <w:szCs w:val="32"/>
        </w:rPr>
        <w:t>S1</w:t>
      </w:r>
      <w:r w:rsidRPr="00511EB1">
        <w:rPr>
          <w:rFonts w:eastAsia="仿宋_GB2312"/>
          <w:szCs w:val="32"/>
        </w:rPr>
        <w:t>抗原检测试剂产品临床试验资料的一般要求，注册申请人应依据产品的具体特性确定其中内容是否适用，若不适用，需具体阐述理由及相应的科学依据，并依据产品的具体特性对临床试验资料的内容进行充实和细化。</w:t>
      </w:r>
    </w:p>
    <w:p w:rsidR="00E71E6A" w:rsidRPr="00511EB1" w:rsidRDefault="00E71E6A" w:rsidP="00E71E6A">
      <w:pPr>
        <w:spacing w:line="520" w:lineRule="exact"/>
        <w:ind w:firstLineChars="200" w:firstLine="640"/>
        <w:rPr>
          <w:rFonts w:eastAsia="黑体"/>
          <w:szCs w:val="32"/>
        </w:rPr>
      </w:pPr>
      <w:r w:rsidRPr="00511EB1">
        <w:rPr>
          <w:rFonts w:eastAsia="黑体"/>
          <w:szCs w:val="32"/>
        </w:rPr>
        <w:t>一、适用范围</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本审评要点适用于乙型肝炎病毒前</w:t>
      </w:r>
      <w:r w:rsidRPr="00511EB1">
        <w:rPr>
          <w:rFonts w:eastAsia="仿宋_GB2312"/>
          <w:szCs w:val="32"/>
        </w:rPr>
        <w:t>S1</w:t>
      </w:r>
      <w:r w:rsidRPr="00511EB1">
        <w:rPr>
          <w:rFonts w:eastAsia="仿宋_GB2312"/>
          <w:szCs w:val="32"/>
        </w:rPr>
        <w:t>抗原检测试剂产品注册的临床试验的开展。</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本审评要点所指乙型肝炎病毒前</w:t>
      </w:r>
      <w:r w:rsidRPr="00511EB1">
        <w:rPr>
          <w:rFonts w:eastAsia="仿宋_GB2312"/>
          <w:szCs w:val="32"/>
        </w:rPr>
        <w:t>S1</w:t>
      </w:r>
      <w:r w:rsidRPr="00511EB1">
        <w:rPr>
          <w:rFonts w:eastAsia="仿宋_GB2312"/>
          <w:szCs w:val="32"/>
        </w:rPr>
        <w:t>抗原检测试剂是指用于体外定性检测人血清或血浆样本中乙型肝炎病毒前</w:t>
      </w:r>
      <w:r w:rsidRPr="00511EB1">
        <w:rPr>
          <w:rFonts w:eastAsia="仿宋_GB2312"/>
          <w:szCs w:val="32"/>
        </w:rPr>
        <w:t>S1</w:t>
      </w:r>
      <w:r w:rsidRPr="00511EB1">
        <w:rPr>
          <w:rFonts w:eastAsia="仿宋_GB2312"/>
          <w:szCs w:val="32"/>
        </w:rPr>
        <w:t>抗原的体外诊断试剂。</w:t>
      </w:r>
    </w:p>
    <w:p w:rsidR="00E71E6A" w:rsidRPr="00511EB1" w:rsidRDefault="00E71E6A" w:rsidP="00E71E6A">
      <w:pPr>
        <w:spacing w:line="520" w:lineRule="exact"/>
        <w:ind w:firstLineChars="200" w:firstLine="640"/>
        <w:rPr>
          <w:sz w:val="24"/>
        </w:rPr>
      </w:pPr>
      <w:r w:rsidRPr="00511EB1">
        <w:rPr>
          <w:rFonts w:eastAsia="仿宋_GB2312"/>
          <w:szCs w:val="32"/>
        </w:rPr>
        <w:t>乙型肝炎病毒（</w:t>
      </w:r>
      <w:r w:rsidRPr="00511EB1">
        <w:rPr>
          <w:rFonts w:eastAsia="仿宋_GB2312"/>
          <w:szCs w:val="32"/>
        </w:rPr>
        <w:t>HBV</w:t>
      </w:r>
      <w:r w:rsidRPr="00511EB1">
        <w:rPr>
          <w:rFonts w:eastAsia="仿宋_GB2312"/>
          <w:szCs w:val="32"/>
        </w:rPr>
        <w:t>）外膜蛋白由</w:t>
      </w:r>
      <w:r w:rsidRPr="00511EB1">
        <w:rPr>
          <w:rFonts w:eastAsia="仿宋_GB2312"/>
          <w:szCs w:val="32"/>
        </w:rPr>
        <w:t>S</w:t>
      </w:r>
      <w:r w:rsidRPr="00511EB1">
        <w:rPr>
          <w:rFonts w:eastAsia="仿宋_GB2312"/>
          <w:szCs w:val="32"/>
        </w:rPr>
        <w:t>蛋白、前</w:t>
      </w:r>
      <w:r w:rsidRPr="00511EB1">
        <w:rPr>
          <w:rFonts w:eastAsia="仿宋_GB2312"/>
          <w:szCs w:val="32"/>
        </w:rPr>
        <w:t>S1</w:t>
      </w:r>
      <w:r w:rsidRPr="00511EB1">
        <w:rPr>
          <w:rFonts w:eastAsia="仿宋_GB2312"/>
          <w:szCs w:val="32"/>
        </w:rPr>
        <w:t>蛋白和前</w:t>
      </w:r>
      <w:r w:rsidRPr="00511EB1">
        <w:rPr>
          <w:rFonts w:eastAsia="仿宋_GB2312"/>
          <w:szCs w:val="32"/>
        </w:rPr>
        <w:t>S2</w:t>
      </w:r>
      <w:r w:rsidRPr="00511EB1">
        <w:rPr>
          <w:rFonts w:eastAsia="仿宋_GB2312"/>
          <w:szCs w:val="32"/>
        </w:rPr>
        <w:t>蛋白共同构成。前</w:t>
      </w:r>
      <w:r w:rsidRPr="00511EB1">
        <w:rPr>
          <w:rFonts w:eastAsia="仿宋_GB2312"/>
          <w:szCs w:val="32"/>
        </w:rPr>
        <w:t>S1</w:t>
      </w:r>
      <w:r w:rsidRPr="00511EB1">
        <w:rPr>
          <w:rFonts w:eastAsia="仿宋_GB2312"/>
          <w:szCs w:val="32"/>
        </w:rPr>
        <w:t>蛋白由乙型肝炎病毒前</w:t>
      </w:r>
      <w:r w:rsidRPr="00511EB1">
        <w:rPr>
          <w:rFonts w:eastAsia="仿宋_GB2312"/>
          <w:szCs w:val="32"/>
        </w:rPr>
        <w:t>S1</w:t>
      </w:r>
      <w:r w:rsidRPr="00511EB1">
        <w:rPr>
          <w:rFonts w:eastAsia="仿宋_GB2312"/>
          <w:szCs w:val="32"/>
        </w:rPr>
        <w:t>基因编码，由</w:t>
      </w:r>
      <w:r w:rsidRPr="00511EB1">
        <w:rPr>
          <w:rFonts w:eastAsia="仿宋_GB2312"/>
          <w:szCs w:val="32"/>
        </w:rPr>
        <w:t>108</w:t>
      </w:r>
      <w:r w:rsidRPr="00511EB1">
        <w:rPr>
          <w:rFonts w:eastAsia="仿宋_GB2312"/>
          <w:szCs w:val="32"/>
        </w:rPr>
        <w:t>或</w:t>
      </w:r>
      <w:r w:rsidRPr="00511EB1">
        <w:rPr>
          <w:rFonts w:eastAsia="仿宋_GB2312"/>
          <w:szCs w:val="32"/>
        </w:rPr>
        <w:t>119</w:t>
      </w:r>
      <w:r w:rsidRPr="00511EB1">
        <w:rPr>
          <w:rFonts w:eastAsia="仿宋_GB2312"/>
          <w:szCs w:val="32"/>
        </w:rPr>
        <w:t>个氨基酸组成，主要存在于完整的</w:t>
      </w:r>
      <w:r w:rsidRPr="00511EB1">
        <w:rPr>
          <w:rFonts w:eastAsia="仿宋_GB2312"/>
          <w:szCs w:val="32"/>
        </w:rPr>
        <w:t>Dane</w:t>
      </w:r>
      <w:r w:rsidRPr="00511EB1">
        <w:rPr>
          <w:rFonts w:eastAsia="仿宋_GB2312"/>
          <w:szCs w:val="32"/>
        </w:rPr>
        <w:t>颗粒、管型颗粒表面，其作为</w:t>
      </w:r>
      <w:r w:rsidRPr="00511EB1">
        <w:rPr>
          <w:rFonts w:eastAsia="仿宋_GB2312"/>
          <w:szCs w:val="32"/>
        </w:rPr>
        <w:t>HBV</w:t>
      </w:r>
      <w:r w:rsidRPr="00511EB1">
        <w:rPr>
          <w:rFonts w:eastAsia="仿宋_GB2312"/>
          <w:szCs w:val="32"/>
        </w:rPr>
        <w:t>的外壳蛋白成分，在</w:t>
      </w:r>
      <w:r w:rsidRPr="00511EB1">
        <w:rPr>
          <w:rFonts w:eastAsia="仿宋_GB2312"/>
          <w:szCs w:val="32"/>
        </w:rPr>
        <w:t>HBV</w:t>
      </w:r>
      <w:r w:rsidRPr="00511EB1">
        <w:rPr>
          <w:rFonts w:eastAsia="仿宋_GB2312"/>
          <w:szCs w:val="32"/>
        </w:rPr>
        <w:t>感染者血清中一般与乙型肝炎病毒表面抗原共同表达，在病毒的装配、</w:t>
      </w:r>
      <w:r w:rsidRPr="00511EB1">
        <w:rPr>
          <w:rFonts w:eastAsia="仿宋_GB2312"/>
          <w:szCs w:val="32"/>
        </w:rPr>
        <w:lastRenderedPageBreak/>
        <w:t>复制和刺激机体产生免疫反应方面具有十分重要的作用。乙型肝炎病毒前</w:t>
      </w:r>
      <w:r w:rsidRPr="00511EB1">
        <w:rPr>
          <w:rFonts w:eastAsia="仿宋_GB2312"/>
          <w:szCs w:val="32"/>
        </w:rPr>
        <w:t>S1</w:t>
      </w:r>
      <w:r w:rsidRPr="00511EB1">
        <w:rPr>
          <w:rFonts w:eastAsia="仿宋_GB2312"/>
          <w:szCs w:val="32"/>
        </w:rPr>
        <w:t>抗原（</w:t>
      </w:r>
      <w:r w:rsidRPr="00511EB1">
        <w:rPr>
          <w:rFonts w:eastAsia="仿宋_GB2312"/>
          <w:szCs w:val="32"/>
        </w:rPr>
        <w:t>HBV PreS1-Ag</w:t>
      </w:r>
      <w:r w:rsidRPr="00511EB1">
        <w:rPr>
          <w:rFonts w:eastAsia="仿宋_GB2312"/>
          <w:szCs w:val="32"/>
        </w:rPr>
        <w:t>）是病毒存在和复制的标志。</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适用方法学包括：化学发光法。</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本审评要点适用于乙型肝炎病毒感染的辅助诊断预期用途。</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按现行《体外诊断试剂分类子目录》，该产品分类编码为</w:t>
      </w:r>
      <w:r w:rsidRPr="00511EB1">
        <w:rPr>
          <w:rFonts w:eastAsia="仿宋_GB2312"/>
          <w:szCs w:val="32"/>
        </w:rPr>
        <w:t>6840</w:t>
      </w:r>
      <w:r w:rsidRPr="00511EB1">
        <w:rPr>
          <w:rFonts w:eastAsia="仿宋_GB2312"/>
          <w:szCs w:val="32"/>
        </w:rPr>
        <w:t>，管理类别为</w:t>
      </w:r>
      <w:r w:rsidRPr="00511EB1">
        <w:rPr>
          <w:rFonts w:eastAsia="仿宋_GB2312"/>
          <w:color w:val="000000"/>
          <w:szCs w:val="32"/>
        </w:rPr>
        <w:t>Ⅲ</w:t>
      </w:r>
      <w:r w:rsidRPr="00511EB1">
        <w:rPr>
          <w:rFonts w:eastAsia="仿宋_GB2312"/>
          <w:color w:val="000000"/>
          <w:szCs w:val="32"/>
        </w:rPr>
        <w:t>类</w:t>
      </w:r>
      <w:r w:rsidRPr="00511EB1">
        <w:rPr>
          <w:rFonts w:eastAsia="仿宋_GB2312"/>
          <w:szCs w:val="32"/>
        </w:rPr>
        <w:t>。</w:t>
      </w:r>
    </w:p>
    <w:p w:rsidR="00E71E6A" w:rsidRPr="00511EB1" w:rsidRDefault="00E71E6A" w:rsidP="00E71E6A">
      <w:pPr>
        <w:spacing w:line="520" w:lineRule="exact"/>
        <w:ind w:firstLineChars="200" w:firstLine="640"/>
        <w:rPr>
          <w:rFonts w:eastAsia="黑体"/>
          <w:szCs w:val="32"/>
        </w:rPr>
      </w:pPr>
      <w:r w:rsidRPr="00511EB1">
        <w:rPr>
          <w:rFonts w:eastAsia="黑体"/>
          <w:szCs w:val="32"/>
        </w:rPr>
        <w:t>二、临床研究</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（一）临床试验机构的选择</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选择不少于</w:t>
      </w:r>
      <w:r w:rsidRPr="00511EB1">
        <w:rPr>
          <w:rFonts w:eastAsia="仿宋_GB2312"/>
          <w:szCs w:val="32"/>
        </w:rPr>
        <w:t>3</w:t>
      </w:r>
      <w:r w:rsidRPr="00511EB1">
        <w:rPr>
          <w:rFonts w:eastAsia="仿宋_GB2312"/>
          <w:szCs w:val="32"/>
        </w:rPr>
        <w:t>家具备相应条件</w:t>
      </w:r>
      <w:proofErr w:type="gramStart"/>
      <w:r w:rsidRPr="00511EB1">
        <w:rPr>
          <w:rFonts w:eastAsia="仿宋_GB2312"/>
          <w:szCs w:val="32"/>
        </w:rPr>
        <w:t>且按照</w:t>
      </w:r>
      <w:proofErr w:type="gramEnd"/>
      <w:r w:rsidRPr="00511EB1">
        <w:rPr>
          <w:rFonts w:eastAsia="仿宋_GB2312"/>
          <w:szCs w:val="32"/>
        </w:rPr>
        <w:t>规定备案的医疗器械临床试验机构。</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（二）临床试验设计类型</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选择境内已批准上市、临床普遍认为质量较好的同类产品作为对比试剂，采用试验体外诊断试剂与之进行对比试验研究，证明本品与已上市产品一致。尽量选择与试验体外诊断试剂方法学具有可比性的产品。</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（三）对比方法的选择</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选择与已上市同类产品进行比较研究。对比试剂的样本类型应涵盖试验体外诊断试剂的样本类型，检测性能应与试验体外诊断试剂具有良好的可比性。</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（四）</w:t>
      </w:r>
      <w:proofErr w:type="gramStart"/>
      <w:r w:rsidRPr="00511EB1">
        <w:rPr>
          <w:rFonts w:eastAsia="楷体_GB2312"/>
          <w:szCs w:val="32"/>
        </w:rPr>
        <w:t>病例入排标准</w:t>
      </w:r>
      <w:proofErr w:type="gramEnd"/>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选择需要进行相应检查的受试人群，主要包括疑似乙肝患者的人群。</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（五）入组病例数要求</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lastRenderedPageBreak/>
        <w:t>建议采用单组目标值法进行最低样本量的估算。通过阳性符合率和阴性符合率来分别计算所需阳性样本和阴性样本的例数。阴、阳性符合率的临床可接受标准（</w:t>
      </w:r>
      <w:r w:rsidRPr="00511EB1">
        <w:rPr>
          <w:rFonts w:eastAsia="仿宋_GB2312"/>
          <w:i/>
          <w:szCs w:val="32"/>
        </w:rPr>
        <w:t>P</w:t>
      </w:r>
      <w:r w:rsidRPr="00511EB1">
        <w:rPr>
          <w:rFonts w:eastAsia="仿宋_GB2312"/>
          <w:i/>
          <w:szCs w:val="32"/>
          <w:vertAlign w:val="subscript"/>
        </w:rPr>
        <w:t>0</w:t>
      </w:r>
      <w:r w:rsidRPr="00511EB1">
        <w:rPr>
          <w:rFonts w:eastAsia="仿宋_GB2312"/>
          <w:szCs w:val="32"/>
        </w:rPr>
        <w:t>）建议不低于</w:t>
      </w:r>
      <w:r w:rsidRPr="00511EB1">
        <w:rPr>
          <w:rFonts w:eastAsia="仿宋_GB2312"/>
          <w:szCs w:val="32"/>
        </w:rPr>
        <w:t>95%</w:t>
      </w:r>
      <w:r w:rsidRPr="00511EB1">
        <w:rPr>
          <w:rFonts w:eastAsia="仿宋_GB2312"/>
          <w:szCs w:val="32"/>
        </w:rPr>
        <w:t>。</w:t>
      </w:r>
    </w:p>
    <w:p w:rsidR="00E71E6A" w:rsidRPr="00511EB1" w:rsidRDefault="00E71E6A" w:rsidP="00E71E6A">
      <w:pPr>
        <w:spacing w:line="520" w:lineRule="exact"/>
        <w:ind w:firstLineChars="200" w:firstLine="640"/>
        <w:rPr>
          <w:rFonts w:eastAsia="仿宋_GB2312"/>
          <w:szCs w:val="32"/>
        </w:rPr>
      </w:pPr>
      <w:r w:rsidRPr="00511EB1">
        <w:rPr>
          <w:rFonts w:eastAsia="仿宋_GB2312"/>
          <w:noProof/>
        </w:rPr>
        <w:drawing>
          <wp:anchor distT="0" distB="0" distL="114300" distR="114300" simplePos="0" relativeHeight="251666432" behindDoc="0" locked="0" layoutInCell="1" allowOverlap="1" wp14:anchorId="257012C3" wp14:editId="578C76C4">
            <wp:simplePos x="0" y="0"/>
            <wp:positionH relativeFrom="margin">
              <wp:align>center</wp:align>
            </wp:positionH>
            <wp:positionV relativeFrom="paragraph">
              <wp:posOffset>151130</wp:posOffset>
            </wp:positionV>
            <wp:extent cx="3486150" cy="790575"/>
            <wp:effectExtent l="0" t="0" r="0" b="0"/>
            <wp:wrapSquare wrapText="bothSides"/>
            <wp:docPr id="3" name="图片 8"/>
            <wp:cNvGraphicFramePr/>
            <a:graphic xmlns:a="http://schemas.openxmlformats.org/drawingml/2006/main">
              <a:graphicData uri="http://schemas.openxmlformats.org/drawingml/2006/picture">
                <pic:pic xmlns:pic="http://schemas.openxmlformats.org/drawingml/2006/picture">
                  <pic:nvPicPr>
                    <pic:cNvPr id="4" name="图片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r w:rsidRPr="00511EB1">
        <w:rPr>
          <w:rFonts w:eastAsia="仿宋_GB2312"/>
          <w:noProof/>
        </w:rPr>
        <w:t xml:space="preserve"> </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 xml:space="preserve">    </w:t>
      </w:r>
    </w:p>
    <w:p w:rsidR="00E71E6A" w:rsidRPr="00511EB1" w:rsidRDefault="00E71E6A" w:rsidP="00E71E6A">
      <w:pPr>
        <w:spacing w:line="520" w:lineRule="exact"/>
        <w:ind w:firstLineChars="200" w:firstLine="640"/>
        <w:rPr>
          <w:rFonts w:eastAsia="仿宋_GB2312"/>
          <w:szCs w:val="32"/>
        </w:rPr>
      </w:pP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公式中，</w:t>
      </w:r>
      <w:r w:rsidRPr="00511EB1">
        <w:rPr>
          <w:rFonts w:eastAsia="仿宋_GB2312"/>
          <w:i/>
          <w:szCs w:val="32"/>
        </w:rPr>
        <w:t>n</w:t>
      </w:r>
      <w:r w:rsidRPr="00511EB1">
        <w:rPr>
          <w:rFonts w:eastAsia="仿宋_GB2312"/>
          <w:szCs w:val="32"/>
        </w:rPr>
        <w:t>为样本量；</w:t>
      </w:r>
      <w:r w:rsidRPr="00511EB1">
        <w:rPr>
          <w:rFonts w:eastAsia="仿宋_GB2312"/>
          <w:i/>
          <w:szCs w:val="32"/>
        </w:rPr>
        <w:t>Z</w:t>
      </w:r>
      <w:r w:rsidRPr="00511EB1">
        <w:rPr>
          <w:rFonts w:eastAsia="仿宋_GB2312"/>
          <w:i/>
          <w:szCs w:val="32"/>
          <w:vertAlign w:val="subscript"/>
        </w:rPr>
        <w:t>1-α/2</w:t>
      </w:r>
      <w:r w:rsidRPr="00511EB1">
        <w:rPr>
          <w:rFonts w:eastAsia="仿宋_GB2312"/>
          <w:szCs w:val="32"/>
        </w:rPr>
        <w:t>、</w:t>
      </w:r>
      <w:r w:rsidRPr="00511EB1">
        <w:rPr>
          <w:rFonts w:eastAsia="仿宋_GB2312"/>
          <w:i/>
          <w:szCs w:val="32"/>
        </w:rPr>
        <w:t>Z</w:t>
      </w:r>
      <w:r w:rsidRPr="00511EB1">
        <w:rPr>
          <w:rFonts w:eastAsia="仿宋_GB2312"/>
          <w:i/>
          <w:szCs w:val="32"/>
          <w:vertAlign w:val="subscript"/>
        </w:rPr>
        <w:t>1-β</w:t>
      </w:r>
      <w:r w:rsidRPr="00511EB1">
        <w:rPr>
          <w:rFonts w:eastAsia="仿宋_GB2312"/>
          <w:szCs w:val="32"/>
        </w:rPr>
        <w:t>为显著性水平和把握度的标准正态分布的分数位，</w:t>
      </w:r>
      <w:r w:rsidRPr="00511EB1">
        <w:rPr>
          <w:rFonts w:eastAsia="仿宋_GB2312"/>
          <w:i/>
          <w:szCs w:val="32"/>
        </w:rPr>
        <w:t>P</w:t>
      </w:r>
      <w:r w:rsidRPr="00511EB1">
        <w:rPr>
          <w:rFonts w:eastAsia="仿宋_GB2312"/>
          <w:i/>
          <w:szCs w:val="32"/>
          <w:vertAlign w:val="subscript"/>
        </w:rPr>
        <w:t>0</w:t>
      </w:r>
      <w:r w:rsidRPr="00511EB1">
        <w:rPr>
          <w:rFonts w:eastAsia="仿宋_GB2312"/>
          <w:szCs w:val="32"/>
        </w:rPr>
        <w:t>为评价指标的临床可接受标准，</w:t>
      </w:r>
      <w:r w:rsidRPr="00511EB1">
        <w:rPr>
          <w:rFonts w:eastAsia="仿宋_GB2312"/>
          <w:i/>
          <w:szCs w:val="32"/>
        </w:rPr>
        <w:t>P</w:t>
      </w:r>
      <w:r w:rsidRPr="00511EB1">
        <w:rPr>
          <w:rFonts w:eastAsia="仿宋_GB2312"/>
          <w:i/>
          <w:szCs w:val="32"/>
          <w:vertAlign w:val="subscript"/>
        </w:rPr>
        <w:t>T</w:t>
      </w:r>
      <w:r w:rsidRPr="00511EB1">
        <w:rPr>
          <w:rFonts w:eastAsia="仿宋_GB2312"/>
          <w:szCs w:val="32"/>
        </w:rPr>
        <w:t>为申报产品评价指标预期值。</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对于血清和血浆样本如临床前研究证明两者的性能无差异，临床试验中可汇总统计。</w:t>
      </w:r>
    </w:p>
    <w:p w:rsidR="00E71E6A" w:rsidRPr="00511EB1" w:rsidRDefault="00E71E6A" w:rsidP="00E71E6A">
      <w:pPr>
        <w:spacing w:line="520" w:lineRule="exact"/>
        <w:ind w:firstLineChars="200" w:firstLine="640"/>
        <w:rPr>
          <w:rFonts w:eastAsia="楷体_GB2312"/>
          <w:szCs w:val="32"/>
        </w:rPr>
      </w:pPr>
      <w:r w:rsidRPr="00511EB1">
        <w:rPr>
          <w:rFonts w:eastAsia="楷体_GB2312"/>
          <w:szCs w:val="32"/>
        </w:rPr>
        <w:t>（六）临床评价指标和统计学分析</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一般选择四格表的形式总结两种试剂</w:t>
      </w:r>
      <w:r w:rsidRPr="00511EB1">
        <w:rPr>
          <w:rFonts w:eastAsia="仿宋_GB2312"/>
          <w:szCs w:val="32"/>
        </w:rPr>
        <w:t>/</w:t>
      </w:r>
      <w:r w:rsidRPr="00511EB1">
        <w:rPr>
          <w:rFonts w:eastAsia="仿宋_GB2312"/>
          <w:szCs w:val="32"/>
        </w:rPr>
        <w:t>方法的定性检测结果，计算阳性符合率、阴性符合率、总符合率及其</w:t>
      </w:r>
      <w:r w:rsidRPr="00511EB1">
        <w:rPr>
          <w:rFonts w:eastAsia="仿宋_GB2312"/>
          <w:szCs w:val="32"/>
        </w:rPr>
        <w:t>95%</w:t>
      </w:r>
      <w:r w:rsidRPr="00511EB1">
        <w:rPr>
          <w:rFonts w:eastAsia="仿宋_GB2312"/>
          <w:szCs w:val="32"/>
        </w:rPr>
        <w:t>置信区间，以及</w:t>
      </w:r>
      <w:r w:rsidRPr="00511EB1">
        <w:rPr>
          <w:rFonts w:eastAsia="仿宋_GB2312"/>
          <w:szCs w:val="32"/>
        </w:rPr>
        <w:t>Kappa</w:t>
      </w:r>
      <w:r w:rsidRPr="00511EB1">
        <w:rPr>
          <w:rFonts w:eastAsia="仿宋_GB2312"/>
          <w:szCs w:val="32"/>
        </w:rPr>
        <w:t>值。</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其中阳性符合率及阴性符合率</w:t>
      </w:r>
      <w:r w:rsidRPr="00511EB1">
        <w:rPr>
          <w:rFonts w:eastAsia="仿宋_GB2312"/>
          <w:szCs w:val="32"/>
        </w:rPr>
        <w:t>95%</w:t>
      </w:r>
      <w:r w:rsidRPr="00511EB1">
        <w:rPr>
          <w:rFonts w:eastAsia="仿宋_GB2312"/>
          <w:szCs w:val="32"/>
        </w:rPr>
        <w:t>置信区间下限均应不低于</w:t>
      </w:r>
      <w:r w:rsidRPr="00511EB1">
        <w:rPr>
          <w:rFonts w:eastAsia="仿宋_GB2312"/>
          <w:szCs w:val="32"/>
        </w:rPr>
        <w:t>95%</w:t>
      </w:r>
      <w:r w:rsidRPr="00511EB1">
        <w:rPr>
          <w:rFonts w:eastAsia="仿宋_GB2312"/>
          <w:szCs w:val="32"/>
        </w:rPr>
        <w:t>。</w:t>
      </w:r>
    </w:p>
    <w:p w:rsidR="00E71E6A" w:rsidRPr="00511EB1" w:rsidRDefault="00E71E6A" w:rsidP="00E71E6A">
      <w:pPr>
        <w:spacing w:line="520" w:lineRule="exact"/>
        <w:ind w:firstLineChars="200" w:firstLine="640"/>
        <w:rPr>
          <w:rFonts w:eastAsia="仿宋_GB2312"/>
          <w:szCs w:val="32"/>
        </w:rPr>
      </w:pPr>
      <w:r w:rsidRPr="00511EB1">
        <w:rPr>
          <w:rFonts w:eastAsia="仿宋_GB2312"/>
          <w:szCs w:val="32"/>
        </w:rPr>
        <w:t>本要点仅针对乙型肝炎病毒前</w:t>
      </w:r>
      <w:r w:rsidRPr="00511EB1">
        <w:rPr>
          <w:rFonts w:eastAsia="仿宋_GB2312"/>
          <w:szCs w:val="32"/>
        </w:rPr>
        <w:t>S1</w:t>
      </w:r>
      <w:r w:rsidRPr="00511EB1">
        <w:rPr>
          <w:rFonts w:eastAsia="仿宋_GB2312"/>
          <w:szCs w:val="32"/>
        </w:rPr>
        <w:t>抗原检测试剂临床试验中重点关注的内容，其他内容应遵循体外诊断试剂相关法规、文件的要求。</w:t>
      </w:r>
    </w:p>
    <w:p w:rsidR="00CE2A90" w:rsidRPr="00511EB1" w:rsidRDefault="00CE2A90" w:rsidP="00032F46">
      <w:pPr>
        <w:spacing w:line="360" w:lineRule="exact"/>
        <w:rPr>
          <w:color w:val="000000"/>
          <w:sz w:val="28"/>
          <w:szCs w:val="28"/>
        </w:rPr>
      </w:pPr>
    </w:p>
    <w:p w:rsidR="00CE2A90" w:rsidRPr="00511EB1" w:rsidRDefault="00CE2A90" w:rsidP="00032F46">
      <w:pPr>
        <w:spacing w:line="360" w:lineRule="exact"/>
        <w:rPr>
          <w:color w:val="000000"/>
          <w:sz w:val="28"/>
          <w:szCs w:val="28"/>
        </w:rPr>
      </w:pPr>
    </w:p>
    <w:p w:rsidR="00CE2A90" w:rsidRPr="00511EB1" w:rsidRDefault="00CE2A90" w:rsidP="00032F46">
      <w:pPr>
        <w:spacing w:line="360" w:lineRule="exact"/>
        <w:rPr>
          <w:color w:val="000000"/>
          <w:sz w:val="28"/>
          <w:szCs w:val="28"/>
        </w:rPr>
      </w:pPr>
    </w:p>
    <w:p w:rsidR="00CE2A90" w:rsidRPr="00511EB1" w:rsidRDefault="00CE2A90" w:rsidP="00032F46">
      <w:pPr>
        <w:spacing w:line="360" w:lineRule="exact"/>
        <w:rPr>
          <w:color w:val="000000"/>
          <w:sz w:val="28"/>
          <w:szCs w:val="28"/>
        </w:rPr>
      </w:pPr>
    </w:p>
    <w:p w:rsidR="00CE2A90" w:rsidRPr="00511EB1" w:rsidRDefault="00CE2A90" w:rsidP="00032F46">
      <w:pPr>
        <w:spacing w:line="360" w:lineRule="exact"/>
        <w:rPr>
          <w:color w:val="000000"/>
          <w:sz w:val="28"/>
          <w:szCs w:val="28"/>
        </w:rPr>
      </w:pPr>
    </w:p>
    <w:p w:rsidR="00CE2A90" w:rsidRPr="00511EB1" w:rsidRDefault="00CE2A90" w:rsidP="00032F46">
      <w:pPr>
        <w:spacing w:line="360" w:lineRule="exact"/>
        <w:rPr>
          <w:color w:val="000000"/>
          <w:sz w:val="28"/>
          <w:szCs w:val="28"/>
        </w:rPr>
      </w:pPr>
      <w:bookmarkStart w:id="0" w:name="_GoBack"/>
      <w:bookmarkEnd w:id="0"/>
    </w:p>
    <w:sectPr w:rsidR="00CE2A90" w:rsidRPr="00511EB1" w:rsidSect="003C0142">
      <w:footerReference w:type="default" r:id="rId10"/>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47" w:rsidRDefault="00142547" w:rsidP="006C00CB">
      <w:r>
        <w:separator/>
      </w:r>
    </w:p>
  </w:endnote>
  <w:endnote w:type="continuationSeparator" w:id="0">
    <w:p w:rsidR="00142547" w:rsidRDefault="00142547"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42" w:rsidRPr="00815993" w:rsidRDefault="003C0142" w:rsidP="00815993">
    <w:pPr>
      <w:pStyle w:val="a3"/>
      <w:wordWrap w:val="0"/>
      <w:jc w:val="right"/>
      <w:rPr>
        <w:sz w:val="28"/>
        <w:szCs w:val="28"/>
      </w:rPr>
    </w:pPr>
    <w:r w:rsidRPr="00815993">
      <w:rPr>
        <w:sz w:val="28"/>
        <w:szCs w:val="28"/>
      </w:rPr>
      <w:t xml:space="preserve">— </w:t>
    </w:r>
    <w:sdt>
      <w:sdtPr>
        <w:rPr>
          <w:sz w:val="28"/>
          <w:szCs w:val="28"/>
        </w:rPr>
        <w:id w:val="2138830727"/>
        <w:docPartObj>
          <w:docPartGallery w:val="Page Numbers (Bottom of Page)"/>
          <w:docPartUnique/>
        </w:docPartObj>
      </w:sdtPr>
      <w:sdtEndPr/>
      <w:sdtContent>
        <w:r w:rsidRPr="00815993">
          <w:rPr>
            <w:sz w:val="28"/>
            <w:szCs w:val="28"/>
          </w:rPr>
          <w:fldChar w:fldCharType="begin"/>
        </w:r>
        <w:r w:rsidRPr="00815993">
          <w:rPr>
            <w:sz w:val="28"/>
            <w:szCs w:val="28"/>
          </w:rPr>
          <w:instrText>PAGE   \* MERGEFORMAT</w:instrText>
        </w:r>
        <w:r w:rsidRPr="00815993">
          <w:rPr>
            <w:sz w:val="28"/>
            <w:szCs w:val="28"/>
          </w:rPr>
          <w:fldChar w:fldCharType="separate"/>
        </w:r>
        <w:r w:rsidR="001C2D43" w:rsidRPr="001C2D43">
          <w:rPr>
            <w:noProof/>
            <w:sz w:val="28"/>
            <w:szCs w:val="28"/>
            <w:lang w:val="zh-CN"/>
          </w:rPr>
          <w:t>3</w:t>
        </w:r>
        <w:r w:rsidRPr="00815993">
          <w:rPr>
            <w:sz w:val="28"/>
            <w:szCs w:val="28"/>
          </w:rPr>
          <w:fldChar w:fldCharType="end"/>
        </w:r>
        <w:r w:rsidRPr="00815993">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47" w:rsidRDefault="00142547" w:rsidP="006C00CB">
      <w:r>
        <w:separator/>
      </w:r>
    </w:p>
  </w:footnote>
  <w:footnote w:type="continuationSeparator" w:id="0">
    <w:p w:rsidR="00142547" w:rsidRDefault="00142547" w:rsidP="006C00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BDF4"/>
    <w:multiLevelType w:val="singleLevel"/>
    <w:tmpl w:val="27C4BDF4"/>
    <w:lvl w:ilvl="0">
      <w:start w:val="1"/>
      <w:numFmt w:val="chineseCounting"/>
      <w:suff w:val="nothing"/>
      <w:lvlText w:val="（%1）"/>
      <w:lvlJc w:val="left"/>
      <w:rPr>
        <w:rFonts w:hint="eastAsia"/>
      </w:rPr>
    </w:lvl>
  </w:abstractNum>
  <w:abstractNum w:abstractNumId="1"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ED83253"/>
    <w:multiLevelType w:val="hybridMultilevel"/>
    <w:tmpl w:val="1ECCC6FA"/>
    <w:lvl w:ilvl="0" w:tplc="F5B6CA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2547"/>
    <w:rsid w:val="00145167"/>
    <w:rsid w:val="0015622E"/>
    <w:rsid w:val="001832C0"/>
    <w:rsid w:val="00193094"/>
    <w:rsid w:val="001C2D43"/>
    <w:rsid w:val="001C3A87"/>
    <w:rsid w:val="001E0961"/>
    <w:rsid w:val="001E4E81"/>
    <w:rsid w:val="00224BC5"/>
    <w:rsid w:val="0022585F"/>
    <w:rsid w:val="00241E57"/>
    <w:rsid w:val="00242375"/>
    <w:rsid w:val="00244DF7"/>
    <w:rsid w:val="00246390"/>
    <w:rsid w:val="00275A48"/>
    <w:rsid w:val="00277473"/>
    <w:rsid w:val="00282334"/>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3C0142"/>
    <w:rsid w:val="00405E3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11EB1"/>
    <w:rsid w:val="005277E2"/>
    <w:rsid w:val="00530384"/>
    <w:rsid w:val="00534F4C"/>
    <w:rsid w:val="00545B8B"/>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3426A"/>
    <w:rsid w:val="00745098"/>
    <w:rsid w:val="00753D08"/>
    <w:rsid w:val="007646FC"/>
    <w:rsid w:val="0078317A"/>
    <w:rsid w:val="00787F7E"/>
    <w:rsid w:val="007904F6"/>
    <w:rsid w:val="007B4B78"/>
    <w:rsid w:val="007D0D0B"/>
    <w:rsid w:val="007D341A"/>
    <w:rsid w:val="007D582F"/>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B3189"/>
    <w:rsid w:val="009C2BF6"/>
    <w:rsid w:val="009C41FF"/>
    <w:rsid w:val="009E2514"/>
    <w:rsid w:val="009F209D"/>
    <w:rsid w:val="00A20A9F"/>
    <w:rsid w:val="00A23EC2"/>
    <w:rsid w:val="00A25C1A"/>
    <w:rsid w:val="00A2761C"/>
    <w:rsid w:val="00A572C9"/>
    <w:rsid w:val="00A73BFE"/>
    <w:rsid w:val="00A7566A"/>
    <w:rsid w:val="00AA4FCB"/>
    <w:rsid w:val="00AB0273"/>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5F69"/>
    <w:rsid w:val="00C27AEA"/>
    <w:rsid w:val="00C40950"/>
    <w:rsid w:val="00C43B65"/>
    <w:rsid w:val="00C5010B"/>
    <w:rsid w:val="00C55908"/>
    <w:rsid w:val="00C55C2E"/>
    <w:rsid w:val="00C8170C"/>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1E6A"/>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B7FEA"/>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unhideWhenUsed/>
    <w:rsid w:val="00410598"/>
    <w:rPr>
      <w:sz w:val="18"/>
      <w:szCs w:val="18"/>
    </w:rPr>
  </w:style>
  <w:style w:type="character" w:customStyle="1" w:styleId="a8">
    <w:name w:val="批注框文本 字符"/>
    <w:basedOn w:val="a0"/>
    <w:link w:val="a7"/>
    <w:uiPriority w:val="99"/>
    <w:rsid w:val="00410598"/>
    <w:rPr>
      <w:rFonts w:ascii="Times New Roman" w:eastAsia="Adobe 仿宋 Std R" w:hAnsi="Times New Roman" w:cs="Times New Roman"/>
      <w:kern w:val="2"/>
      <w:sz w:val="18"/>
      <w:szCs w:val="18"/>
    </w:rPr>
  </w:style>
  <w:style w:type="paragraph" w:styleId="a9">
    <w:name w:val="List Paragraph"/>
    <w:basedOn w:val="a"/>
    <w:link w:val="aa"/>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iPriority w:val="99"/>
    <w:unhideWhenUsed/>
    <w:qFormat/>
    <w:rsid w:val="00FB46B2"/>
    <w:rPr>
      <w:sz w:val="21"/>
      <w:szCs w:val="21"/>
    </w:rPr>
  </w:style>
  <w:style w:type="paragraph" w:styleId="ac">
    <w:name w:val="annotation text"/>
    <w:basedOn w:val="a"/>
    <w:link w:val="ad"/>
    <w:uiPriority w:val="99"/>
    <w:unhideWhenUsed/>
    <w:qFormat/>
    <w:rsid w:val="00FB46B2"/>
    <w:pPr>
      <w:jc w:val="left"/>
    </w:pPr>
  </w:style>
  <w:style w:type="character" w:customStyle="1" w:styleId="ad">
    <w:name w:val="批注文字 字符"/>
    <w:basedOn w:val="a0"/>
    <w:link w:val="ac"/>
    <w:uiPriority w:val="99"/>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aliases w:val="書式なし Char,書式なし Char1 Char,書式なし Char Char Char,書式なし Char1 Char Char Char,書式なし Char Char Char Char Char,書式なし Char1 Char Char Char Char Char,書式なし Char Char Char Char Char Char Char,書式なし Char2 Char Char Char Char Char Char Char,書式なし Char Char1 Ch"/>
    <w:basedOn w:val="a"/>
    <w:link w:val="af7"/>
    <w:qFormat/>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aliases w:val="書式なし Char 字符,書式なし Char1 Char 字符,書式なし Char Char Char 字符,書式なし Char1 Char Char Char 字符,書式なし Char Char Char Char Char 字符,書式なし Char1 Char Char Char Char Char 字符,書式なし Char Char Char Char Char Char Char 字符,書式なし Char Char1 Ch 字符"/>
    <w:basedOn w:val="a0"/>
    <w:link w:val="af6"/>
    <w:qFormat/>
    <w:rsid w:val="004C7137"/>
    <w:rPr>
      <w:rFonts w:asciiTheme="minorEastAsia" w:hAnsi="Courier New" w:cs="Courier New"/>
      <w:snapToGrid w:val="0"/>
      <w:sz w:val="32"/>
      <w:szCs w:val="32"/>
    </w:rPr>
  </w:style>
  <w:style w:type="table" w:styleId="af8">
    <w:name w:val="Table Grid"/>
    <w:basedOn w:val="a1"/>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iPriority w:val="99"/>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uiPriority w:val="99"/>
    <w:rsid w:val="004C7137"/>
    <w:rPr>
      <w:rFonts w:ascii="Times New Roman" w:eastAsia="仿宋_GB2312" w:hAnsi="Times New Roman" w:cs="Times New Roman"/>
      <w:snapToGrid w:val="0"/>
      <w:sz w:val="18"/>
      <w:szCs w:val="18"/>
    </w:rPr>
  </w:style>
  <w:style w:type="character" w:styleId="afd">
    <w:name w:val="footnote reference"/>
    <w:basedOn w:val="a0"/>
    <w:uiPriority w:val="99"/>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nhideWhenUsed/>
    <w:qFormat/>
    <w:rsid w:val="007B4B78"/>
    <w:rPr>
      <w:rFonts w:ascii="Cambria" w:eastAsia="黑体" w:hAnsi="Cambria"/>
      <w:sz w:val="20"/>
      <w:szCs w:val="20"/>
    </w:rPr>
  </w:style>
  <w:style w:type="character" w:customStyle="1" w:styleId="Char0">
    <w:name w:val="批注框文本 Char"/>
    <w:uiPriority w:val="99"/>
    <w:semiHidden/>
    <w:rsid w:val="00545B8B"/>
    <w:rPr>
      <w:rFonts w:ascii="Times New Roman" w:hAnsi="Times New Roman"/>
      <w:kern w:val="2"/>
      <w:sz w:val="18"/>
      <w:szCs w:val="18"/>
    </w:rPr>
  </w:style>
  <w:style w:type="character" w:customStyle="1" w:styleId="Char1">
    <w:name w:val="批注文字 Char"/>
    <w:uiPriority w:val="99"/>
    <w:rsid w:val="00545B8B"/>
    <w:rPr>
      <w:rFonts w:ascii="Times New Roman" w:hAnsi="Times New Roman"/>
      <w:kern w:val="2"/>
      <w:sz w:val="21"/>
      <w:szCs w:val="24"/>
    </w:rPr>
  </w:style>
  <w:style w:type="character" w:customStyle="1" w:styleId="aff3">
    <w:name w:val="无"/>
    <w:rsid w:val="00545B8B"/>
  </w:style>
  <w:style w:type="character" w:styleId="aff4">
    <w:name w:val="Strong"/>
    <w:qFormat/>
    <w:rsid w:val="005B570A"/>
    <w:rPr>
      <w:b/>
    </w:rPr>
  </w:style>
  <w:style w:type="character" w:customStyle="1" w:styleId="FontStyle47">
    <w:name w:val="Font Style47"/>
    <w:rsid w:val="005B570A"/>
    <w:rPr>
      <w:rFonts w:ascii="Times New Roman" w:hAnsi="Times New Roman" w:cs="Times New Roman"/>
      <w:sz w:val="22"/>
      <w:szCs w:val="22"/>
    </w:rPr>
  </w:style>
  <w:style w:type="character" w:customStyle="1" w:styleId="shorttext">
    <w:name w:val="short_text"/>
    <w:qFormat/>
    <w:rsid w:val="005B570A"/>
  </w:style>
  <w:style w:type="paragraph" w:customStyle="1" w:styleId="aff5">
    <w:name w:val="调查项目"/>
    <w:basedOn w:val="a"/>
    <w:qFormat/>
    <w:rsid w:val="005B570A"/>
    <w:pPr>
      <w:widowControl/>
      <w:jc w:val="left"/>
      <w:outlineLvl w:val="1"/>
    </w:pPr>
    <w:rPr>
      <w:rFonts w:ascii="Tahoma" w:eastAsia="黑体" w:hAnsi="Tahoma"/>
      <w:bCs/>
      <w:color w:val="333399"/>
      <w:kern w:val="0"/>
      <w:sz w:val="18"/>
      <w:szCs w:val="18"/>
    </w:rPr>
  </w:style>
  <w:style w:type="paragraph" w:customStyle="1" w:styleId="Aff6">
    <w:name w:val="正文 A"/>
    <w:rsid w:val="005B570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rsid w:val="005B570A"/>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rsid w:val="005B570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rsid w:val="005B570A"/>
    <w:pPr>
      <w:widowControl/>
      <w:jc w:val="center"/>
    </w:pPr>
    <w:rPr>
      <w:rFonts w:ascii="Tahoma" w:eastAsia="宋体" w:hAnsi="Tahoma"/>
      <w:kern w:val="0"/>
      <w:sz w:val="18"/>
      <w:szCs w:val="20"/>
    </w:rPr>
  </w:style>
  <w:style w:type="character" w:customStyle="1" w:styleId="14">
    <w:name w:val="纯文本 字符1"/>
    <w:uiPriority w:val="99"/>
    <w:locked/>
    <w:rsid w:val="003C0142"/>
    <w:rPr>
      <w:rFonts w:ascii="宋体" w:eastAsia="宋体" w:hAnsi="Courier New" w:cs="Courier New"/>
      <w:szCs w:val="21"/>
    </w:rPr>
  </w:style>
  <w:style w:type="paragraph" w:styleId="aff9">
    <w:name w:val="Normal (Web)"/>
    <w:basedOn w:val="a"/>
    <w:unhideWhenUsed/>
    <w:qFormat/>
    <w:rsid w:val="003C0142"/>
    <w:pPr>
      <w:widowControl/>
      <w:spacing w:before="63" w:after="63"/>
      <w:jc w:val="left"/>
    </w:pPr>
    <w:rPr>
      <w:rFonts w:ascii="宋体" w:eastAsia="宋体" w:hAnsi="宋体" w:cs="宋体"/>
      <w:kern w:val="0"/>
      <w:sz w:val="24"/>
    </w:rPr>
  </w:style>
  <w:style w:type="paragraph" w:styleId="affa">
    <w:name w:val="Title"/>
    <w:basedOn w:val="a"/>
    <w:next w:val="a"/>
    <w:link w:val="affb"/>
    <w:uiPriority w:val="10"/>
    <w:qFormat/>
    <w:rsid w:val="003C0142"/>
    <w:pPr>
      <w:spacing w:before="240" w:after="60"/>
      <w:jc w:val="center"/>
      <w:outlineLvl w:val="0"/>
    </w:pPr>
    <w:rPr>
      <w:rFonts w:asciiTheme="majorHAnsi" w:eastAsia="宋体" w:hAnsiTheme="majorHAnsi" w:cstheme="majorBidi"/>
      <w:b/>
      <w:bCs/>
      <w:szCs w:val="32"/>
    </w:rPr>
  </w:style>
  <w:style w:type="character" w:customStyle="1" w:styleId="affb">
    <w:name w:val="标题 字符"/>
    <w:basedOn w:val="a0"/>
    <w:link w:val="affa"/>
    <w:uiPriority w:val="10"/>
    <w:rsid w:val="003C0142"/>
    <w:rPr>
      <w:rFonts w:asciiTheme="majorHAnsi" w:eastAsia="宋体" w:hAnsiTheme="majorHAnsi" w:cstheme="majorBidi"/>
      <w:b/>
      <w:bCs/>
      <w:kern w:val="2"/>
      <w:sz w:val="32"/>
      <w:szCs w:val="32"/>
    </w:rPr>
  </w:style>
  <w:style w:type="character" w:customStyle="1" w:styleId="affc">
    <w:name w:val="文档结构图 字符"/>
    <w:basedOn w:val="a0"/>
    <w:link w:val="affd"/>
    <w:uiPriority w:val="99"/>
    <w:semiHidden/>
    <w:rsid w:val="003C0142"/>
    <w:rPr>
      <w:rFonts w:ascii="宋体" w:eastAsia="宋体"/>
      <w:kern w:val="2"/>
      <w:sz w:val="18"/>
      <w:szCs w:val="18"/>
    </w:rPr>
  </w:style>
  <w:style w:type="paragraph" w:styleId="affd">
    <w:name w:val="Document Map"/>
    <w:basedOn w:val="a"/>
    <w:link w:val="affc"/>
    <w:uiPriority w:val="99"/>
    <w:semiHidden/>
    <w:unhideWhenUsed/>
    <w:rsid w:val="003C0142"/>
    <w:rPr>
      <w:rFonts w:ascii="宋体" w:eastAsia="宋体" w:hAnsiTheme="minorHAnsi" w:cstheme="minorBidi"/>
      <w:sz w:val="18"/>
      <w:szCs w:val="18"/>
    </w:rPr>
  </w:style>
  <w:style w:type="character" w:customStyle="1" w:styleId="content-right8zs401">
    <w:name w:val="content-right_8zs401"/>
    <w:basedOn w:val="a0"/>
    <w:rsid w:val="003C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4675D-15E3-4E4B-B09F-B82662F6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2022-12-29T02:49:00Z</dcterms:created>
  <dcterms:modified xsi:type="dcterms:W3CDTF">2022-12-29T03:54:00Z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