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ascii="黑体" w:hAnsi="黑体" w:eastAsia="黑体" w:cs="黑体"/>
          <w:color w:val="auto"/>
          <w:sz w:val="32"/>
          <w:szCs w:val="32"/>
        </w:rPr>
      </w:pPr>
      <w:r>
        <w:rPr>
          <w:rFonts w:hint="eastAsia" w:ascii="黑体" w:hAnsi="黑体" w:eastAsia="黑体" w:cs="黑体"/>
          <w:color w:val="auto"/>
          <w:sz w:val="32"/>
          <w:szCs w:val="32"/>
        </w:rPr>
        <w:t>附件</w:t>
      </w:r>
    </w:p>
    <w:p>
      <w:pPr>
        <w:spacing w:line="560" w:lineRule="exact"/>
        <w:outlineLvl w:val="0"/>
        <w:rPr>
          <w:rFonts w:ascii="黑体" w:hAnsi="黑体" w:eastAsia="黑体" w:cs="黑体"/>
          <w:color w:val="auto"/>
          <w:sz w:val="32"/>
          <w:szCs w:val="32"/>
        </w:rPr>
      </w:pPr>
    </w:p>
    <w:p>
      <w:pPr>
        <w:spacing w:line="560" w:lineRule="exact"/>
        <w:jc w:val="center"/>
        <w:outlineLvl w:val="0"/>
        <w:rPr>
          <w:rFonts w:hint="eastAsia" w:ascii="方正小标宋简体" w:hAnsi="仿宋_GB2312" w:eastAsia="方正小标宋简体" w:cs="方正小标宋简体"/>
          <w:color w:val="auto"/>
          <w:sz w:val="44"/>
          <w:szCs w:val="44"/>
        </w:rPr>
      </w:pPr>
      <w:r>
        <w:rPr>
          <w:rFonts w:hint="eastAsia" w:ascii="方正小标宋简体" w:hAnsi="仿宋_GB2312" w:eastAsia="方正小标宋简体" w:cs="方正小标宋简体"/>
          <w:color w:val="auto"/>
          <w:sz w:val="44"/>
          <w:szCs w:val="44"/>
        </w:rPr>
        <w:t>糖化血红蛋白分析仪注册</w:t>
      </w:r>
      <w:r>
        <w:rPr>
          <w:rFonts w:hint="eastAsia" w:ascii="方正小标宋简体" w:hAnsi="仿宋_GB2312" w:eastAsia="方正小标宋简体" w:cs="方正小标宋简体"/>
          <w:color w:val="auto"/>
          <w:sz w:val="44"/>
          <w:szCs w:val="44"/>
          <w:lang w:val="en-US" w:eastAsia="zh-CN"/>
        </w:rPr>
        <w:t>审查</w:t>
      </w:r>
      <w:r>
        <w:rPr>
          <w:rFonts w:hint="eastAsia" w:ascii="方正小标宋简体" w:hAnsi="仿宋_GB2312" w:eastAsia="方正小标宋简体" w:cs="方正小标宋简体"/>
          <w:color w:val="auto"/>
          <w:sz w:val="44"/>
          <w:szCs w:val="44"/>
        </w:rPr>
        <w:t>指导原则</w:t>
      </w:r>
    </w:p>
    <w:p>
      <w:pPr>
        <w:spacing w:line="560" w:lineRule="exact"/>
        <w:jc w:val="center"/>
        <w:outlineLvl w:val="0"/>
        <w:rPr>
          <w:rFonts w:hint="eastAsia" w:ascii="方正小标宋简体" w:hAnsi="仿宋_GB2312" w:eastAsia="方正小标宋简体" w:cs="方正小标宋简体"/>
          <w:color w:val="auto"/>
          <w:sz w:val="44"/>
          <w:szCs w:val="44"/>
          <w:lang w:eastAsia="zh-CN"/>
        </w:rPr>
      </w:pPr>
      <w:r>
        <w:rPr>
          <w:rFonts w:hint="eastAsia" w:ascii="方正小标宋简体" w:hAnsi="仿宋_GB2312" w:eastAsia="方正小标宋简体" w:cs="方正小标宋简体"/>
          <w:color w:val="auto"/>
          <w:sz w:val="44"/>
          <w:szCs w:val="44"/>
          <w:lang w:eastAsia="zh-CN"/>
        </w:rPr>
        <w:t>（征求意见稿）</w:t>
      </w:r>
    </w:p>
    <w:p>
      <w:pPr>
        <w:spacing w:line="560" w:lineRule="exact"/>
        <w:jc w:val="center"/>
        <w:outlineLvl w:val="0"/>
        <w:rPr>
          <w:rFonts w:ascii="仿宋_GB2312" w:hAnsi="仿宋_GB2312" w:eastAsia="仿宋_GB2312" w:cs="方正小标宋简体"/>
          <w:color w:val="auto"/>
          <w:sz w:val="44"/>
          <w:szCs w:val="44"/>
        </w:rPr>
      </w:pPr>
    </w:p>
    <w:p>
      <w:pPr>
        <w:spacing w:line="52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本指导原则旨在指导注册申请人（以下简称申请人）对糖化血红蛋白分析仪注册申报资料的准备及撰写，同时也为技术审评部门审评注册申报资料提供参考。</w:t>
      </w:r>
    </w:p>
    <w:p>
      <w:pPr>
        <w:spacing w:line="52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本指导原则是对糖化血红蛋白分析仪的一般要求，申请人应依据产品的具体特性确定其中内容是否适用</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rPr>
        <w:t>若不适用，需具体阐述理由及相应的科学依据，并依据产品的具体特性对注册申报资料的内容进行充实和细化。</w:t>
      </w:r>
    </w:p>
    <w:p>
      <w:pPr>
        <w:spacing w:line="52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pPr>
        <w:spacing w:line="52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本指导原则是在现行法规、标准体系及当前认知水平下制定的，随着法规、标准体系的不断完善和科学技术的不断发展，本指导原则相关内容也将适时进行调整。</w:t>
      </w:r>
    </w:p>
    <w:p>
      <w:pPr>
        <w:spacing w:line="520" w:lineRule="exact"/>
        <w:ind w:firstLine="640" w:firstLineChars="200"/>
        <w:outlineLvl w:val="1"/>
        <w:rPr>
          <w:rFonts w:ascii="黑体" w:hAnsi="黑体" w:eastAsia="黑体" w:cs="黑体"/>
          <w:color w:val="auto"/>
          <w:kern w:val="0"/>
          <w:sz w:val="32"/>
          <w:szCs w:val="32"/>
        </w:rPr>
      </w:pPr>
      <w:bookmarkStart w:id="0" w:name="_Hlk69042049"/>
      <w:r>
        <w:rPr>
          <w:rFonts w:hint="eastAsia" w:ascii="黑体" w:hAnsi="黑体" w:eastAsia="黑体" w:cs="黑体"/>
          <w:color w:val="auto"/>
          <w:kern w:val="0"/>
          <w:sz w:val="32"/>
          <w:szCs w:val="32"/>
        </w:rPr>
        <w:t>一、适用范围</w:t>
      </w:r>
    </w:p>
    <w:p>
      <w:pPr>
        <w:spacing w:line="520" w:lineRule="exact"/>
        <w:ind w:firstLine="640" w:firstLineChars="200"/>
        <w:rPr>
          <w:rFonts w:ascii="仿宋_GB2312" w:hAnsi="仿宋_GB2312" w:eastAsia="仿宋_GB2312"/>
          <w:color w:val="auto"/>
          <w:kern w:val="0"/>
          <w:sz w:val="32"/>
          <w:szCs w:val="32"/>
        </w:rPr>
      </w:pPr>
      <w:r>
        <w:rPr>
          <w:rFonts w:ascii="仿宋_GB2312" w:hAnsi="仿宋_GB2312" w:eastAsia="仿宋_GB2312"/>
          <w:color w:val="auto"/>
          <w:sz w:val="32"/>
          <w:szCs w:val="32"/>
        </w:rPr>
        <w:t>糖化血红蛋白（HemoglobinA1c</w:t>
      </w:r>
      <w:r>
        <w:rPr>
          <w:rFonts w:hint="eastAsia" w:ascii="仿宋_GB2312" w:hAnsi="仿宋_GB2312" w:eastAsia="仿宋_GB2312"/>
          <w:color w:val="auto"/>
          <w:sz w:val="32"/>
          <w:szCs w:val="32"/>
          <w:lang w:eastAsia="zh-CN"/>
        </w:rPr>
        <w:t>，</w:t>
      </w:r>
      <w:r>
        <w:rPr>
          <w:rFonts w:ascii="仿宋_GB2312" w:hAnsi="仿宋_GB2312" w:eastAsia="仿宋_GB2312"/>
          <w:color w:val="auto"/>
          <w:sz w:val="32"/>
          <w:szCs w:val="32"/>
        </w:rPr>
        <w:t>HbA1c）</w:t>
      </w:r>
      <w:r>
        <w:rPr>
          <w:rFonts w:hint="eastAsia" w:ascii="仿宋_GB2312" w:hAnsi="仿宋_GB2312" w:eastAsia="仿宋_GB2312"/>
          <w:color w:val="auto"/>
          <w:sz w:val="32"/>
          <w:szCs w:val="32"/>
        </w:rPr>
        <w:t>是指</w:t>
      </w:r>
      <w:r>
        <w:rPr>
          <w:rFonts w:ascii="仿宋_GB2312" w:hAnsi="仿宋_GB2312" w:eastAsia="仿宋_GB2312"/>
          <w:color w:val="auto"/>
          <w:sz w:val="32"/>
          <w:szCs w:val="32"/>
        </w:rPr>
        <w:t>人体血液中葡萄糖与血红蛋白β链N末端缬氨酸残基以共价键结合的稳定的化合物,全称为:血红蛋白β链(血液)-N-(1-脱氧果糖-1-基)血红蛋白β链。</w:t>
      </w:r>
    </w:p>
    <w:p>
      <w:pPr>
        <w:spacing w:line="52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血红蛋白由4条多肽链构成的珠蛋白和4个血红素辅基组成，珠蛋白的肽链共有</w:t>
      </w:r>
      <w:r>
        <w:rPr>
          <w:rFonts w:hint="default" w:ascii="仿宋_GB2312" w:hAnsi="仿宋_GB2312" w:eastAsia="仿宋_GB2312"/>
          <w:color w:val="auto"/>
          <w:kern w:val="2"/>
          <w:sz w:val="32"/>
          <w:szCs w:val="32"/>
        </w:rPr>
        <w:t>α、β、γ、δ、ε、ζ六种。正常人血红蛋白有以下</w:t>
      </w:r>
      <w:r>
        <w:rPr>
          <w:rFonts w:ascii="仿宋_GB2312" w:hAnsi="仿宋_GB2312" w:eastAsia="仿宋_GB2312"/>
          <w:color w:val="auto"/>
          <w:kern w:val="2"/>
          <w:sz w:val="32"/>
          <w:szCs w:val="32"/>
        </w:rPr>
        <w:t>3</w:t>
      </w:r>
      <w:r>
        <w:rPr>
          <w:rFonts w:hint="default" w:ascii="仿宋_GB2312" w:hAnsi="仿宋_GB2312" w:eastAsia="仿宋_GB2312"/>
          <w:color w:val="auto"/>
          <w:kern w:val="2"/>
          <w:sz w:val="32"/>
          <w:szCs w:val="32"/>
        </w:rPr>
        <w:t>种：</w:t>
      </w:r>
      <w:r>
        <w:rPr>
          <w:rFonts w:hint="eastAsia" w:ascii="仿宋_GB2312" w:hAnsi="仿宋_GB2312" w:eastAsia="仿宋_GB2312"/>
          <w:color w:val="auto"/>
          <w:kern w:val="0"/>
          <w:sz w:val="32"/>
          <w:szCs w:val="32"/>
        </w:rPr>
        <w:t>①血红蛋白A（HbA）为正常人的主要血红蛋白，由一对α链和一对β链组成（α</w:t>
      </w:r>
      <w:r>
        <w:rPr>
          <w:rFonts w:hint="eastAsia" w:ascii="仿宋_GB2312" w:hAnsi="仿宋_GB2312" w:eastAsia="仿宋_GB2312"/>
          <w:color w:val="auto"/>
          <w:kern w:val="0"/>
          <w:sz w:val="32"/>
          <w:szCs w:val="32"/>
          <w:vertAlign w:val="subscript"/>
        </w:rPr>
        <w:t>2</w:t>
      </w:r>
      <w:r>
        <w:rPr>
          <w:rFonts w:hint="eastAsia" w:ascii="仿宋_GB2312" w:hAnsi="仿宋_GB2312" w:eastAsia="仿宋_GB2312"/>
          <w:color w:val="auto"/>
          <w:kern w:val="0"/>
          <w:sz w:val="32"/>
          <w:szCs w:val="32"/>
        </w:rPr>
        <w:t>β</w:t>
      </w:r>
      <w:r>
        <w:rPr>
          <w:rFonts w:hint="eastAsia" w:ascii="仿宋_GB2312" w:hAnsi="仿宋_GB2312" w:eastAsia="仿宋_GB2312"/>
          <w:color w:val="auto"/>
          <w:kern w:val="0"/>
          <w:sz w:val="32"/>
          <w:szCs w:val="32"/>
          <w:vertAlign w:val="subscript"/>
        </w:rPr>
        <w:t>2</w:t>
      </w:r>
      <w:r>
        <w:rPr>
          <w:rFonts w:hint="eastAsia" w:ascii="仿宋_GB2312" w:hAnsi="仿宋_GB2312" w:eastAsia="仿宋_GB2312"/>
          <w:color w:val="auto"/>
          <w:kern w:val="0"/>
          <w:sz w:val="32"/>
          <w:szCs w:val="32"/>
        </w:rPr>
        <w:t>）</w:t>
      </w:r>
      <w:r>
        <w:rPr>
          <w:rFonts w:hint="eastAsia" w:hAnsi="仿宋_GB2312" w:eastAsia="仿宋_GB2312"/>
          <w:color w:val="auto"/>
          <w:kern w:val="0"/>
          <w:sz w:val="32"/>
          <w:szCs w:val="32"/>
        </w:rPr>
        <w:t>，</w:t>
      </w:r>
      <w:r>
        <w:rPr>
          <w:rFonts w:hint="eastAsia" w:ascii="仿宋_GB2312" w:hAnsi="仿宋_GB2312" w:eastAsia="仿宋_GB2312"/>
          <w:color w:val="auto"/>
          <w:kern w:val="0"/>
          <w:sz w:val="32"/>
          <w:szCs w:val="32"/>
        </w:rPr>
        <w:t>占总血红蛋白的95%以上；②血红蛋白A</w:t>
      </w:r>
      <w:r>
        <w:rPr>
          <w:rFonts w:hint="eastAsia" w:ascii="仿宋_GB2312" w:hAnsi="仿宋_GB2312" w:eastAsia="仿宋_GB2312"/>
          <w:color w:val="auto"/>
          <w:kern w:val="0"/>
          <w:sz w:val="32"/>
          <w:szCs w:val="32"/>
          <w:vertAlign w:val="subscript"/>
        </w:rPr>
        <w:t>2</w:t>
      </w:r>
      <w:r>
        <w:rPr>
          <w:rFonts w:hint="eastAsia" w:ascii="仿宋_GB2312" w:hAnsi="仿宋_GB2312" w:eastAsia="仿宋_GB2312"/>
          <w:color w:val="auto"/>
          <w:kern w:val="0"/>
          <w:sz w:val="32"/>
          <w:szCs w:val="32"/>
        </w:rPr>
        <w:t>（HbA</w:t>
      </w:r>
      <w:r>
        <w:rPr>
          <w:rFonts w:hint="eastAsia" w:ascii="仿宋_GB2312" w:hAnsi="仿宋_GB2312" w:eastAsia="仿宋_GB2312"/>
          <w:color w:val="auto"/>
          <w:kern w:val="0"/>
          <w:sz w:val="32"/>
          <w:szCs w:val="32"/>
          <w:vertAlign w:val="subscript"/>
        </w:rPr>
        <w:t>2</w:t>
      </w:r>
      <w:r>
        <w:rPr>
          <w:rFonts w:hint="eastAsia" w:ascii="仿宋_GB2312" w:hAnsi="仿宋_GB2312" w:eastAsia="仿宋_GB2312"/>
          <w:color w:val="auto"/>
          <w:kern w:val="0"/>
          <w:sz w:val="32"/>
          <w:szCs w:val="32"/>
        </w:rPr>
        <w:t>），由一对α链和一对δ链组成（α</w:t>
      </w:r>
      <w:r>
        <w:rPr>
          <w:rFonts w:hint="eastAsia" w:ascii="仿宋_GB2312" w:hAnsi="仿宋_GB2312" w:eastAsia="仿宋_GB2312"/>
          <w:color w:val="auto"/>
          <w:kern w:val="0"/>
          <w:sz w:val="32"/>
          <w:szCs w:val="32"/>
          <w:vertAlign w:val="subscript"/>
        </w:rPr>
        <w:t>2</w:t>
      </w:r>
      <w:r>
        <w:rPr>
          <w:rFonts w:hint="eastAsia" w:ascii="仿宋_GB2312" w:hAnsi="仿宋_GB2312" w:eastAsia="仿宋_GB2312"/>
          <w:color w:val="auto"/>
          <w:kern w:val="0"/>
          <w:sz w:val="32"/>
          <w:szCs w:val="32"/>
        </w:rPr>
        <w:t>δ</w:t>
      </w:r>
      <w:r>
        <w:rPr>
          <w:rFonts w:hint="eastAsia" w:ascii="仿宋_GB2312" w:hAnsi="仿宋_GB2312" w:eastAsia="仿宋_GB2312"/>
          <w:color w:val="auto"/>
          <w:kern w:val="0"/>
          <w:sz w:val="32"/>
          <w:szCs w:val="32"/>
          <w:vertAlign w:val="subscript"/>
        </w:rPr>
        <w:t>2</w:t>
      </w:r>
      <w:r>
        <w:rPr>
          <w:rFonts w:hint="eastAsia" w:ascii="仿宋_GB2312" w:hAnsi="仿宋_GB2312" w:eastAsia="仿宋_GB2312"/>
          <w:color w:val="auto"/>
          <w:kern w:val="0"/>
          <w:sz w:val="32"/>
          <w:szCs w:val="32"/>
        </w:rPr>
        <w:t>），占总血红蛋白的2.5%左右；③胎儿血红蛋白（HbF），由一对α链和一对γ链组成（α</w:t>
      </w:r>
      <w:r>
        <w:rPr>
          <w:rFonts w:hint="eastAsia" w:ascii="仿宋_GB2312" w:hAnsi="仿宋_GB2312" w:eastAsia="仿宋_GB2312"/>
          <w:color w:val="auto"/>
          <w:kern w:val="0"/>
          <w:sz w:val="32"/>
          <w:szCs w:val="32"/>
          <w:vertAlign w:val="subscript"/>
        </w:rPr>
        <w:t>2</w:t>
      </w:r>
      <w:r>
        <w:rPr>
          <w:rFonts w:hint="eastAsia" w:ascii="仿宋_GB2312" w:hAnsi="仿宋_GB2312" w:eastAsia="仿宋_GB2312"/>
          <w:color w:val="auto"/>
          <w:kern w:val="0"/>
          <w:sz w:val="32"/>
          <w:szCs w:val="32"/>
        </w:rPr>
        <w:t>γ</w:t>
      </w:r>
      <w:r>
        <w:rPr>
          <w:rFonts w:hint="eastAsia" w:ascii="仿宋_GB2312" w:hAnsi="仿宋_GB2312" w:eastAsia="仿宋_GB2312"/>
          <w:color w:val="auto"/>
          <w:kern w:val="0"/>
          <w:sz w:val="32"/>
          <w:szCs w:val="32"/>
          <w:vertAlign w:val="subscript"/>
        </w:rPr>
        <w:t>2</w:t>
      </w:r>
      <w:r>
        <w:rPr>
          <w:rFonts w:hint="eastAsia" w:ascii="仿宋_GB2312" w:hAnsi="仿宋_GB2312" w:eastAsia="仿宋_GB2312"/>
          <w:color w:val="auto"/>
          <w:kern w:val="0"/>
          <w:sz w:val="32"/>
          <w:szCs w:val="32"/>
        </w:rPr>
        <w:t>），约占总血红蛋白的0.5%。血红蛋白分子上的N-末端缬氨酸以及α链和β链的赖氨酸残基与包括葡萄糖在内的糖类进行反应生成的产物称为总糖基化血红蛋白</w:t>
      </w:r>
      <w:r>
        <w:rPr>
          <w:rFonts w:ascii="仿宋_GB2312" w:hAnsi="仿宋_GB2312" w:eastAsia="仿宋_GB2312"/>
          <w:color w:val="auto"/>
          <w:kern w:val="0"/>
          <w:sz w:val="32"/>
          <w:szCs w:val="32"/>
        </w:rPr>
        <w:t>(glycated hemoglobin</w:t>
      </w:r>
      <w:r>
        <w:rPr>
          <w:rFonts w:hint="eastAsia" w:ascii="仿宋_GB2312" w:hAnsi="仿宋_GB2312" w:eastAsia="仿宋_GB2312"/>
          <w:color w:val="auto"/>
          <w:kern w:val="0"/>
          <w:sz w:val="32"/>
          <w:szCs w:val="32"/>
        </w:rPr>
        <w:t>，</w:t>
      </w:r>
      <w:r>
        <w:rPr>
          <w:rFonts w:ascii="仿宋_GB2312" w:hAnsi="仿宋_GB2312" w:eastAsia="仿宋_GB2312"/>
          <w:color w:val="auto"/>
          <w:kern w:val="0"/>
          <w:sz w:val="32"/>
          <w:szCs w:val="32"/>
        </w:rPr>
        <w:t>GHb)</w:t>
      </w:r>
      <w:r>
        <w:rPr>
          <w:rFonts w:hint="eastAsia" w:ascii="仿宋_GB2312" w:hAnsi="仿宋_GB2312" w:eastAsia="仿宋_GB2312"/>
          <w:color w:val="auto"/>
          <w:kern w:val="0"/>
          <w:sz w:val="32"/>
          <w:szCs w:val="32"/>
        </w:rPr>
        <w:t>。其中，血红蛋白A及其衍生物根据所带电荷不同以及采用电泳法迁移顺序不同，分别被命名为HbA0、</w:t>
      </w:r>
      <w:r>
        <w:rPr>
          <w:rFonts w:ascii="仿宋_GB2312" w:hAnsi="仿宋_GB2312" w:eastAsia="仿宋_GB2312"/>
          <w:color w:val="auto"/>
          <w:kern w:val="0"/>
          <w:sz w:val="32"/>
          <w:szCs w:val="32"/>
        </w:rPr>
        <w:t>HbA1a1</w:t>
      </w:r>
      <w:r>
        <w:rPr>
          <w:rFonts w:hint="eastAsia" w:ascii="仿宋_GB2312" w:hAnsi="仿宋_GB2312" w:eastAsia="仿宋_GB2312"/>
          <w:color w:val="auto"/>
          <w:kern w:val="0"/>
          <w:sz w:val="32"/>
          <w:szCs w:val="32"/>
        </w:rPr>
        <w:t>、</w:t>
      </w:r>
      <w:r>
        <w:rPr>
          <w:rFonts w:ascii="仿宋_GB2312" w:hAnsi="仿宋_GB2312" w:eastAsia="仿宋_GB2312"/>
          <w:color w:val="auto"/>
          <w:kern w:val="0"/>
          <w:sz w:val="32"/>
          <w:szCs w:val="32"/>
        </w:rPr>
        <w:t>HbA1</w:t>
      </w:r>
      <w:r>
        <w:rPr>
          <w:rFonts w:hint="eastAsia" w:ascii="仿宋_GB2312" w:hAnsi="仿宋_GB2312" w:eastAsia="仿宋_GB2312"/>
          <w:color w:val="auto"/>
          <w:kern w:val="0"/>
          <w:sz w:val="32"/>
          <w:szCs w:val="32"/>
        </w:rPr>
        <w:t>a</w:t>
      </w:r>
      <w:r>
        <w:rPr>
          <w:rFonts w:ascii="仿宋_GB2312" w:hAnsi="仿宋_GB2312" w:eastAsia="仿宋_GB2312"/>
          <w:color w:val="auto"/>
          <w:kern w:val="0"/>
          <w:sz w:val="32"/>
          <w:szCs w:val="32"/>
        </w:rPr>
        <w:t>2</w:t>
      </w:r>
      <w:r>
        <w:rPr>
          <w:rFonts w:hint="eastAsia" w:ascii="仿宋_GB2312" w:hAnsi="仿宋_GB2312" w:eastAsia="仿宋_GB2312"/>
          <w:color w:val="auto"/>
          <w:kern w:val="0"/>
          <w:sz w:val="32"/>
          <w:szCs w:val="32"/>
        </w:rPr>
        <w:t>、</w:t>
      </w:r>
      <w:r>
        <w:rPr>
          <w:rFonts w:ascii="仿宋_GB2312" w:hAnsi="仿宋_GB2312" w:eastAsia="仿宋_GB2312"/>
          <w:color w:val="auto"/>
          <w:kern w:val="0"/>
          <w:sz w:val="32"/>
          <w:szCs w:val="32"/>
        </w:rPr>
        <w:t>HbA1b</w:t>
      </w:r>
      <w:r>
        <w:rPr>
          <w:rFonts w:hint="eastAsia" w:ascii="仿宋_GB2312" w:hAnsi="仿宋_GB2312" w:eastAsia="仿宋_GB2312"/>
          <w:color w:val="auto"/>
          <w:kern w:val="0"/>
          <w:sz w:val="32"/>
          <w:szCs w:val="32"/>
        </w:rPr>
        <w:t>、和HbA</w:t>
      </w:r>
      <w:r>
        <w:rPr>
          <w:rFonts w:ascii="仿宋_GB2312" w:hAnsi="仿宋_GB2312" w:eastAsia="仿宋_GB2312"/>
          <w:color w:val="auto"/>
          <w:kern w:val="0"/>
          <w:sz w:val="32"/>
          <w:szCs w:val="32"/>
        </w:rPr>
        <w:t>1</w:t>
      </w:r>
      <w:r>
        <w:rPr>
          <w:rFonts w:hint="eastAsia" w:ascii="仿宋_GB2312" w:hAnsi="仿宋_GB2312" w:eastAsia="仿宋_GB2312"/>
          <w:color w:val="auto"/>
          <w:kern w:val="0"/>
          <w:sz w:val="32"/>
          <w:szCs w:val="32"/>
        </w:rPr>
        <w:t>c（</w:t>
      </w:r>
      <w:r>
        <w:rPr>
          <w:rFonts w:ascii="仿宋_GB2312" w:hAnsi="仿宋_GB2312" w:eastAsia="仿宋_GB2312"/>
          <w:color w:val="auto"/>
          <w:kern w:val="0"/>
          <w:sz w:val="32"/>
          <w:szCs w:val="32"/>
        </w:rPr>
        <w:t>Hemoglobin A1c</w:t>
      </w:r>
      <w:r>
        <w:rPr>
          <w:rFonts w:hint="eastAsia" w:ascii="仿宋_GB2312" w:hAnsi="仿宋_GB2312" w:eastAsia="仿宋_GB2312"/>
          <w:color w:val="auto"/>
          <w:kern w:val="0"/>
          <w:sz w:val="32"/>
          <w:szCs w:val="32"/>
        </w:rPr>
        <w:t>，</w:t>
      </w:r>
      <w:r>
        <w:rPr>
          <w:rFonts w:ascii="仿宋_GB2312" w:hAnsi="仿宋_GB2312" w:eastAsia="仿宋_GB2312"/>
          <w:color w:val="auto"/>
          <w:kern w:val="0"/>
          <w:sz w:val="32"/>
          <w:szCs w:val="32"/>
        </w:rPr>
        <w:t>HbA1c</w:t>
      </w:r>
      <w:r>
        <w:rPr>
          <w:rFonts w:hint="eastAsia" w:ascii="仿宋_GB2312" w:hAnsi="仿宋_GB2312" w:eastAsia="仿宋_GB2312"/>
          <w:color w:val="auto"/>
          <w:kern w:val="0"/>
          <w:sz w:val="32"/>
          <w:szCs w:val="32"/>
        </w:rPr>
        <w:t>），其中没有糖基化的血红蛋白A，被命名为HbA0。</w:t>
      </w:r>
      <w:r>
        <w:rPr>
          <w:rFonts w:ascii="仿宋_GB2312" w:hAnsi="仿宋_GB2312" w:eastAsia="仿宋_GB2312"/>
          <w:color w:val="auto"/>
          <w:kern w:val="0"/>
          <w:sz w:val="32"/>
          <w:szCs w:val="32"/>
        </w:rPr>
        <w:t>HbA1a1</w:t>
      </w:r>
      <w:r>
        <w:rPr>
          <w:rFonts w:hint="eastAsia" w:ascii="仿宋_GB2312" w:hAnsi="仿宋_GB2312" w:eastAsia="仿宋_GB2312"/>
          <w:color w:val="auto"/>
          <w:kern w:val="0"/>
          <w:sz w:val="32"/>
          <w:szCs w:val="32"/>
        </w:rPr>
        <w:t>、</w:t>
      </w:r>
      <w:r>
        <w:rPr>
          <w:rFonts w:ascii="仿宋_GB2312" w:hAnsi="仿宋_GB2312" w:eastAsia="仿宋_GB2312"/>
          <w:color w:val="auto"/>
          <w:kern w:val="0"/>
          <w:sz w:val="32"/>
          <w:szCs w:val="32"/>
        </w:rPr>
        <w:t>HbA1</w:t>
      </w:r>
      <w:r>
        <w:rPr>
          <w:rFonts w:hint="eastAsia" w:ascii="仿宋_GB2312" w:hAnsi="仿宋_GB2312" w:eastAsia="仿宋_GB2312"/>
          <w:color w:val="auto"/>
          <w:kern w:val="0"/>
          <w:sz w:val="32"/>
          <w:szCs w:val="32"/>
        </w:rPr>
        <w:t>a</w:t>
      </w:r>
      <w:r>
        <w:rPr>
          <w:rFonts w:ascii="仿宋_GB2312" w:hAnsi="仿宋_GB2312" w:eastAsia="仿宋_GB2312"/>
          <w:color w:val="auto"/>
          <w:kern w:val="0"/>
          <w:sz w:val="32"/>
          <w:szCs w:val="32"/>
        </w:rPr>
        <w:t>2</w:t>
      </w:r>
      <w:r>
        <w:rPr>
          <w:rFonts w:hint="eastAsia" w:ascii="仿宋_GB2312" w:hAnsi="仿宋_GB2312" w:eastAsia="仿宋_GB2312"/>
          <w:color w:val="auto"/>
          <w:kern w:val="0"/>
          <w:sz w:val="32"/>
          <w:szCs w:val="32"/>
        </w:rPr>
        <w:t>、</w:t>
      </w:r>
      <w:r>
        <w:rPr>
          <w:rFonts w:ascii="仿宋_GB2312" w:hAnsi="仿宋_GB2312" w:eastAsia="仿宋_GB2312"/>
          <w:color w:val="auto"/>
          <w:kern w:val="0"/>
          <w:sz w:val="32"/>
          <w:szCs w:val="32"/>
        </w:rPr>
        <w:t>HbA1b</w:t>
      </w:r>
      <w:r>
        <w:rPr>
          <w:rFonts w:hint="eastAsia" w:ascii="仿宋_GB2312" w:hAnsi="仿宋_GB2312" w:eastAsia="仿宋_GB2312"/>
          <w:color w:val="auto"/>
          <w:kern w:val="0"/>
          <w:sz w:val="32"/>
          <w:szCs w:val="32"/>
        </w:rPr>
        <w:t>、和HbA</w:t>
      </w:r>
      <w:r>
        <w:rPr>
          <w:rFonts w:ascii="仿宋_GB2312" w:hAnsi="仿宋_GB2312" w:eastAsia="仿宋_GB2312"/>
          <w:color w:val="auto"/>
          <w:kern w:val="0"/>
          <w:sz w:val="32"/>
          <w:szCs w:val="32"/>
        </w:rPr>
        <w:t>1</w:t>
      </w:r>
      <w:r>
        <w:rPr>
          <w:rFonts w:hint="eastAsia" w:ascii="仿宋_GB2312" w:hAnsi="仿宋_GB2312" w:eastAsia="仿宋_GB2312"/>
          <w:color w:val="auto"/>
          <w:kern w:val="0"/>
          <w:sz w:val="32"/>
          <w:szCs w:val="32"/>
        </w:rPr>
        <w:t>c由于糖基化导致净电荷改变而被测量到，形成了稳定的糖化血红蛋白（称之为“总A1”），HbA</w:t>
      </w:r>
      <w:r>
        <w:rPr>
          <w:rFonts w:ascii="仿宋_GB2312" w:hAnsi="仿宋_GB2312" w:eastAsia="仿宋_GB2312"/>
          <w:color w:val="auto"/>
          <w:kern w:val="0"/>
          <w:sz w:val="32"/>
          <w:szCs w:val="32"/>
        </w:rPr>
        <w:t>1</w:t>
      </w:r>
      <w:r>
        <w:rPr>
          <w:rFonts w:hint="eastAsia" w:ascii="仿宋_GB2312" w:hAnsi="仿宋_GB2312" w:eastAsia="仿宋_GB2312"/>
          <w:color w:val="auto"/>
          <w:kern w:val="0"/>
          <w:sz w:val="32"/>
          <w:szCs w:val="32"/>
        </w:rPr>
        <w:t>c约占总糖基化血红蛋白（G</w:t>
      </w:r>
      <w:r>
        <w:rPr>
          <w:rFonts w:ascii="仿宋_GB2312" w:hAnsi="仿宋_GB2312" w:eastAsia="仿宋_GB2312"/>
          <w:color w:val="auto"/>
          <w:kern w:val="0"/>
          <w:sz w:val="32"/>
          <w:szCs w:val="32"/>
        </w:rPr>
        <w:t>H</w:t>
      </w:r>
      <w:r>
        <w:rPr>
          <w:rFonts w:hint="eastAsia" w:ascii="仿宋_GB2312" w:hAnsi="仿宋_GB2312" w:eastAsia="仿宋_GB2312"/>
          <w:color w:val="auto"/>
          <w:kern w:val="0"/>
          <w:sz w:val="32"/>
          <w:szCs w:val="32"/>
        </w:rPr>
        <w:t>b）的6</w:t>
      </w:r>
      <w:r>
        <w:rPr>
          <w:rFonts w:ascii="仿宋_GB2312" w:hAnsi="仿宋_GB2312" w:eastAsia="仿宋_GB2312"/>
          <w:color w:val="auto"/>
          <w:kern w:val="0"/>
          <w:sz w:val="32"/>
          <w:szCs w:val="32"/>
        </w:rPr>
        <w:t>0</w:t>
      </w:r>
      <w:r>
        <w:rPr>
          <w:rFonts w:hint="eastAsia" w:ascii="仿宋_GB2312" w:hAnsi="仿宋_GB2312" w:eastAsia="仿宋_GB2312"/>
          <w:color w:val="auto"/>
          <w:kern w:val="0"/>
          <w:sz w:val="32"/>
          <w:szCs w:val="32"/>
        </w:rPr>
        <w:t>%。</w:t>
      </w:r>
    </w:p>
    <w:p>
      <w:pPr>
        <w:spacing w:line="52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由于HbA</w:t>
      </w:r>
      <w:r>
        <w:rPr>
          <w:rFonts w:ascii="仿宋_GB2312" w:hAnsi="仿宋_GB2312" w:eastAsia="仿宋_GB2312"/>
          <w:color w:val="auto"/>
          <w:kern w:val="0"/>
          <w:sz w:val="32"/>
          <w:szCs w:val="32"/>
        </w:rPr>
        <w:t>1</w:t>
      </w:r>
      <w:r>
        <w:rPr>
          <w:rFonts w:hint="eastAsia" w:ascii="仿宋_GB2312" w:hAnsi="仿宋_GB2312" w:eastAsia="仿宋_GB2312"/>
          <w:color w:val="auto"/>
          <w:kern w:val="0"/>
          <w:sz w:val="32"/>
          <w:szCs w:val="32"/>
        </w:rPr>
        <w:t>c可以反映测定前120天的平均血糖水平，且个体内生物学变异小于2.0%，临床上被用于糖尿病及其相关疾病的预防、诊断和治疗。</w:t>
      </w:r>
      <w:r>
        <w:rPr>
          <w:rFonts w:ascii="仿宋_GB2312" w:hAnsi="仿宋_GB2312" w:eastAsia="仿宋_GB2312"/>
          <w:color w:val="auto"/>
          <w:kern w:val="0"/>
          <w:sz w:val="32"/>
          <w:szCs w:val="32"/>
        </w:rPr>
        <w:t>2009</w:t>
      </w:r>
      <w:r>
        <w:rPr>
          <w:rFonts w:hint="eastAsia" w:ascii="仿宋_GB2312" w:hAnsi="仿宋_GB2312" w:eastAsia="仿宋_GB2312"/>
          <w:color w:val="auto"/>
          <w:kern w:val="0"/>
          <w:sz w:val="32"/>
          <w:szCs w:val="32"/>
        </w:rPr>
        <w:t>年，美国糖尿病协会</w:t>
      </w:r>
      <w:r>
        <w:rPr>
          <w:rFonts w:ascii="Calibri" w:hAnsi="Calibri" w:eastAsia="仿宋_GB2312" w:cs="Calibri"/>
          <w:color w:val="auto"/>
          <w:kern w:val="0"/>
          <w:sz w:val="32"/>
          <w:szCs w:val="32"/>
        </w:rPr>
        <w:t> </w:t>
      </w:r>
      <w:r>
        <w:rPr>
          <w:rFonts w:hint="eastAsia" w:ascii="仿宋_GB2312" w:hAnsi="仿宋_GB2312" w:eastAsia="仿宋_GB2312"/>
          <w:color w:val="auto"/>
          <w:kern w:val="0"/>
          <w:sz w:val="32"/>
          <w:szCs w:val="32"/>
        </w:rPr>
        <w:t>（</w:t>
      </w:r>
      <w:r>
        <w:rPr>
          <w:rFonts w:ascii="仿宋_GB2312" w:hAnsi="仿宋_GB2312" w:eastAsia="仿宋_GB2312"/>
          <w:color w:val="auto"/>
          <w:kern w:val="0"/>
          <w:sz w:val="32"/>
          <w:szCs w:val="32"/>
        </w:rPr>
        <w:t>ADA</w:t>
      </w:r>
      <w:r>
        <w:rPr>
          <w:rFonts w:hint="eastAsia" w:ascii="仿宋_GB2312" w:hAnsi="仿宋_GB2312" w:eastAsia="仿宋_GB2312"/>
          <w:color w:val="auto"/>
          <w:kern w:val="0"/>
          <w:sz w:val="32"/>
          <w:szCs w:val="32"/>
        </w:rPr>
        <w:t>）、欧洲糖尿病研究学会（</w:t>
      </w:r>
      <w:r>
        <w:rPr>
          <w:rFonts w:ascii="仿宋_GB2312" w:hAnsi="仿宋_GB2312" w:eastAsia="仿宋_GB2312"/>
          <w:color w:val="auto"/>
          <w:kern w:val="0"/>
          <w:sz w:val="32"/>
          <w:szCs w:val="32"/>
        </w:rPr>
        <w:t>EASD</w:t>
      </w:r>
      <w:r>
        <w:rPr>
          <w:rFonts w:hint="eastAsia" w:ascii="仿宋_GB2312" w:hAnsi="仿宋_GB2312" w:eastAsia="仿宋_GB2312"/>
          <w:color w:val="auto"/>
          <w:kern w:val="0"/>
          <w:sz w:val="32"/>
          <w:szCs w:val="32"/>
        </w:rPr>
        <w:t>）、国际糖尿病联盟（</w:t>
      </w:r>
      <w:r>
        <w:rPr>
          <w:rFonts w:ascii="仿宋_GB2312" w:hAnsi="仿宋_GB2312" w:eastAsia="仿宋_GB2312"/>
          <w:color w:val="auto"/>
          <w:kern w:val="0"/>
          <w:sz w:val="32"/>
          <w:szCs w:val="32"/>
        </w:rPr>
        <w:t>IDF</w:t>
      </w:r>
      <w:r>
        <w:rPr>
          <w:rFonts w:hint="eastAsia" w:ascii="仿宋_GB2312" w:hAnsi="仿宋_GB2312" w:eastAsia="仿宋_GB2312"/>
          <w:color w:val="auto"/>
          <w:kern w:val="0"/>
          <w:sz w:val="32"/>
          <w:szCs w:val="32"/>
        </w:rPr>
        <w:t>）和国际临床化学和检验医学联合会（</w:t>
      </w:r>
      <w:r>
        <w:rPr>
          <w:rFonts w:ascii="仿宋_GB2312" w:hAnsi="仿宋_GB2312" w:eastAsia="仿宋_GB2312"/>
          <w:color w:val="auto"/>
          <w:kern w:val="0"/>
          <w:sz w:val="32"/>
          <w:szCs w:val="32"/>
        </w:rPr>
        <w:t>IFCC</w:t>
      </w:r>
      <w:r>
        <w:rPr>
          <w:rFonts w:hint="eastAsia" w:ascii="仿宋_GB2312" w:hAnsi="仿宋_GB2312" w:eastAsia="仿宋_GB2312"/>
          <w:color w:val="auto"/>
          <w:kern w:val="0"/>
          <w:sz w:val="32"/>
          <w:szCs w:val="32"/>
        </w:rPr>
        <w:t>）共同推荐</w:t>
      </w:r>
      <w:r>
        <w:rPr>
          <w:rFonts w:ascii="仿宋_GB2312" w:hAnsi="仿宋_GB2312" w:eastAsia="仿宋_GB2312"/>
          <w:color w:val="auto"/>
          <w:kern w:val="0"/>
          <w:sz w:val="32"/>
          <w:szCs w:val="32"/>
        </w:rPr>
        <w:t>HbA1c</w:t>
      </w:r>
      <w:r>
        <w:rPr>
          <w:rFonts w:hint="eastAsia" w:ascii="仿宋_GB2312" w:hAnsi="仿宋_GB2312" w:eastAsia="仿宋_GB2312"/>
          <w:color w:val="auto"/>
          <w:kern w:val="0"/>
          <w:sz w:val="32"/>
          <w:szCs w:val="32"/>
        </w:rPr>
        <w:t>用于糖尿病诊断。为了避免HbA</w:t>
      </w:r>
      <w:r>
        <w:rPr>
          <w:rFonts w:ascii="仿宋_GB2312" w:hAnsi="仿宋_GB2312" w:eastAsia="仿宋_GB2312"/>
          <w:color w:val="auto"/>
          <w:kern w:val="0"/>
          <w:sz w:val="32"/>
          <w:szCs w:val="32"/>
        </w:rPr>
        <w:t>1</w:t>
      </w:r>
      <w:r>
        <w:rPr>
          <w:rFonts w:hint="eastAsia" w:ascii="仿宋_GB2312" w:hAnsi="仿宋_GB2312" w:eastAsia="仿宋_GB2312"/>
          <w:color w:val="auto"/>
          <w:kern w:val="0"/>
          <w:sz w:val="32"/>
          <w:szCs w:val="32"/>
        </w:rPr>
        <w:t>c与总糖基化血红蛋白的混淆，国际专家组织建议糖化血红蛋白的术语应为HbA1c</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rPr>
        <w:t>目前，临床定量测定以及应用的被测物均是</w:t>
      </w:r>
      <w:r>
        <w:rPr>
          <w:rFonts w:ascii="仿宋_GB2312" w:hAnsi="仿宋_GB2312" w:eastAsia="仿宋_GB2312"/>
          <w:color w:val="auto"/>
          <w:kern w:val="0"/>
          <w:sz w:val="32"/>
          <w:szCs w:val="32"/>
        </w:rPr>
        <w:t>HbA1c</w:t>
      </w:r>
      <w:r>
        <w:rPr>
          <w:rFonts w:hint="eastAsia" w:ascii="仿宋_GB2312" w:hAnsi="仿宋_GB2312" w:eastAsia="仿宋_GB2312"/>
          <w:color w:val="auto"/>
          <w:kern w:val="0"/>
          <w:sz w:val="32"/>
          <w:szCs w:val="32"/>
        </w:rPr>
        <w:t>。</w:t>
      </w:r>
    </w:p>
    <w:p>
      <w:pPr>
        <w:spacing w:line="520" w:lineRule="exact"/>
        <w:ind w:firstLine="640" w:firstLineChars="200"/>
        <w:rPr>
          <w:rFonts w:ascii="仿宋_GB2312" w:hAnsi="仿宋_GB2312" w:eastAsia="仿宋_GB2312"/>
          <w:color w:val="auto"/>
          <w:kern w:val="0"/>
          <w:sz w:val="32"/>
          <w:szCs w:val="32"/>
        </w:rPr>
      </w:pPr>
      <w:bookmarkStart w:id="1" w:name="OLE_LINK1"/>
      <w:r>
        <w:rPr>
          <w:rFonts w:hint="eastAsia" w:ascii="仿宋_GB2312" w:hAnsi="仿宋_GB2312" w:eastAsia="仿宋_GB2312"/>
          <w:color w:val="auto"/>
          <w:kern w:val="0"/>
          <w:sz w:val="32"/>
          <w:szCs w:val="32"/>
        </w:rPr>
        <w:t>临床实验室采用的糖化血红蛋白测定方法有多种，按原理可分为两大类：一类是直接测定</w:t>
      </w:r>
      <w:r>
        <w:rPr>
          <w:rFonts w:ascii="仿宋_GB2312" w:hAnsi="仿宋_GB2312" w:eastAsia="仿宋_GB2312"/>
          <w:color w:val="auto"/>
          <w:kern w:val="0"/>
          <w:sz w:val="32"/>
          <w:szCs w:val="32"/>
        </w:rPr>
        <w:t>HbA1c</w:t>
      </w:r>
      <w:r>
        <w:rPr>
          <w:rFonts w:hint="eastAsia" w:ascii="仿宋_GB2312" w:hAnsi="仿宋_GB2312" w:eastAsia="仿宋_GB2312"/>
          <w:color w:val="auto"/>
          <w:kern w:val="0"/>
          <w:sz w:val="32"/>
          <w:szCs w:val="32"/>
        </w:rPr>
        <w:t>的测定方法，如利用离子交换色谱法通过色谱柱（层析柱）分离</w:t>
      </w:r>
      <w:r>
        <w:rPr>
          <w:rFonts w:ascii="仿宋_GB2312" w:hAnsi="仿宋_GB2312" w:eastAsia="仿宋_GB2312"/>
          <w:color w:val="auto"/>
          <w:kern w:val="0"/>
          <w:sz w:val="32"/>
          <w:szCs w:val="32"/>
        </w:rPr>
        <w:t>HbA1c</w:t>
      </w:r>
      <w:r>
        <w:rPr>
          <w:rFonts w:hint="eastAsia" w:ascii="仿宋_GB2312" w:hAnsi="仿宋_GB2312" w:eastAsia="仿宋_GB2312"/>
          <w:color w:val="auto"/>
          <w:kern w:val="0"/>
          <w:sz w:val="32"/>
          <w:szCs w:val="32"/>
        </w:rPr>
        <w:t>成分的糖化血红蛋白分析仪</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rPr>
        <w:t>以及采用特定波长，测定吸光度/散射光值计算</w:t>
      </w:r>
      <w:r>
        <w:rPr>
          <w:rFonts w:ascii="仿宋_GB2312" w:hAnsi="仿宋_GB2312" w:eastAsia="仿宋_GB2312"/>
          <w:color w:val="auto"/>
          <w:kern w:val="0"/>
          <w:sz w:val="32"/>
          <w:szCs w:val="32"/>
        </w:rPr>
        <w:t>HbA1c</w:t>
      </w:r>
      <w:r>
        <w:rPr>
          <w:rFonts w:hint="eastAsia" w:ascii="仿宋_GB2312" w:hAnsi="仿宋_GB2312" w:eastAsia="仿宋_GB2312"/>
          <w:color w:val="auto"/>
          <w:kern w:val="0"/>
          <w:sz w:val="32"/>
          <w:szCs w:val="32"/>
        </w:rPr>
        <w:t>的专用分析仪或是包含</w:t>
      </w:r>
      <w:r>
        <w:rPr>
          <w:rFonts w:ascii="仿宋_GB2312" w:hAnsi="仿宋_GB2312" w:eastAsia="仿宋_GB2312"/>
          <w:color w:val="auto"/>
          <w:kern w:val="0"/>
          <w:sz w:val="32"/>
          <w:szCs w:val="32"/>
        </w:rPr>
        <w:t>HbA1c</w:t>
      </w:r>
      <w:r>
        <w:rPr>
          <w:rFonts w:hint="eastAsia" w:ascii="仿宋_GB2312" w:hAnsi="仿宋_GB2312" w:eastAsia="仿宋_GB2312"/>
          <w:color w:val="auto"/>
          <w:kern w:val="0"/>
          <w:sz w:val="32"/>
          <w:szCs w:val="32"/>
        </w:rPr>
        <w:t>模块的生化分析仪和特定蛋白分析仪等</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rPr>
        <w:t>另一类是测定与</w:t>
      </w:r>
      <w:r>
        <w:rPr>
          <w:rFonts w:ascii="仿宋_GB2312" w:hAnsi="仿宋_GB2312" w:eastAsia="仿宋_GB2312"/>
          <w:color w:val="auto"/>
          <w:kern w:val="0"/>
          <w:sz w:val="32"/>
          <w:szCs w:val="32"/>
        </w:rPr>
        <w:t>HbA1c</w:t>
      </w:r>
      <w:r>
        <w:rPr>
          <w:rFonts w:hint="eastAsia" w:ascii="仿宋_GB2312" w:hAnsi="仿宋_GB2312" w:eastAsia="仿宋_GB2312"/>
          <w:color w:val="auto"/>
          <w:kern w:val="0"/>
          <w:sz w:val="32"/>
          <w:szCs w:val="32"/>
        </w:rPr>
        <w:t>具有相关性的总糖基化血红蛋白的方法，如利用亲和层析色谱法的通过色谱柱（层析柱）分离总糖基化血红蛋白和非糖化血红蛋白的分析仪，以及</w:t>
      </w:r>
      <w:r>
        <w:rPr>
          <w:rFonts w:hint="eastAsia" w:ascii="仿宋_GB2312" w:hAnsi="仿宋_GB2312" w:eastAsia="仿宋_GB2312"/>
          <w:color w:val="auto"/>
          <w:kern w:val="0"/>
          <w:sz w:val="32"/>
          <w:szCs w:val="32"/>
          <w:lang w:val="en-US" w:eastAsia="zh-CN"/>
        </w:rPr>
        <w:t>利用</w:t>
      </w:r>
      <w:r>
        <w:rPr>
          <w:rFonts w:hint="eastAsia" w:ascii="仿宋_GB2312" w:hAnsi="仿宋_GB2312" w:eastAsia="仿宋_GB2312"/>
          <w:color w:val="auto"/>
          <w:kern w:val="0"/>
          <w:sz w:val="32"/>
          <w:szCs w:val="32"/>
        </w:rPr>
        <w:t>硼酸与糖基化血红蛋白结合性质，测定总糖基化血红蛋白的硼酸亲和法分析仪等。</w:t>
      </w:r>
    </w:p>
    <w:bookmarkEnd w:id="1"/>
    <w:p>
      <w:pPr>
        <w:spacing w:line="52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同时，根据国际临床化学和检验医学联合会</w:t>
      </w:r>
      <w:r>
        <w:rPr>
          <w:rFonts w:ascii="仿宋_GB2312" w:hAnsi="仿宋_GB2312" w:eastAsia="仿宋_GB2312"/>
          <w:color w:val="auto"/>
          <w:kern w:val="0"/>
          <w:sz w:val="32"/>
          <w:szCs w:val="32"/>
        </w:rPr>
        <w:t xml:space="preserve">(IFCC) </w:t>
      </w:r>
      <w:r>
        <w:rPr>
          <w:rFonts w:hint="eastAsia" w:ascii="仿宋_GB2312" w:hAnsi="仿宋_GB2312" w:eastAsia="仿宋_GB2312"/>
          <w:color w:val="auto"/>
          <w:kern w:val="0"/>
          <w:sz w:val="32"/>
          <w:szCs w:val="32"/>
        </w:rPr>
        <w:t>及美国国家糖化血红蛋白标准化计划</w:t>
      </w:r>
      <w:r>
        <w:rPr>
          <w:rFonts w:ascii="仿宋_GB2312" w:hAnsi="仿宋_GB2312" w:eastAsia="仿宋_GB2312"/>
          <w:color w:val="auto"/>
          <w:kern w:val="0"/>
          <w:sz w:val="32"/>
          <w:szCs w:val="32"/>
        </w:rPr>
        <w:t>(NGSP)</w:t>
      </w:r>
      <w:r>
        <w:rPr>
          <w:rFonts w:hint="eastAsia" w:ascii="仿宋_GB2312" w:hAnsi="仿宋_GB2312" w:eastAsia="仿宋_GB2312"/>
          <w:color w:val="auto"/>
          <w:kern w:val="0"/>
          <w:sz w:val="32"/>
          <w:szCs w:val="32"/>
        </w:rPr>
        <w:t>的标准化工作，糖化血红蛋白测定报告的结果必须是“</w:t>
      </w:r>
      <w:r>
        <w:rPr>
          <w:rFonts w:ascii="仿宋_GB2312" w:hAnsi="仿宋_GB2312" w:eastAsia="仿宋_GB2312"/>
          <w:color w:val="auto"/>
          <w:kern w:val="0"/>
          <w:sz w:val="32"/>
          <w:szCs w:val="32"/>
        </w:rPr>
        <w:t>HbA1c</w:t>
      </w:r>
      <w:r>
        <w:rPr>
          <w:rFonts w:hint="eastAsia" w:ascii="仿宋_GB2312" w:hAnsi="仿宋_GB2312" w:eastAsia="仿宋_GB2312"/>
          <w:color w:val="auto"/>
          <w:kern w:val="0"/>
          <w:sz w:val="32"/>
          <w:szCs w:val="32"/>
        </w:rPr>
        <w:t>”</w:t>
      </w:r>
      <w:r>
        <w:rPr>
          <w:rFonts w:ascii="仿宋_GB2312" w:hAnsi="仿宋_GB2312" w:eastAsia="仿宋_GB2312"/>
          <w:color w:val="auto"/>
          <w:kern w:val="0"/>
          <w:sz w:val="32"/>
          <w:szCs w:val="32"/>
        </w:rPr>
        <w:t xml:space="preserve"> </w:t>
      </w:r>
      <w:r>
        <w:rPr>
          <w:rFonts w:hint="eastAsia" w:ascii="仿宋_GB2312" w:hAnsi="仿宋_GB2312" w:eastAsia="仿宋_GB2312"/>
          <w:color w:val="auto"/>
          <w:kern w:val="0"/>
          <w:sz w:val="32"/>
          <w:szCs w:val="32"/>
        </w:rPr>
        <w:t>或相当于“</w:t>
      </w:r>
      <w:r>
        <w:rPr>
          <w:rFonts w:ascii="仿宋_GB2312" w:hAnsi="仿宋_GB2312" w:eastAsia="仿宋_GB2312"/>
          <w:color w:val="auto"/>
          <w:kern w:val="0"/>
          <w:sz w:val="32"/>
          <w:szCs w:val="32"/>
        </w:rPr>
        <w:t>HbA1c</w:t>
      </w:r>
      <w:r>
        <w:rPr>
          <w:rFonts w:hint="eastAsia" w:ascii="仿宋_GB2312" w:hAnsi="仿宋_GB2312" w:eastAsia="仿宋_GB2312"/>
          <w:color w:val="auto"/>
          <w:kern w:val="0"/>
          <w:sz w:val="32"/>
          <w:szCs w:val="32"/>
        </w:rPr>
        <w:t>”的结果。</w:t>
      </w:r>
    </w:p>
    <w:bookmarkEnd w:id="0"/>
    <w:p>
      <w:pPr>
        <w:spacing w:line="52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本指导原则适用于对人体血液中糖化血红蛋白（H</w:t>
      </w:r>
      <w:r>
        <w:rPr>
          <w:rFonts w:ascii="仿宋_GB2312" w:hAnsi="仿宋_GB2312" w:eastAsia="仿宋_GB2312"/>
          <w:color w:val="auto"/>
          <w:kern w:val="0"/>
          <w:sz w:val="32"/>
          <w:szCs w:val="32"/>
        </w:rPr>
        <w:t>bA1c</w:t>
      </w:r>
      <w:r>
        <w:rPr>
          <w:rFonts w:hint="eastAsia" w:ascii="仿宋_GB2312" w:hAnsi="仿宋_GB2312" w:eastAsia="仿宋_GB2312"/>
          <w:color w:val="auto"/>
          <w:kern w:val="0"/>
          <w:sz w:val="32"/>
          <w:szCs w:val="32"/>
        </w:rPr>
        <w:t>）浓度进行检测的糖化血红蛋白分析仪和/或包含糖化血红蛋白检测模块的分析仪。</w:t>
      </w:r>
      <w:r>
        <w:rPr>
          <w:rFonts w:hint="eastAsia" w:ascii="仿宋_GB2312" w:hAnsi="仿宋_GB2312" w:eastAsia="仿宋_GB2312"/>
          <w:color w:val="auto"/>
          <w:kern w:val="0"/>
          <w:sz w:val="32"/>
          <w:szCs w:val="32"/>
          <w:lang w:val="en-US" w:eastAsia="zh-CN"/>
        </w:rPr>
        <w:t>如</w:t>
      </w:r>
      <w:r>
        <w:rPr>
          <w:rFonts w:hint="eastAsia" w:ascii="仿宋_GB2312" w:hAnsi="仿宋_GB2312" w:eastAsia="仿宋_GB2312"/>
          <w:color w:val="auto"/>
          <w:kern w:val="0"/>
          <w:sz w:val="32"/>
          <w:szCs w:val="32"/>
        </w:rPr>
        <w:t>申请注册产品包含</w:t>
      </w:r>
      <w:r>
        <w:rPr>
          <w:rFonts w:hint="eastAsia" w:ascii="仿宋_GB2312" w:hAnsi="仿宋_GB2312" w:eastAsia="仿宋_GB2312"/>
          <w:color w:val="auto"/>
          <w:kern w:val="0"/>
          <w:sz w:val="32"/>
          <w:szCs w:val="32"/>
          <w:lang w:val="en-US" w:eastAsia="zh-CN"/>
        </w:rPr>
        <w:t>血红蛋白</w:t>
      </w:r>
      <w:r>
        <w:rPr>
          <w:rFonts w:hint="eastAsia" w:ascii="仿宋_GB2312" w:hAnsi="仿宋_GB2312" w:eastAsia="仿宋_GB2312"/>
          <w:color w:val="auto"/>
          <w:kern w:val="0"/>
          <w:sz w:val="32"/>
          <w:szCs w:val="32"/>
        </w:rPr>
        <w:t>变异体（</w:t>
      </w:r>
      <w:r>
        <w:rPr>
          <w:rFonts w:hint="eastAsia" w:ascii="仿宋_GB2312" w:hAnsi="仿宋_GB2312" w:eastAsia="仿宋_GB2312" w:cs="楷体_GB2312"/>
          <w:color w:val="auto"/>
          <w:kern w:val="0"/>
          <w:sz w:val="32"/>
          <w:szCs w:val="32"/>
        </w:rPr>
        <w:t>HbS、HbC、HbD、HbE</w:t>
      </w:r>
      <w:r>
        <w:rPr>
          <w:rFonts w:hint="eastAsia" w:ascii="仿宋_GB2312" w:hAnsi="仿宋_GB2312" w:eastAsia="仿宋_GB2312" w:cs="楷体_GB2312"/>
          <w:color w:val="auto"/>
          <w:kern w:val="0"/>
          <w:sz w:val="32"/>
          <w:szCs w:val="32"/>
          <w:lang w:val="en-US" w:eastAsia="zh-CN"/>
        </w:rPr>
        <w:t>等</w:t>
      </w:r>
      <w:r>
        <w:rPr>
          <w:rFonts w:hint="eastAsia" w:ascii="仿宋_GB2312" w:hAnsi="仿宋_GB2312" w:eastAsia="仿宋_GB2312"/>
          <w:color w:val="auto"/>
          <w:kern w:val="0"/>
          <w:sz w:val="32"/>
          <w:szCs w:val="32"/>
        </w:rPr>
        <w:t>）检测，应当提交相应的研究资料，参照本指导原则执行。</w:t>
      </w:r>
    </w:p>
    <w:p>
      <w:pPr>
        <w:spacing w:line="52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本指导原则不适用于非专业人员使用、非实验室使用的对人体血液中糖化血红蛋白（H</w:t>
      </w:r>
      <w:r>
        <w:rPr>
          <w:rFonts w:ascii="仿宋_GB2312" w:hAnsi="仿宋_GB2312" w:eastAsia="仿宋_GB2312"/>
          <w:color w:val="auto"/>
          <w:kern w:val="0"/>
          <w:sz w:val="32"/>
          <w:szCs w:val="32"/>
        </w:rPr>
        <w:t>bA1c</w:t>
      </w:r>
      <w:r>
        <w:rPr>
          <w:rFonts w:hint="eastAsia" w:ascii="仿宋_GB2312" w:hAnsi="仿宋_GB2312" w:eastAsia="仿宋_GB2312"/>
          <w:color w:val="auto"/>
          <w:kern w:val="0"/>
          <w:sz w:val="32"/>
          <w:szCs w:val="32"/>
        </w:rPr>
        <w:t>）浓度进行检测的仪器，但</w:t>
      </w:r>
      <w:r>
        <w:rPr>
          <w:rFonts w:hint="eastAsia" w:ascii="仿宋_GB2312" w:hAnsi="仿宋_GB2312" w:eastAsia="仿宋_GB2312" w:cs="仿宋_GB2312"/>
          <w:color w:val="auto"/>
          <w:kern w:val="0"/>
          <w:sz w:val="32"/>
          <w:szCs w:val="32"/>
        </w:rPr>
        <w:t>申请人可结合申报产品的特点，参照本指导原则相关适用条款准备注册申报资料。</w:t>
      </w:r>
    </w:p>
    <w:p>
      <w:pPr>
        <w:spacing w:line="520" w:lineRule="exact"/>
        <w:ind w:firstLine="640" w:firstLineChars="200"/>
        <w:rPr>
          <w:rFonts w:hint="eastAsia" w:ascii="仿宋_GB2312" w:hAnsi="仿宋_GB2312" w:eastAsia="仿宋_GB2312"/>
          <w:color w:val="auto"/>
          <w:kern w:val="0"/>
          <w:sz w:val="32"/>
          <w:szCs w:val="32"/>
        </w:rPr>
      </w:pPr>
      <w:r>
        <w:rPr>
          <w:rFonts w:hint="eastAsia" w:ascii="黑体" w:hAnsi="黑体" w:eastAsia="黑体" w:cs="黑体"/>
          <w:color w:val="auto"/>
          <w:kern w:val="0"/>
          <w:sz w:val="32"/>
          <w:szCs w:val="32"/>
        </w:rPr>
        <w:t>二、</w:t>
      </w:r>
      <w:r>
        <w:rPr>
          <w:rFonts w:hint="eastAsia" w:ascii="黑体" w:hAnsi="黑体" w:eastAsia="黑体" w:cs="黑体"/>
          <w:color w:val="auto"/>
          <w:kern w:val="0"/>
          <w:sz w:val="32"/>
          <w:szCs w:val="32"/>
          <w:lang w:val="en-US" w:eastAsia="zh-CN"/>
        </w:rPr>
        <w:t>注册</w:t>
      </w:r>
      <w:r>
        <w:rPr>
          <w:rFonts w:hint="eastAsia" w:ascii="黑体" w:hAnsi="黑体" w:eastAsia="黑体" w:cs="黑体"/>
          <w:color w:val="auto"/>
          <w:kern w:val="0"/>
          <w:sz w:val="32"/>
          <w:szCs w:val="32"/>
        </w:rPr>
        <w:t>审查要点</w:t>
      </w:r>
    </w:p>
    <w:p>
      <w:pPr>
        <w:spacing w:line="520" w:lineRule="exact"/>
        <w:ind w:firstLine="640" w:firstLineChars="200"/>
        <w:rPr>
          <w:rFonts w:ascii="仿宋_GB2312" w:hAnsi="楷体" w:eastAsia="仿宋_GB2312"/>
          <w:color w:val="auto"/>
          <w:sz w:val="32"/>
          <w:szCs w:val="32"/>
        </w:rPr>
      </w:pPr>
      <w:r>
        <w:rPr>
          <w:rFonts w:eastAsia="楷体_GB2312"/>
          <w:color w:val="auto"/>
          <w:sz w:val="32"/>
          <w:szCs w:val="32"/>
        </w:rPr>
        <w:t>（一）监管信息</w:t>
      </w:r>
    </w:p>
    <w:p>
      <w:pPr>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1.产品名称</w:t>
      </w:r>
    </w:p>
    <w:p>
      <w:pPr>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产品命名应符合《医疗器械通用名称命名规则》（原国家食品药品监督管理总局令第19号）和行业标准中通用名称</w:t>
      </w:r>
      <w:r>
        <w:rPr>
          <w:rFonts w:hint="eastAsia" w:ascii="仿宋_GB2312" w:hAnsi="仿宋_GB2312" w:eastAsia="仿宋_GB2312"/>
          <w:color w:val="auto"/>
          <w:kern w:val="0"/>
          <w:sz w:val="32"/>
          <w:szCs w:val="32"/>
          <w:lang w:val="en-US" w:eastAsia="zh-CN"/>
        </w:rPr>
        <w:t>的</w:t>
      </w:r>
      <w:r>
        <w:rPr>
          <w:rFonts w:hint="eastAsia" w:ascii="仿宋_GB2312" w:hAnsi="仿宋_GB2312" w:eastAsia="仿宋_GB2312"/>
          <w:color w:val="auto"/>
          <w:kern w:val="0"/>
          <w:sz w:val="32"/>
          <w:szCs w:val="32"/>
        </w:rPr>
        <w:t>要求。产品名称</w:t>
      </w:r>
      <w:r>
        <w:rPr>
          <w:rFonts w:hint="eastAsia" w:ascii="仿宋_GB2312" w:hAnsi="仿宋_GB2312" w:eastAsia="仿宋_GB2312"/>
          <w:color w:val="auto"/>
          <w:kern w:val="0"/>
          <w:sz w:val="32"/>
          <w:szCs w:val="32"/>
          <w:lang w:val="en-US" w:eastAsia="zh-CN"/>
        </w:rPr>
        <w:t>通常</w:t>
      </w:r>
      <w:r>
        <w:rPr>
          <w:rFonts w:hint="eastAsia" w:ascii="仿宋_GB2312" w:hAnsi="仿宋_GB2312" w:eastAsia="仿宋_GB2312"/>
          <w:color w:val="auto"/>
          <w:kern w:val="0"/>
          <w:sz w:val="32"/>
          <w:szCs w:val="32"/>
        </w:rPr>
        <w:t>由一个核心词和不超过三个的特征词组成</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lang w:val="en-US" w:eastAsia="zh-CN"/>
        </w:rPr>
        <w:t>并</w:t>
      </w:r>
      <w:r>
        <w:rPr>
          <w:rFonts w:hint="eastAsia" w:ascii="仿宋_GB2312" w:hAnsi="仿宋_GB2312" w:eastAsia="仿宋_GB2312"/>
          <w:color w:val="auto"/>
          <w:kern w:val="0"/>
          <w:sz w:val="32"/>
          <w:szCs w:val="32"/>
        </w:rPr>
        <w:t>以体现产品技术结构特征、功能属性以及自动化程度为基本准则，例如：糖化血红蛋白分析仪、全自动糖化血红蛋白分析仪等。</w:t>
      </w:r>
    </w:p>
    <w:p>
      <w:pPr>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2.分类编码</w:t>
      </w:r>
    </w:p>
    <w:p>
      <w:pPr>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糖化血红蛋白分析仪</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rPr>
        <w:t>按照《医疗器械分类目录》（原国家食品药品监督管理总局公告2017年第104号），产品的管理类别为Ⅱ类，产品分类编码为22</w:t>
      </w:r>
      <w:r>
        <w:rPr>
          <w:rFonts w:hint="eastAsia" w:ascii="仿宋_GB2312" w:hAnsi="仿宋_GB2312" w:eastAsia="仿宋_GB2312"/>
          <w:color w:val="auto"/>
          <w:kern w:val="0"/>
          <w:sz w:val="32"/>
          <w:szCs w:val="32"/>
          <w:lang w:val="en-US" w:eastAsia="zh-CN"/>
        </w:rPr>
        <w:t>-10-04</w:t>
      </w:r>
      <w:r>
        <w:rPr>
          <w:rFonts w:hint="eastAsia" w:ascii="仿宋_GB2312" w:hAnsi="仿宋_GB2312" w:eastAsia="仿宋_GB2312"/>
          <w:color w:val="auto"/>
          <w:kern w:val="0"/>
          <w:sz w:val="32"/>
          <w:szCs w:val="32"/>
        </w:rPr>
        <w:t>。</w:t>
      </w:r>
    </w:p>
    <w:p>
      <w:pPr>
        <w:spacing w:line="520" w:lineRule="exact"/>
        <w:ind w:firstLine="640" w:firstLineChars="200"/>
        <w:rPr>
          <w:rFonts w:hint="eastAsia" w:ascii="仿宋_GB2312" w:hAnsi="仿宋_GB2312" w:eastAsia="仿宋_GB2312"/>
          <w:color w:val="auto"/>
          <w:kern w:val="0"/>
          <w:sz w:val="32"/>
          <w:szCs w:val="32"/>
          <w:lang w:eastAsia="zh-CN"/>
        </w:rPr>
      </w:pPr>
      <w:r>
        <w:rPr>
          <w:rFonts w:hint="eastAsia" w:ascii="仿宋_GB2312" w:hAnsi="仿宋_GB2312" w:eastAsia="仿宋_GB2312"/>
          <w:color w:val="auto"/>
          <w:kern w:val="0"/>
          <w:sz w:val="32"/>
          <w:szCs w:val="32"/>
          <w:lang w:eastAsia="zh-CN"/>
        </w:rPr>
        <w:t>3.注册单元划分</w:t>
      </w:r>
    </w:p>
    <w:p>
      <w:pPr>
        <w:spacing w:line="520" w:lineRule="exact"/>
        <w:ind w:firstLine="640" w:firstLineChars="200"/>
        <w:outlineLvl w:val="2"/>
        <w:rPr>
          <w:rFonts w:ascii="仿宋_GB2312" w:hAnsi="仿宋_GB2312" w:eastAsia="仿宋_GB2312"/>
          <w:color w:val="auto"/>
          <w:sz w:val="32"/>
          <w:szCs w:val="32"/>
        </w:rPr>
      </w:pPr>
      <w:r>
        <w:rPr>
          <w:rFonts w:hint="eastAsia" w:ascii="仿宋_GB2312" w:hAnsi="仿宋_GB2312" w:eastAsia="仿宋_GB2312"/>
          <w:color w:val="auto"/>
          <w:sz w:val="32"/>
          <w:szCs w:val="32"/>
        </w:rPr>
        <w:t>糖化血红蛋白分析仪的注册单元按照《医疗器械注册管理办法》的要求“医疗器械注册或者备案单元原则上以产品的技术原理、结构组成、性能指标和适用范围为划分依据”进行划分。产品结构组成、性能指标、功能差异较大的，应划分为不同的注册单元。</w:t>
      </w:r>
    </w:p>
    <w:p>
      <w:pPr>
        <w:spacing w:line="520" w:lineRule="exact"/>
        <w:ind w:firstLine="640" w:firstLineChars="200"/>
        <w:outlineLvl w:val="2"/>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3.1</w:t>
      </w:r>
      <w:r>
        <w:rPr>
          <w:rFonts w:hint="eastAsia" w:ascii="仿宋_GB2312" w:hAnsi="仿宋_GB2312" w:eastAsia="仿宋_GB2312"/>
          <w:color w:val="auto"/>
          <w:sz w:val="32"/>
          <w:szCs w:val="32"/>
        </w:rPr>
        <w:t>技术原理</w:t>
      </w:r>
    </w:p>
    <w:p>
      <w:pPr>
        <w:spacing w:line="520" w:lineRule="exact"/>
        <w:ind w:firstLine="640" w:firstLineChars="200"/>
        <w:outlineLvl w:val="2"/>
        <w:rPr>
          <w:rFonts w:ascii="仿宋_GB2312" w:hAnsi="仿宋_GB2312" w:eastAsia="仿宋_GB2312"/>
          <w:color w:val="auto"/>
          <w:sz w:val="32"/>
          <w:szCs w:val="32"/>
        </w:rPr>
      </w:pPr>
      <w:r>
        <w:rPr>
          <w:rFonts w:hint="eastAsia" w:ascii="仿宋_GB2312" w:hAnsi="仿宋_GB2312" w:eastAsia="仿宋_GB2312"/>
          <w:color w:val="auto"/>
          <w:sz w:val="32"/>
          <w:szCs w:val="32"/>
        </w:rPr>
        <w:t>不同技术原理的产品应划分为不同的注册单元。如离子交换色谱法和分光光度法。</w:t>
      </w:r>
    </w:p>
    <w:p>
      <w:pPr>
        <w:spacing w:line="520" w:lineRule="exact"/>
        <w:ind w:firstLine="640" w:firstLineChars="200"/>
        <w:outlineLvl w:val="2"/>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3.2</w:t>
      </w:r>
      <w:r>
        <w:rPr>
          <w:rFonts w:hint="eastAsia" w:ascii="仿宋_GB2312" w:hAnsi="仿宋_GB2312" w:eastAsia="仿宋_GB2312"/>
          <w:color w:val="auto"/>
          <w:sz w:val="32"/>
          <w:szCs w:val="32"/>
        </w:rPr>
        <w:t>自动化程度</w:t>
      </w:r>
    </w:p>
    <w:p>
      <w:pPr>
        <w:spacing w:after="0" w:line="52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产品自动化程度不同，应划分为不同的注册单元。如半自动糖化血红蛋白分析仪和全自动糖化血红蛋白分析仪。</w:t>
      </w:r>
    </w:p>
    <w:p>
      <w:pPr>
        <w:spacing w:line="520" w:lineRule="exact"/>
        <w:ind w:firstLine="640" w:firstLineChars="200"/>
        <w:rPr>
          <w:rFonts w:hint="default" w:ascii="Times New Roman" w:hAnsi="Times New Roman" w:eastAsia="楷体_GB2312"/>
          <w:color w:val="auto"/>
          <w:kern w:val="2"/>
          <w:sz w:val="32"/>
          <w:szCs w:val="32"/>
        </w:rPr>
      </w:pPr>
      <w:r>
        <w:rPr>
          <w:rFonts w:hint="default" w:ascii="Times New Roman" w:hAnsi="Times New Roman" w:eastAsia="楷体_GB2312"/>
          <w:color w:val="auto"/>
          <w:kern w:val="2"/>
          <w:sz w:val="32"/>
          <w:szCs w:val="32"/>
        </w:rPr>
        <w:t>（二）综述资料</w:t>
      </w:r>
    </w:p>
    <w:p>
      <w:pPr>
        <w:spacing w:line="520" w:lineRule="exact"/>
        <w:ind w:firstLine="640" w:firstLineChars="200"/>
        <w:outlineLvl w:val="9"/>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lang w:val="en-US" w:eastAsia="zh-CN"/>
        </w:rPr>
        <w:t>1.</w:t>
      </w:r>
      <w:r>
        <w:rPr>
          <w:rFonts w:hint="eastAsia" w:ascii="仿宋_GB2312" w:hAnsi="仿宋_GB2312" w:eastAsia="仿宋_GB2312" w:cs="Times New Roman"/>
          <w:color w:val="auto"/>
          <w:kern w:val="0"/>
          <w:sz w:val="32"/>
          <w:szCs w:val="32"/>
        </w:rPr>
        <w:t>结构组成</w:t>
      </w:r>
    </w:p>
    <w:p>
      <w:pPr>
        <w:spacing w:line="52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Times New Roman"/>
          <w:color w:val="auto"/>
          <w:kern w:val="0"/>
          <w:sz w:val="32"/>
          <w:szCs w:val="32"/>
        </w:rPr>
        <w:t>申请人可根据产品的具体特征描述产品结构组成，包括软件组件以及配合使用的附件，</w:t>
      </w:r>
      <w:r>
        <w:rPr>
          <w:rFonts w:hint="eastAsia" w:ascii="仿宋_GB2312" w:hAnsi="仿宋_GB2312" w:eastAsia="仿宋_GB2312" w:cs="Times New Roman"/>
          <w:color w:val="auto"/>
          <w:kern w:val="0"/>
          <w:sz w:val="32"/>
          <w:szCs w:val="32"/>
          <w:lang w:val="en-US" w:eastAsia="zh-CN"/>
        </w:rPr>
        <w:t>并</w:t>
      </w:r>
      <w:r>
        <w:rPr>
          <w:rFonts w:hint="eastAsia" w:ascii="仿宋_GB2312" w:hAnsi="仿宋_GB2312" w:eastAsia="仿宋_GB2312" w:cs="Times New Roman"/>
          <w:color w:val="auto"/>
          <w:kern w:val="0"/>
          <w:sz w:val="32"/>
          <w:szCs w:val="32"/>
        </w:rPr>
        <w:t>采用图片结合文字</w:t>
      </w:r>
      <w:r>
        <w:rPr>
          <w:rFonts w:hint="eastAsia" w:ascii="仿宋_GB2312" w:hAnsi="仿宋_GB2312" w:eastAsia="仿宋_GB2312" w:cs="Times New Roman"/>
          <w:color w:val="auto"/>
          <w:kern w:val="0"/>
          <w:sz w:val="32"/>
          <w:szCs w:val="32"/>
          <w:lang w:val="en-US" w:eastAsia="zh-CN"/>
        </w:rPr>
        <w:t>的</w:t>
      </w:r>
      <w:r>
        <w:rPr>
          <w:rFonts w:hint="eastAsia" w:ascii="仿宋_GB2312" w:hAnsi="仿宋_GB2312" w:eastAsia="仿宋_GB2312" w:cs="Times New Roman"/>
          <w:color w:val="auto"/>
          <w:kern w:val="0"/>
          <w:sz w:val="32"/>
          <w:szCs w:val="32"/>
        </w:rPr>
        <w:t>形式给予说明，</w:t>
      </w:r>
      <w:r>
        <w:rPr>
          <w:rFonts w:hint="eastAsia" w:ascii="仿宋_GB2312" w:hAnsi="仿宋_GB2312" w:eastAsia="仿宋_GB2312" w:cs="Times New Roman"/>
          <w:color w:val="auto"/>
          <w:kern w:val="0"/>
          <w:sz w:val="32"/>
          <w:szCs w:val="32"/>
          <w:lang w:val="en-US" w:eastAsia="zh-CN"/>
        </w:rPr>
        <w:t>下面</w:t>
      </w:r>
      <w:r>
        <w:rPr>
          <w:rFonts w:hint="eastAsia" w:ascii="仿宋_GB2312" w:hAnsi="仿宋_GB2312" w:eastAsia="仿宋_GB2312" w:cs="Times New Roman"/>
          <w:color w:val="auto"/>
          <w:kern w:val="0"/>
          <w:sz w:val="32"/>
          <w:szCs w:val="32"/>
        </w:rPr>
        <w:t>以</w:t>
      </w:r>
      <w:r>
        <w:rPr>
          <w:rFonts w:hint="eastAsia" w:ascii="仿宋_GB2312" w:hAnsi="仿宋_GB2312" w:eastAsia="仿宋_GB2312"/>
          <w:color w:val="auto"/>
          <w:kern w:val="0"/>
          <w:sz w:val="32"/>
          <w:szCs w:val="32"/>
        </w:rPr>
        <w:t>离子交换色谱法（H</w:t>
      </w:r>
      <w:r>
        <w:rPr>
          <w:rFonts w:ascii="仿宋_GB2312" w:hAnsi="仿宋_GB2312" w:eastAsia="仿宋_GB2312"/>
          <w:color w:val="auto"/>
          <w:kern w:val="0"/>
          <w:sz w:val="32"/>
          <w:szCs w:val="32"/>
        </w:rPr>
        <w:t>PLC</w:t>
      </w:r>
      <w:r>
        <w:rPr>
          <w:rFonts w:hint="eastAsia" w:ascii="仿宋_GB2312" w:hAnsi="仿宋_GB2312" w:eastAsia="仿宋_GB2312"/>
          <w:color w:val="auto"/>
          <w:kern w:val="0"/>
          <w:sz w:val="32"/>
          <w:szCs w:val="32"/>
        </w:rPr>
        <w:t>法）</w:t>
      </w:r>
      <w:r>
        <w:rPr>
          <w:rFonts w:hint="eastAsia" w:ascii="仿宋_GB2312" w:hAnsi="仿宋_GB2312" w:eastAsia="仿宋_GB2312" w:cs="Times New Roman"/>
          <w:color w:val="auto"/>
          <w:kern w:val="0"/>
          <w:sz w:val="32"/>
          <w:szCs w:val="32"/>
        </w:rPr>
        <w:t>的</w:t>
      </w:r>
      <w:r>
        <w:rPr>
          <w:rFonts w:hint="eastAsia" w:ascii="仿宋_GB2312" w:hAnsi="仿宋_GB2312" w:eastAsia="仿宋_GB2312"/>
          <w:color w:val="auto"/>
          <w:kern w:val="0"/>
          <w:sz w:val="32"/>
          <w:szCs w:val="32"/>
        </w:rPr>
        <w:t>糖化血红蛋白分析仪（以下简称分析仪）为例：</w:t>
      </w:r>
    </w:p>
    <w:p>
      <w:pPr>
        <w:pStyle w:val="24"/>
        <w:numPr>
          <w:ilvl w:val="255"/>
          <w:numId w:val="0"/>
        </w:numPr>
        <w:spacing w:line="520" w:lineRule="exact"/>
        <w:ind w:firstLine="640" w:firstLineChars="200"/>
        <w:rPr>
          <w:rFonts w:hint="eastAsia" w:ascii="仿宋_GB2312" w:hAnsi="仿宋_GB2312" w:eastAsia="仿宋_GB2312" w:cs="仿宋_GB2312"/>
          <w:color w:val="auto"/>
          <w:kern w:val="0"/>
          <w:sz w:val="32"/>
          <w:szCs w:val="32"/>
        </w:rPr>
      </w:pPr>
      <w:bookmarkStart w:id="2" w:name="_Hlk69049698"/>
      <w:bookmarkStart w:id="3" w:name="_Hlk69140517"/>
      <w:r>
        <w:rPr>
          <w:rFonts w:hint="eastAsia" w:ascii="仿宋_GB2312" w:hAnsi="仿宋_GB2312" w:eastAsia="仿宋_GB2312" w:cs="仿宋_GB2312"/>
          <w:color w:val="auto"/>
          <w:kern w:val="0"/>
          <w:sz w:val="32"/>
          <w:szCs w:val="32"/>
        </w:rPr>
        <w:t>分析仪</w:t>
      </w:r>
      <w:bookmarkEnd w:id="2"/>
      <w:r>
        <w:rPr>
          <w:rFonts w:hint="eastAsia" w:ascii="仿宋_GB2312" w:hAnsi="仿宋_GB2312" w:eastAsia="仿宋_GB2312" w:cs="仿宋_GB2312"/>
          <w:color w:val="auto"/>
          <w:kern w:val="0"/>
          <w:sz w:val="32"/>
          <w:szCs w:val="32"/>
        </w:rPr>
        <w:t>通常由进样模块、取样模块、分离模块、检测模块、</w:t>
      </w:r>
    </w:p>
    <w:p>
      <w:pPr>
        <w:pStyle w:val="24"/>
        <w:spacing w:line="520" w:lineRule="exact"/>
        <w:ind w:firstLine="0" w:firstLineChars="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软件组件和显示模块组成。</w:t>
      </w:r>
      <w:bookmarkEnd w:id="3"/>
    </w:p>
    <w:p>
      <w:pPr>
        <w:pStyle w:val="24"/>
        <w:spacing w:line="520" w:lineRule="exact"/>
        <w:ind w:firstLine="0" w:firstLineChars="0"/>
        <w:rPr>
          <w:rFonts w:hint="eastAsia" w:ascii="仿宋_GB2312" w:hAnsi="仿宋_GB2312" w:eastAsia="仿宋_GB2312" w:cs="仿宋_GB2312"/>
          <w:color w:val="auto"/>
          <w:kern w:val="0"/>
          <w:sz w:val="32"/>
          <w:szCs w:val="32"/>
        </w:rPr>
      </w:pPr>
    </w:p>
    <w:p>
      <w:pPr>
        <w:pStyle w:val="24"/>
        <w:spacing w:line="520" w:lineRule="exact"/>
        <w:ind w:firstLine="640"/>
        <w:jc w:val="center"/>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rPr>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615940" cy="2092960"/>
            <wp:effectExtent l="0" t="0" r="3810" b="254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615940" cy="2092960"/>
                    </a:xfrm>
                    <a:prstGeom prst="rect">
                      <a:avLst/>
                    </a:prstGeom>
                  </pic:spPr>
                </pic:pic>
              </a:graphicData>
            </a:graphic>
          </wp:anchor>
        </w:drawing>
      </w:r>
      <w:r>
        <w:rPr>
          <w:rFonts w:hint="eastAsia" w:ascii="黑体" w:hAnsi="黑体" w:eastAsia="黑体" w:cs="黑体"/>
          <w:color w:val="auto"/>
          <w:kern w:val="0"/>
          <w:sz w:val="28"/>
          <w:szCs w:val="28"/>
          <w:lang w:val="en-US" w:eastAsia="zh-CN"/>
        </w:rPr>
        <w:t>图1 产品结构组成示意图</w:t>
      </w:r>
    </w:p>
    <w:p>
      <w:pPr>
        <w:pStyle w:val="24"/>
        <w:spacing w:line="520" w:lineRule="exact"/>
        <w:ind w:firstLine="640"/>
        <w:jc w:val="center"/>
        <w:rPr>
          <w:rFonts w:hint="default" w:ascii="黑体" w:hAnsi="黑体" w:eastAsia="黑体" w:cs="黑体"/>
          <w:color w:val="auto"/>
          <w:kern w:val="0"/>
          <w:sz w:val="28"/>
          <w:szCs w:val="28"/>
          <w:lang w:val="en-US" w:eastAsia="zh-CN"/>
        </w:rPr>
      </w:pPr>
    </w:p>
    <w:p>
      <w:pPr>
        <w:pStyle w:val="24"/>
        <w:spacing w:line="520" w:lineRule="exact"/>
        <w:ind w:firstLine="64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2.组成部件及功能</w:t>
      </w:r>
    </w:p>
    <w:p>
      <w:pPr>
        <w:numPr>
          <w:ilvl w:val="255"/>
          <w:numId w:val="0"/>
        </w:numPr>
        <w:spacing w:line="520" w:lineRule="exact"/>
        <w:ind w:firstLine="640" w:firstLineChars="200"/>
        <w:jc w:val="both"/>
        <w:rPr>
          <w:rFonts w:ascii="仿宋_GB2312" w:hAnsi="仿宋_GB2312"/>
          <w:color w:val="auto"/>
          <w:kern w:val="0"/>
          <w:sz w:val="32"/>
          <w:szCs w:val="32"/>
        </w:rPr>
      </w:pPr>
      <w:r>
        <w:rPr>
          <w:rFonts w:hint="eastAsia" w:ascii="仿宋_GB2312" w:hAnsi="仿宋_GB2312" w:eastAsia="仿宋_GB2312"/>
          <w:color w:val="auto"/>
          <w:kern w:val="0"/>
          <w:sz w:val="32"/>
          <w:szCs w:val="32"/>
          <w:lang w:val="en-US" w:eastAsia="zh-CN"/>
        </w:rPr>
        <w:t>2.1</w:t>
      </w:r>
      <w:r>
        <w:rPr>
          <w:rFonts w:hint="eastAsia" w:ascii="仿宋_GB2312" w:hAnsi="仿宋_GB2312" w:eastAsia="仿宋_GB2312"/>
          <w:color w:val="auto"/>
          <w:kern w:val="0"/>
          <w:sz w:val="32"/>
          <w:szCs w:val="32"/>
        </w:rPr>
        <w:t>进样模块（如有）：通过传输轨道，将被检测样品传输至</w:t>
      </w:r>
      <w:r>
        <w:rPr>
          <w:rFonts w:hint="eastAsia" w:ascii="仿宋_GB2312" w:hAnsi="仿宋_GB2312" w:eastAsia="仿宋_GB2312"/>
          <w:color w:val="auto"/>
          <w:kern w:val="0"/>
          <w:sz w:val="32"/>
          <w:szCs w:val="32"/>
          <w:lang w:val="en-US" w:eastAsia="zh-CN"/>
        </w:rPr>
        <w:t>取样</w:t>
      </w:r>
      <w:r>
        <w:rPr>
          <w:rFonts w:hint="eastAsia" w:ascii="仿宋_GB2312" w:hAnsi="仿宋_GB2312" w:eastAsia="仿宋_GB2312"/>
          <w:color w:val="auto"/>
          <w:kern w:val="0"/>
          <w:sz w:val="32"/>
          <w:szCs w:val="32"/>
        </w:rPr>
        <w:t>模块，部分产品同时包含样品搅拌功能。其中，半自动分析仪不包含轨道等进样模块。</w:t>
      </w:r>
    </w:p>
    <w:p>
      <w:pPr>
        <w:numPr>
          <w:ilvl w:val="255"/>
          <w:numId w:val="0"/>
        </w:numPr>
        <w:spacing w:line="520" w:lineRule="exact"/>
        <w:ind w:firstLine="640" w:firstLineChars="20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2.2</w:t>
      </w:r>
      <w:r>
        <w:rPr>
          <w:rFonts w:hint="eastAsia" w:ascii="仿宋_GB2312" w:hAnsi="仿宋_GB2312" w:eastAsia="仿宋_GB2312" w:cs="仿宋_GB2312"/>
          <w:color w:val="auto"/>
          <w:kern w:val="0"/>
          <w:sz w:val="32"/>
          <w:szCs w:val="32"/>
        </w:rPr>
        <w:t>取样模块：主要由吸样针、样品稀释模块、清洗模块以及废液模块等组成。</w:t>
      </w:r>
    </w:p>
    <w:p>
      <w:pPr>
        <w:numPr>
          <w:ilvl w:val="255"/>
          <w:numId w:val="0"/>
        </w:numPr>
        <w:spacing w:line="520" w:lineRule="exact"/>
        <w:ind w:firstLine="640" w:firstLineChars="20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2.3</w:t>
      </w:r>
      <w:r>
        <w:rPr>
          <w:rFonts w:hint="eastAsia" w:ascii="仿宋_GB2312" w:hAnsi="仿宋_GB2312" w:eastAsia="仿宋_GB2312" w:cs="仿宋_GB2312"/>
          <w:color w:val="auto"/>
          <w:kern w:val="0"/>
          <w:sz w:val="32"/>
          <w:szCs w:val="32"/>
        </w:rPr>
        <w:t>分离模块：主要由色谱柱（层析柱）组成。经预处理的样品通过分离模块，根据样品与洗脱液以及色谱柱（层析柱）填充剂三者之间亲和程度，来决定HbA1c在内各成分的洗脱顺序。</w:t>
      </w:r>
    </w:p>
    <w:p>
      <w:pPr>
        <w:numPr>
          <w:ilvl w:val="255"/>
          <w:numId w:val="0"/>
        </w:numPr>
        <w:spacing w:line="520" w:lineRule="exact"/>
        <w:ind w:firstLine="640" w:firstLineChars="20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注：为了确保分离时的温度，也有仪器带有加温部。 </w:t>
      </w:r>
    </w:p>
    <w:p>
      <w:pPr>
        <w:numPr>
          <w:ilvl w:val="255"/>
          <w:numId w:val="0"/>
        </w:numPr>
        <w:spacing w:line="520" w:lineRule="exact"/>
        <w:ind w:firstLine="640" w:firstLineChars="20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2.4</w:t>
      </w:r>
      <w:r>
        <w:rPr>
          <w:rFonts w:hint="eastAsia" w:ascii="仿宋_GB2312" w:hAnsi="仿宋_GB2312" w:eastAsia="仿宋_GB2312" w:cs="仿宋_GB2312"/>
          <w:color w:val="auto"/>
          <w:kern w:val="0"/>
          <w:sz w:val="32"/>
          <w:szCs w:val="32"/>
        </w:rPr>
        <w:t>检测模块：主要包括光源（如LED-发光二极管）、光电检测器单元组件等。通过检测从色谱柱（层析柱）分离样本中各组分的吸光度值，并将其转换电信号，最终形成色谱。</w:t>
      </w:r>
    </w:p>
    <w:p>
      <w:pPr>
        <w:numPr>
          <w:ilvl w:val="255"/>
          <w:numId w:val="0"/>
        </w:numPr>
        <w:spacing w:line="520" w:lineRule="exact"/>
        <w:ind w:firstLine="640" w:firstLineChars="20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2.5</w:t>
      </w:r>
      <w:r>
        <w:rPr>
          <w:rFonts w:hint="eastAsia" w:ascii="仿宋_GB2312" w:hAnsi="仿宋_GB2312" w:eastAsia="仿宋_GB2312" w:cs="仿宋_GB2312"/>
          <w:color w:val="auto"/>
          <w:kern w:val="0"/>
          <w:sz w:val="32"/>
          <w:szCs w:val="32"/>
        </w:rPr>
        <w:t>软件组件：利用检测到色谱的各峰面积，换算成各成分的浓度。用于对结果的处理、显示、存储、管理和打印。</w:t>
      </w:r>
    </w:p>
    <w:p>
      <w:pPr>
        <w:numPr>
          <w:ilvl w:val="255"/>
          <w:numId w:val="0"/>
        </w:numPr>
        <w:spacing w:line="520" w:lineRule="exact"/>
        <w:ind w:firstLine="640" w:firstLineChars="20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2.6</w:t>
      </w:r>
      <w:r>
        <w:rPr>
          <w:rFonts w:hint="eastAsia" w:ascii="仿宋_GB2312" w:hAnsi="仿宋_GB2312" w:eastAsia="仿宋_GB2312" w:cs="仿宋_GB2312"/>
          <w:color w:val="auto"/>
          <w:kern w:val="0"/>
          <w:sz w:val="32"/>
          <w:szCs w:val="32"/>
        </w:rPr>
        <w:t>显示模块：显示仪器的状态、操作画面、检测结果等，其报告结果包含HbA1c测定值以及色谱图，并以NGSP的传统单位%HbA1c报告糖化血红蛋白测定结果,同时报告IFCC 的国际单位制单位(mmol/mol)结果。</w:t>
      </w:r>
    </w:p>
    <w:p>
      <w:pPr>
        <w:pStyle w:val="24"/>
        <w:spacing w:line="520" w:lineRule="exact"/>
        <w:ind w:firstLine="640"/>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产品工作原理</w:t>
      </w:r>
    </w:p>
    <w:p>
      <w:pPr>
        <w:spacing w:after="0" w:line="520" w:lineRule="exact"/>
        <w:ind w:firstLine="640" w:firstLineChars="200"/>
        <w:rPr>
          <w:rFonts w:hint="eastAsia" w:ascii="仿宋_GB2312" w:hAnsi="仿宋_GB2312" w:eastAsia="仿宋_GB2312" w:cs="仿宋_GB2312"/>
          <w:color w:val="auto"/>
          <w:kern w:val="0"/>
          <w:sz w:val="32"/>
          <w:szCs w:val="32"/>
        </w:rPr>
      </w:pPr>
      <w:bookmarkStart w:id="4" w:name="OLE_LINK3"/>
      <w:r>
        <w:rPr>
          <w:rFonts w:hint="eastAsia" w:ascii="仿宋_GB2312" w:hAnsi="仿宋_GB2312" w:eastAsia="仿宋_GB2312" w:cs="仿宋_GB2312"/>
          <w:color w:val="auto"/>
          <w:kern w:val="0"/>
          <w:sz w:val="32"/>
          <w:szCs w:val="32"/>
        </w:rPr>
        <w:t>目前，临床实验室常见</w:t>
      </w:r>
      <w:r>
        <w:rPr>
          <w:rFonts w:hint="eastAsia" w:ascii="仿宋_GB2312" w:hAnsi="仿宋_GB2312" w:eastAsia="仿宋_GB2312" w:cs="仿宋_GB2312"/>
          <w:color w:val="auto"/>
          <w:kern w:val="0"/>
          <w:sz w:val="32"/>
          <w:szCs w:val="32"/>
          <w:lang w:val="en-US" w:eastAsia="zh-CN"/>
        </w:rPr>
        <w:t>的检测方法中</w:t>
      </w:r>
      <w:r>
        <w:rPr>
          <w:rFonts w:hint="eastAsia" w:ascii="仿宋_GB2312" w:hAnsi="仿宋_GB2312" w:eastAsia="仿宋_GB2312" w:cs="仿宋_GB2312"/>
          <w:color w:val="auto"/>
          <w:kern w:val="0"/>
          <w:sz w:val="32"/>
          <w:szCs w:val="32"/>
        </w:rPr>
        <w:t>，直接测定HbA1c的方法</w:t>
      </w:r>
      <w:bookmarkStart w:id="5" w:name="_Hlk76219410"/>
      <w:r>
        <w:rPr>
          <w:rFonts w:hint="eastAsia" w:ascii="仿宋_GB2312" w:hAnsi="仿宋_GB2312" w:eastAsia="仿宋_GB2312" w:cs="仿宋_GB2312"/>
          <w:color w:val="auto"/>
          <w:kern w:val="0"/>
          <w:sz w:val="32"/>
          <w:szCs w:val="32"/>
          <w:lang w:val="en-US" w:eastAsia="zh-CN"/>
        </w:rPr>
        <w:t>包括</w:t>
      </w:r>
      <w:r>
        <w:rPr>
          <w:rFonts w:hint="eastAsia" w:ascii="仿宋_GB2312" w:hAnsi="仿宋_GB2312" w:eastAsia="仿宋_GB2312" w:cs="仿宋_GB2312"/>
          <w:color w:val="auto"/>
          <w:kern w:val="0"/>
          <w:sz w:val="32"/>
          <w:szCs w:val="32"/>
        </w:rPr>
        <w:t>离子交换色谱法</w:t>
      </w:r>
      <w:bookmarkEnd w:id="5"/>
      <w:r>
        <w:rPr>
          <w:rFonts w:hint="eastAsia" w:ascii="仿宋_GB2312" w:hAnsi="仿宋_GB2312" w:eastAsia="仿宋_GB2312" w:cs="仿宋_GB2312"/>
          <w:color w:val="auto"/>
          <w:kern w:val="0"/>
          <w:sz w:val="32"/>
          <w:szCs w:val="32"/>
        </w:rPr>
        <w:t>、分光光度法</w:t>
      </w:r>
      <w:r>
        <w:rPr>
          <w:rFonts w:hint="eastAsia" w:ascii="仿宋_GB2312" w:hAnsi="仿宋_GB2312" w:eastAsia="仿宋_GB2312" w:cs="仿宋_GB2312"/>
          <w:color w:val="auto"/>
          <w:kern w:val="0"/>
          <w:sz w:val="32"/>
          <w:szCs w:val="32"/>
          <w:lang w:val="en-US" w:eastAsia="zh-CN"/>
        </w:rPr>
        <w:t>等</w:t>
      </w:r>
      <w:r>
        <w:rPr>
          <w:rFonts w:hint="eastAsia" w:ascii="仿宋_GB2312" w:hAnsi="仿宋_GB2312" w:eastAsia="仿宋_GB2312" w:cs="仿宋_GB2312"/>
          <w:color w:val="auto"/>
          <w:kern w:val="0"/>
          <w:sz w:val="32"/>
          <w:szCs w:val="32"/>
        </w:rPr>
        <w:t>，测定与HbA1c具有相关性的总糖基化血红蛋白的方法</w:t>
      </w:r>
      <w:r>
        <w:rPr>
          <w:rFonts w:hint="eastAsia" w:ascii="仿宋_GB2312" w:hAnsi="仿宋_GB2312" w:eastAsia="仿宋_GB2312" w:cs="仿宋_GB2312"/>
          <w:color w:val="auto"/>
          <w:kern w:val="0"/>
          <w:sz w:val="32"/>
          <w:szCs w:val="32"/>
          <w:lang w:val="en-US" w:eastAsia="zh-CN"/>
        </w:rPr>
        <w:t>包括</w:t>
      </w:r>
      <w:r>
        <w:rPr>
          <w:rFonts w:hint="eastAsia" w:ascii="仿宋_GB2312" w:hAnsi="仿宋_GB2312" w:eastAsia="仿宋_GB2312" w:cs="仿宋_GB2312"/>
          <w:color w:val="auto"/>
          <w:kern w:val="0"/>
          <w:sz w:val="32"/>
          <w:szCs w:val="32"/>
        </w:rPr>
        <w:t>硼酸亲和法等。</w:t>
      </w:r>
    </w:p>
    <w:bookmarkEnd w:id="4"/>
    <w:p>
      <w:pPr>
        <w:numPr>
          <w:ilvl w:val="255"/>
          <w:numId w:val="0"/>
        </w:numPr>
        <w:spacing w:after="0" w:line="52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3.1</w:t>
      </w:r>
      <w:r>
        <w:rPr>
          <w:rFonts w:hint="eastAsia" w:ascii="仿宋_GB2312" w:hAnsi="仿宋_GB2312" w:eastAsia="仿宋_GB2312" w:cs="仿宋_GB2312"/>
          <w:color w:val="auto"/>
          <w:kern w:val="0"/>
          <w:sz w:val="32"/>
          <w:szCs w:val="32"/>
        </w:rPr>
        <w:t>直接测定HbA1c的测定方法</w:t>
      </w:r>
    </w:p>
    <w:p>
      <w:pPr>
        <w:spacing w:after="0" w:line="520" w:lineRule="exact"/>
        <w:ind w:firstLine="640" w:firstLineChars="200"/>
        <w:rPr>
          <w:color w:val="auto"/>
          <w:sz w:val="32"/>
          <w:szCs w:val="32"/>
        </w:rPr>
      </w:pPr>
      <w:r>
        <w:rPr>
          <w:rFonts w:hint="eastAsia" w:ascii="仿宋_GB2312" w:hAnsi="仿宋_GB2312" w:eastAsia="仿宋_GB2312" w:cs="仿宋_GB2312"/>
          <w:color w:val="auto"/>
          <w:sz w:val="32"/>
          <w:szCs w:val="32"/>
        </w:rPr>
        <w:t>3.1.1</w:t>
      </w:r>
      <w:bookmarkStart w:id="6" w:name="OLE_LINK2"/>
      <w:r>
        <w:rPr>
          <w:rFonts w:hint="eastAsia" w:ascii="仿宋_GB2312" w:hAnsi="仿宋_GB2312" w:eastAsia="仿宋_GB2312" w:cs="仿宋_GB2312"/>
          <w:color w:val="auto"/>
          <w:sz w:val="32"/>
          <w:szCs w:val="32"/>
        </w:rPr>
        <w:t>离子交换色谱法</w:t>
      </w:r>
      <w:bookmarkEnd w:id="6"/>
      <w:r>
        <w:rPr>
          <w:rFonts w:hint="eastAsia" w:ascii="仿宋_GB2312" w:hAnsi="仿宋_GB2312" w:eastAsia="仿宋_GB2312" w:cs="仿宋_GB2312"/>
          <w:color w:val="auto"/>
          <w:sz w:val="32"/>
          <w:szCs w:val="32"/>
        </w:rPr>
        <w:t>（如高压液相色谱法（HPLC法）和低压液相色谱法（LPLC法））：</w:t>
      </w:r>
    </w:p>
    <w:p>
      <w:pPr>
        <w:spacing w:after="0"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通常基于HbA1c与其它血红蛋白组分所带电荷不同，在一定的缓冲液离子强度下可与</w:t>
      </w:r>
      <w:r>
        <w:rPr>
          <w:rFonts w:hint="eastAsia" w:ascii="仿宋_GB2312" w:hAnsi="仿宋_GB2312" w:eastAsia="仿宋_GB2312" w:cs="仿宋_GB2312"/>
          <w:sz w:val="32"/>
          <w:szCs w:val="32"/>
        </w:rPr>
        <w:t>色谱柱（层析柱）</w:t>
      </w:r>
      <w:r>
        <w:rPr>
          <w:rFonts w:hint="eastAsia" w:ascii="仿宋_GB2312" w:hAnsi="仿宋_GB2312" w:eastAsia="仿宋_GB2312" w:cs="仿宋_GB2312"/>
          <w:color w:val="auto"/>
          <w:sz w:val="32"/>
          <w:szCs w:val="32"/>
        </w:rPr>
        <w:t>树脂表面偶联的离子基团有不同程度的结合，从而将HbA1c与其它组分（HbA1a、HbA1b、HbF、HbA0）区分开而得到分离，检测从</w:t>
      </w:r>
      <w:r>
        <w:rPr>
          <w:rFonts w:hint="eastAsia" w:ascii="仿宋_GB2312" w:hAnsi="仿宋_GB2312" w:eastAsia="仿宋_GB2312" w:cs="仿宋_GB2312"/>
          <w:sz w:val="32"/>
          <w:szCs w:val="32"/>
        </w:rPr>
        <w:t>色谱柱（层析柱）</w:t>
      </w:r>
      <w:r>
        <w:rPr>
          <w:rFonts w:hint="eastAsia" w:ascii="仿宋_GB2312" w:hAnsi="仿宋_GB2312" w:eastAsia="仿宋_GB2312" w:cs="仿宋_GB2312"/>
          <w:color w:val="auto"/>
          <w:sz w:val="32"/>
          <w:szCs w:val="32"/>
        </w:rPr>
        <w:t>洗脱各成分的吸光度，根据每个峰值下的面积来计算HbA1c占总Hb的比例，从而获得峰鉴别和含量。</w:t>
      </w:r>
    </w:p>
    <w:p>
      <w:pPr>
        <w:spacing w:after="0" w:line="520" w:lineRule="exact"/>
        <w:ind w:firstLine="0" w:firstLineChars="0"/>
        <w:rPr>
          <w:rFonts w:hint="eastAsia" w:ascii="仿宋_GB2312" w:hAnsi="仿宋_GB2312" w:eastAsia="仿宋_GB2312" w:cs="仿宋_GB2312"/>
          <w:color w:val="auto"/>
          <w:sz w:val="32"/>
          <w:szCs w:val="32"/>
        </w:rPr>
      </w:pPr>
    </w:p>
    <w:p>
      <w:pPr>
        <w:spacing w:after="0" w:line="520" w:lineRule="exact"/>
        <w:ind w:firstLine="0" w:firstLineChars="0"/>
        <w:rPr>
          <w:rFonts w:hint="eastAsia" w:ascii="仿宋_GB2312" w:hAnsi="仿宋_GB2312" w:eastAsia="仿宋_GB2312" w:cs="仿宋_GB2312"/>
          <w:color w:val="auto"/>
          <w:sz w:val="32"/>
          <w:szCs w:val="32"/>
        </w:rPr>
      </w:pPr>
    </w:p>
    <w:p>
      <w:pPr>
        <w:spacing w:after="0" w:line="520" w:lineRule="exact"/>
        <w:ind w:firstLine="0" w:firstLineChars="0"/>
        <w:rPr>
          <w:rFonts w:hint="eastAsia" w:ascii="仿宋_GB2312" w:hAnsi="仿宋_GB2312" w:eastAsia="仿宋_GB2312" w:cs="仿宋_GB2312"/>
          <w:color w:val="auto"/>
          <w:sz w:val="32"/>
          <w:szCs w:val="32"/>
        </w:rPr>
      </w:pPr>
    </w:p>
    <w:p>
      <w:pPr>
        <w:spacing w:after="0" w:line="520" w:lineRule="exact"/>
        <w:ind w:firstLine="0" w:firstLineChars="0"/>
        <w:rPr>
          <w:rFonts w:hint="eastAsia" w:ascii="仿宋_GB2312" w:hAnsi="仿宋_GB2312" w:eastAsia="仿宋_GB2312" w:cs="仿宋_GB2312"/>
          <w:color w:val="auto"/>
          <w:sz w:val="32"/>
          <w:szCs w:val="32"/>
        </w:rPr>
      </w:pPr>
    </w:p>
    <w:p>
      <w:pPr>
        <w:spacing w:after="0" w:line="520" w:lineRule="exact"/>
        <w:ind w:firstLine="0" w:firstLineChars="0"/>
        <w:rPr>
          <w:rFonts w:hint="eastAsia" w:ascii="仿宋_GB2312" w:hAnsi="仿宋_GB2312" w:eastAsia="仿宋_GB2312" w:cs="仿宋_GB2312"/>
          <w:color w:val="auto"/>
          <w:sz w:val="32"/>
          <w:szCs w:val="32"/>
        </w:rPr>
      </w:pPr>
    </w:p>
    <w:p>
      <w:pPr>
        <w:spacing w:after="0" w:line="520" w:lineRule="exact"/>
        <w:ind w:firstLine="0" w:firstLineChars="0"/>
        <w:jc w:val="center"/>
        <w:rPr>
          <w:rFonts w:hint="eastAsia" w:ascii="黑体" w:hAnsi="黑体" w:eastAsia="黑体" w:cs="黑体"/>
          <w:color w:val="auto"/>
          <w:sz w:val="28"/>
          <w:szCs w:val="28"/>
          <w:lang w:val="en-US" w:eastAsia="zh-CN"/>
        </w:rPr>
      </w:pPr>
      <w:r>
        <w:rPr>
          <w:rFonts w:hint="eastAsia" w:ascii="仿宋_GB2312" w:hAnsi="仿宋_GB2312" w:eastAsia="仿宋_GB2312" w:cs="仿宋_GB2312"/>
          <w:color w:val="auto"/>
          <w:sz w:val="32"/>
          <w:szCs w:val="32"/>
          <w:lang w:eastAsia="zh-CN"/>
        </w:rPr>
        <w:drawing>
          <wp:anchor distT="0" distB="0" distL="114300" distR="114300" simplePos="0" relativeHeight="251661312" behindDoc="0" locked="0" layoutInCell="1" allowOverlap="1">
            <wp:simplePos x="0" y="0"/>
            <wp:positionH relativeFrom="column">
              <wp:posOffset>8890</wp:posOffset>
            </wp:positionH>
            <wp:positionV relativeFrom="paragraph">
              <wp:posOffset>23495</wp:posOffset>
            </wp:positionV>
            <wp:extent cx="5612765" cy="2592705"/>
            <wp:effectExtent l="0" t="0" r="6985" b="17145"/>
            <wp:wrapTopAndBottom/>
            <wp:docPr id="2" name="图片 2" descr="1633484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3484476(1)"/>
                    <pic:cNvPicPr>
                      <a:picLocks noChangeAspect="1"/>
                    </pic:cNvPicPr>
                  </pic:nvPicPr>
                  <pic:blipFill>
                    <a:blip r:embed="rId6"/>
                    <a:stretch>
                      <a:fillRect/>
                    </a:stretch>
                  </pic:blipFill>
                  <pic:spPr>
                    <a:xfrm>
                      <a:off x="0" y="0"/>
                      <a:ext cx="5612765" cy="2592705"/>
                    </a:xfrm>
                    <a:prstGeom prst="rect">
                      <a:avLst/>
                    </a:prstGeom>
                  </pic:spPr>
                </pic:pic>
              </a:graphicData>
            </a:graphic>
          </wp:anchor>
        </w:drawing>
      </w:r>
      <w:r>
        <w:rPr>
          <w:rFonts w:hint="eastAsia" w:ascii="黑体" w:hAnsi="黑体" w:eastAsia="黑体" w:cs="黑体"/>
          <w:color w:val="auto"/>
          <w:sz w:val="28"/>
          <w:szCs w:val="28"/>
        </w:rPr>
        <w:t>图</w:t>
      </w:r>
      <w:r>
        <w:rPr>
          <w:rFonts w:hint="eastAsia" w:ascii="黑体" w:hAnsi="黑体" w:eastAsia="黑体" w:cs="黑体"/>
          <w:color w:val="auto"/>
          <w:sz w:val="28"/>
          <w:szCs w:val="28"/>
          <w:lang w:val="en-US" w:eastAsia="zh-CN"/>
        </w:rPr>
        <w:t>2</w:t>
      </w:r>
      <w:r>
        <w:rPr>
          <w:rFonts w:hint="eastAsia" w:ascii="黑体" w:hAnsi="黑体" w:eastAsia="黑体" w:cs="黑体"/>
          <w:color w:val="auto"/>
          <w:sz w:val="28"/>
          <w:szCs w:val="28"/>
        </w:rPr>
        <w:t xml:space="preserve"> 离子交换色谱法</w:t>
      </w:r>
      <w:r>
        <w:rPr>
          <w:rFonts w:hint="eastAsia" w:ascii="黑体" w:hAnsi="黑体" w:eastAsia="黑体" w:cs="黑体"/>
          <w:color w:val="auto"/>
          <w:sz w:val="28"/>
          <w:szCs w:val="28"/>
          <w:lang w:val="en-US" w:eastAsia="zh-CN"/>
        </w:rPr>
        <w:t>工作原理图</w:t>
      </w:r>
    </w:p>
    <w:p>
      <w:pPr>
        <w:spacing w:after="0" w:line="520" w:lineRule="exact"/>
        <w:ind w:firstLine="0" w:firstLineChars="0"/>
        <w:jc w:val="center"/>
        <w:rPr>
          <w:rFonts w:hint="default" w:eastAsia="黑体"/>
          <w:color w:val="auto"/>
          <w:sz w:val="28"/>
          <w:szCs w:val="28"/>
          <w:lang w:val="en-US" w:eastAsia="zh-CN"/>
        </w:rPr>
      </w:pPr>
    </w:p>
    <w:p>
      <w:pPr>
        <w:spacing w:after="0"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3.1.2分光光度法：通过检测吸光度强度与已知校准品浓度得到糖化血红蛋白A1c及血红蛋白的含量，再计算出HbA1c占总血红蛋白的百分数。此法不可用于变异血红蛋白的研究。</w:t>
      </w:r>
    </w:p>
    <w:p>
      <w:pPr>
        <w:spacing w:after="0" w:line="52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3.2</w:t>
      </w:r>
      <w:r>
        <w:rPr>
          <w:rFonts w:hint="eastAsia" w:ascii="仿宋_GB2312" w:hAnsi="仿宋_GB2312" w:eastAsia="仿宋_GB2312" w:cs="仿宋_GB2312"/>
          <w:color w:val="auto"/>
          <w:kern w:val="0"/>
          <w:sz w:val="32"/>
          <w:szCs w:val="32"/>
        </w:rPr>
        <w:t>测定与HbA1c具有相关性的总糖基化血红蛋白的方法</w:t>
      </w:r>
    </w:p>
    <w:p>
      <w:pPr>
        <w:spacing w:after="0" w:line="52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硼酸亲和法：利用硼酸基团所携带的羟基与血红蛋白糖化所形成的顺位二元醇可逆结合的原理，通过色谱柱（层析柱）、渗滤或侧向层析等方式，将总糖基化血红蛋白（glycohemoglobin，GHb）绑定在分离介质上，使其与非糖化血红蛋白分离，绑定的GHb成分通过山梨醇洗脱，其含量可使用层析法和反射光度法测定。由于亲和层析中硼酸基团并非针对HbA1c特异性绑定，除HbA1c外，其他位点的糖化产物同样能够与硼酸结合绑定，因此该法的检测对象为总糖基化血红蛋白（GHb）。</w:t>
      </w:r>
    </w:p>
    <w:p>
      <w:pPr>
        <w:spacing w:after="0" w:line="520" w:lineRule="exact"/>
        <w:ind w:firstLine="640" w:firstLineChars="200"/>
        <w:rPr>
          <w:rFonts w:hint="eastAsia" w:ascii="仿宋_GB2312" w:hAnsi="仿宋_GB2312" w:eastAsia="仿宋_GB2312" w:cs="仿宋_GB2312"/>
          <w:color w:val="auto"/>
          <w:kern w:val="0"/>
          <w:sz w:val="32"/>
          <w:szCs w:val="32"/>
        </w:rPr>
      </w:pPr>
    </w:p>
    <w:p>
      <w:pPr>
        <w:spacing w:after="0" w:line="520" w:lineRule="exact"/>
        <w:ind w:firstLine="560" w:firstLineChars="200"/>
        <w:jc w:val="center"/>
        <w:rPr>
          <w:rFonts w:hint="eastAsia" w:ascii="黑体" w:hAnsi="黑体" w:eastAsia="黑体" w:cs="黑体"/>
          <w:color w:val="auto"/>
          <w:sz w:val="28"/>
          <w:szCs w:val="28"/>
          <w:lang w:val="en-US"/>
        </w:rPr>
      </w:pPr>
      <w:r>
        <w:rPr>
          <w:rFonts w:hint="eastAsia" w:ascii="黑体" w:hAnsi="黑体" w:eastAsia="黑体" w:cs="黑体"/>
          <w:color w:val="auto"/>
          <w:kern w:val="0"/>
          <w:sz w:val="28"/>
          <w:szCs w:val="28"/>
        </w:rPr>
        <w:drawing>
          <wp:anchor distT="0" distB="0" distL="114300" distR="114300" simplePos="0" relativeHeight="251659264" behindDoc="0" locked="0" layoutInCell="1" allowOverlap="1">
            <wp:simplePos x="0" y="0"/>
            <wp:positionH relativeFrom="column">
              <wp:posOffset>37465</wp:posOffset>
            </wp:positionH>
            <wp:positionV relativeFrom="paragraph">
              <wp:posOffset>67945</wp:posOffset>
            </wp:positionV>
            <wp:extent cx="5659120" cy="2381885"/>
            <wp:effectExtent l="0" t="0" r="17780" b="1841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59120" cy="2381885"/>
                    </a:xfrm>
                    <a:prstGeom prst="rect">
                      <a:avLst/>
                    </a:prstGeom>
                    <a:noFill/>
                  </pic:spPr>
                </pic:pic>
              </a:graphicData>
            </a:graphic>
          </wp:anchor>
        </w:drawing>
      </w:r>
      <w:r>
        <w:rPr>
          <w:rFonts w:hint="eastAsia" w:ascii="黑体" w:hAnsi="黑体" w:eastAsia="黑体" w:cs="黑体"/>
          <w:color w:val="auto"/>
          <w:sz w:val="28"/>
          <w:szCs w:val="28"/>
        </w:rPr>
        <w:t>图</w:t>
      </w:r>
      <w:r>
        <w:rPr>
          <w:rFonts w:hint="eastAsia" w:ascii="黑体" w:hAnsi="黑体" w:eastAsia="黑体" w:cs="黑体"/>
          <w:color w:val="auto"/>
          <w:sz w:val="28"/>
          <w:szCs w:val="28"/>
          <w:lang w:val="en-US" w:eastAsia="zh-CN"/>
        </w:rPr>
        <w:t>3</w:t>
      </w:r>
      <w:r>
        <w:rPr>
          <w:rFonts w:hint="eastAsia" w:ascii="黑体" w:hAnsi="黑体" w:eastAsia="黑体" w:cs="黑体"/>
          <w:color w:val="auto"/>
          <w:sz w:val="28"/>
          <w:szCs w:val="28"/>
        </w:rPr>
        <w:t xml:space="preserve"> 硼酸亲和法</w:t>
      </w:r>
      <w:r>
        <w:rPr>
          <w:rFonts w:hint="eastAsia" w:ascii="黑体" w:hAnsi="黑体" w:eastAsia="黑体" w:cs="黑体"/>
          <w:color w:val="auto"/>
          <w:sz w:val="28"/>
          <w:szCs w:val="28"/>
          <w:lang w:val="en-US" w:eastAsia="zh-CN"/>
        </w:rPr>
        <w:t>工作原理图</w:t>
      </w:r>
    </w:p>
    <w:p>
      <w:pPr>
        <w:spacing w:after="0" w:line="520" w:lineRule="exact"/>
        <w:ind w:firstLine="640" w:firstLineChars="200"/>
        <w:rPr>
          <w:rFonts w:hint="eastAsia" w:ascii="仿宋_GB2312" w:hAnsi="仿宋_GB2312" w:eastAsia="仿宋_GB2312" w:cs="仿宋_GB2312"/>
          <w:color w:val="auto"/>
          <w:kern w:val="0"/>
          <w:sz w:val="32"/>
          <w:szCs w:val="32"/>
        </w:rPr>
      </w:pPr>
    </w:p>
    <w:p>
      <w:pPr>
        <w:spacing w:after="0" w:line="52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.适用范围和禁忌症</w:t>
      </w:r>
    </w:p>
    <w:p>
      <w:pPr>
        <w:spacing w:after="0" w:line="52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产品适用范围应与申报产品的产品功能保持一致。</w:t>
      </w:r>
    </w:p>
    <w:p>
      <w:pPr>
        <w:spacing w:after="0" w:line="52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糖化血红蛋白分析仪的适用范围根据申报产品的特性对产品的工作原理以及预期使用环境进行明确，一般可限定为：该产品基于XX原理，与配套的检测试剂共同使用，在临床上用于人体血液样本中糖化血红蛋白的定量检测。如，该产品基于分光光度计原理，与配套的检测试剂共同使用，在临床上用于对来源于人体全血样本中糖化血红蛋白的定量检测。 </w:t>
      </w:r>
    </w:p>
    <w:p>
      <w:pPr>
        <w:spacing w:after="0" w:line="52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禁忌症：暂未见禁忌症相关报道。</w:t>
      </w:r>
    </w:p>
    <w:p>
      <w:pPr>
        <w:spacing w:line="52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.参考的同类产品或前代产品的情况</w:t>
      </w:r>
    </w:p>
    <w:p>
      <w:pPr>
        <w:spacing w:after="0" w:line="52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当提供同类产品（国内外已上市）或前代产品的信息，阐述申请注册产品的研发背景和目的。对于同类产品，应当说明选择其作为研发参考的原因。同时列表说明申请注册产品与参考产品（同类产品或前代产品）在工作原理、结构组成、性能指标以及预期用途等方面的异同，必要时提供图示。</w:t>
      </w:r>
    </w:p>
    <w:p>
      <w:pPr>
        <w:numPr>
          <w:ilvl w:val="-1"/>
          <w:numId w:val="0"/>
        </w:numPr>
        <w:spacing w:after="0" w:line="520" w:lineRule="exact"/>
        <w:ind w:firstLine="640" w:firstLineChars="200"/>
        <w:rPr>
          <w:rFonts w:hint="eastAsia" w:ascii="Times New Roman" w:hAnsi="Times New Roman" w:eastAsia="楷体_GB2312"/>
          <w:color w:val="auto"/>
          <w:kern w:val="2"/>
          <w:sz w:val="32"/>
          <w:szCs w:val="32"/>
        </w:rPr>
      </w:pPr>
      <w:r>
        <w:rPr>
          <w:rFonts w:hint="default" w:eastAsia="楷体_GB2312"/>
          <w:color w:val="auto"/>
          <w:sz w:val="32"/>
          <w:szCs w:val="32"/>
          <w:lang w:eastAsia="zh-CN"/>
        </w:rPr>
        <w:t>（</w:t>
      </w:r>
      <w:r>
        <w:rPr>
          <w:rFonts w:hint="default" w:eastAsia="楷体_GB2312"/>
          <w:color w:val="auto"/>
          <w:sz w:val="32"/>
          <w:szCs w:val="32"/>
          <w:lang w:val="en-US" w:eastAsia="zh-CN"/>
        </w:rPr>
        <w:t>三</w:t>
      </w:r>
      <w:r>
        <w:rPr>
          <w:rFonts w:hint="default" w:eastAsia="楷体_GB2312"/>
          <w:color w:val="auto"/>
          <w:sz w:val="32"/>
          <w:szCs w:val="32"/>
          <w:lang w:eastAsia="zh-CN"/>
        </w:rPr>
        <w:t>）</w:t>
      </w:r>
      <w:r>
        <w:rPr>
          <w:rFonts w:hint="default" w:ascii="Times New Roman" w:hAnsi="Times New Roman" w:eastAsia="楷体_GB2312"/>
          <w:color w:val="auto"/>
          <w:kern w:val="2"/>
          <w:sz w:val="32"/>
          <w:szCs w:val="32"/>
          <w:lang w:val="en-US" w:eastAsia="zh-CN"/>
        </w:rPr>
        <w:t>产品</w:t>
      </w:r>
      <w:r>
        <w:rPr>
          <w:rFonts w:hint="default" w:ascii="Times New Roman" w:hAnsi="Times New Roman" w:eastAsia="楷体_GB2312"/>
          <w:color w:val="auto"/>
          <w:kern w:val="2"/>
          <w:sz w:val="32"/>
          <w:szCs w:val="32"/>
        </w:rPr>
        <w:t>风险分析</w:t>
      </w:r>
    </w:p>
    <w:p>
      <w:pPr>
        <w:spacing w:line="52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产品</w:t>
      </w:r>
      <w:r>
        <w:rPr>
          <w:rFonts w:hint="eastAsia" w:ascii="仿宋_GB2312" w:hAnsi="仿宋_GB2312" w:eastAsia="仿宋_GB2312" w:cs="仿宋_GB2312"/>
          <w:color w:val="auto"/>
          <w:kern w:val="0"/>
          <w:sz w:val="32"/>
          <w:szCs w:val="32"/>
        </w:rPr>
        <w:t>主要的风险包括能量危害、环境危害、与使用有关的危害、功能失效及老化有关的危害等，应按照YY/T 0316《医疗器械风险管理对医疗器械的应用》的要求对每种可能涉及的危害识别评估，形成风险分析管理报告。常见</w:t>
      </w:r>
      <w:r>
        <w:rPr>
          <w:rFonts w:hint="eastAsia" w:ascii="仿宋_GB2312" w:hAnsi="仿宋_GB2312" w:eastAsia="仿宋_GB2312" w:cs="仿宋_GB2312"/>
          <w:color w:val="auto"/>
          <w:kern w:val="0"/>
          <w:sz w:val="32"/>
          <w:szCs w:val="32"/>
          <w:lang w:val="en-US" w:eastAsia="zh-CN"/>
        </w:rPr>
        <w:t>危害因素</w:t>
      </w:r>
      <w:r>
        <w:rPr>
          <w:rFonts w:hint="eastAsia" w:ascii="仿宋_GB2312" w:hAnsi="仿宋_GB2312" w:eastAsia="仿宋_GB2312" w:cs="仿宋_GB2312"/>
          <w:color w:val="auto"/>
          <w:kern w:val="0"/>
          <w:sz w:val="32"/>
          <w:szCs w:val="32"/>
        </w:rPr>
        <w:t>见附件</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w:t>
      </w:r>
    </w:p>
    <w:p>
      <w:pPr>
        <w:numPr>
          <w:ilvl w:val="0"/>
          <w:numId w:val="0"/>
        </w:numPr>
        <w:spacing w:line="520" w:lineRule="exact"/>
        <w:ind w:firstLine="640" w:firstLineChars="200"/>
        <w:rPr>
          <w:rFonts w:hint="default" w:ascii="Times New Roman" w:hAnsi="Times New Roman" w:eastAsia="楷体_GB2312"/>
          <w:color w:val="auto"/>
          <w:kern w:val="2"/>
          <w:sz w:val="32"/>
          <w:szCs w:val="32"/>
        </w:rPr>
      </w:pPr>
      <w:r>
        <w:rPr>
          <w:rFonts w:hint="default" w:eastAsia="楷体_GB2312"/>
          <w:color w:val="auto"/>
          <w:sz w:val="32"/>
          <w:szCs w:val="32"/>
          <w:lang w:eastAsia="zh-CN"/>
        </w:rPr>
        <w:t>（</w:t>
      </w:r>
      <w:r>
        <w:rPr>
          <w:rFonts w:hint="default" w:eastAsia="楷体_GB2312"/>
          <w:color w:val="auto"/>
          <w:sz w:val="32"/>
          <w:szCs w:val="32"/>
          <w:lang w:val="en-US" w:eastAsia="zh-CN"/>
        </w:rPr>
        <w:t>四</w:t>
      </w:r>
      <w:r>
        <w:rPr>
          <w:rFonts w:hint="default" w:eastAsia="楷体_GB2312"/>
          <w:color w:val="auto"/>
          <w:sz w:val="32"/>
          <w:szCs w:val="32"/>
          <w:lang w:eastAsia="zh-CN"/>
        </w:rPr>
        <w:t>）</w:t>
      </w:r>
      <w:r>
        <w:rPr>
          <w:rFonts w:hint="default" w:ascii="Times New Roman" w:hAnsi="Times New Roman" w:eastAsia="楷体_GB2312"/>
          <w:color w:val="auto"/>
          <w:kern w:val="2"/>
          <w:sz w:val="32"/>
          <w:szCs w:val="32"/>
        </w:rPr>
        <w:t>医疗器械安全和性能基本原则</w:t>
      </w:r>
    </w:p>
    <w:p>
      <w:pPr>
        <w:spacing w:line="52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申请人可根据产品特性判断医疗器械安全性能基本原则中各条款的适用性，证明符合性采用的方法和为符合性提供客观证据的文件由申请人根据实际情况进行填写。</w:t>
      </w:r>
    </w:p>
    <w:p>
      <w:pPr>
        <w:spacing w:line="52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证明产品符合性的文件包括风险分析资料、研究资料、临床评价资料、检验报告及质量体系管理文件等。包含在申报资料中的证明文件，应当说明其具体位置。当包含多个文件时应具体到提交的单个文件，如软件研究资料中的测试报告（报告编号XXX）；当包含在同一文件中时应具体到标题号或条款号，如风险分析资料风险评估表条款X.X。未包含在申报资料中的证明文件，应当注明文件名称及其文件编号备查。</w:t>
      </w:r>
    </w:p>
    <w:p>
      <w:pPr>
        <w:widowControl/>
        <w:spacing w:line="520" w:lineRule="exact"/>
        <w:ind w:firstLine="640" w:firstLineChars="200"/>
        <w:outlineLvl w:val="9"/>
        <w:rPr>
          <w:rFonts w:ascii="仿宋_GB2312" w:hAnsi="仿宋_GB2312" w:eastAsia="仿宋_GB2312"/>
          <w:color w:val="auto"/>
          <w:kern w:val="0"/>
          <w:sz w:val="32"/>
          <w:szCs w:val="32"/>
        </w:rPr>
      </w:pPr>
      <w:r>
        <w:rPr>
          <w:rFonts w:hint="default" w:ascii="Times New Roman" w:hAnsi="Times New Roman" w:eastAsia="楷体_GB2312"/>
          <w:color w:val="auto"/>
          <w:kern w:val="2"/>
          <w:sz w:val="32"/>
          <w:szCs w:val="32"/>
          <w:lang w:eastAsia="zh-CN"/>
        </w:rPr>
        <w:t>（</w:t>
      </w:r>
      <w:r>
        <w:rPr>
          <w:rFonts w:hint="default" w:ascii="Times New Roman" w:hAnsi="Times New Roman" w:eastAsia="楷体_GB2312"/>
          <w:color w:val="auto"/>
          <w:kern w:val="2"/>
          <w:sz w:val="32"/>
          <w:szCs w:val="32"/>
          <w:lang w:val="en-US" w:eastAsia="zh-CN"/>
        </w:rPr>
        <w:t>五</w:t>
      </w:r>
      <w:r>
        <w:rPr>
          <w:rFonts w:hint="default" w:ascii="Times New Roman" w:hAnsi="Times New Roman" w:eastAsia="楷体_GB2312"/>
          <w:color w:val="auto"/>
          <w:kern w:val="2"/>
          <w:sz w:val="32"/>
          <w:szCs w:val="32"/>
          <w:lang w:eastAsia="zh-CN"/>
        </w:rPr>
        <w:t>）</w:t>
      </w:r>
      <w:r>
        <w:rPr>
          <w:rFonts w:ascii="Times New Roman" w:hAnsi="Times New Roman" w:eastAsia="楷体_GB2312"/>
          <w:color w:val="auto"/>
          <w:kern w:val="2"/>
          <w:sz w:val="32"/>
          <w:szCs w:val="32"/>
        </w:rPr>
        <w:t>产品性能研究</w:t>
      </w:r>
    </w:p>
    <w:p>
      <w:pPr>
        <w:widowControl/>
        <w:spacing w:line="520" w:lineRule="exact"/>
        <w:ind w:firstLine="640" w:firstLineChars="200"/>
        <w:outlineLvl w:val="9"/>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1.</w:t>
      </w:r>
      <w:r>
        <w:rPr>
          <w:rFonts w:hint="eastAsia" w:ascii="仿宋_GB2312" w:hAnsi="仿宋_GB2312" w:eastAsia="仿宋_GB2312"/>
          <w:color w:val="auto"/>
          <w:kern w:val="0"/>
          <w:sz w:val="32"/>
          <w:szCs w:val="32"/>
        </w:rPr>
        <w:t>产品性能研究资料</w:t>
      </w:r>
    </w:p>
    <w:p>
      <w:pPr>
        <w:widowControl/>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1.1</w:t>
      </w:r>
      <w:r>
        <w:rPr>
          <w:rFonts w:hint="eastAsia" w:ascii="仿宋_GB2312" w:hAnsi="仿宋_GB2312" w:eastAsia="仿宋_GB2312"/>
          <w:color w:val="auto"/>
          <w:kern w:val="0"/>
          <w:sz w:val="32"/>
          <w:szCs w:val="32"/>
        </w:rPr>
        <w:t>功能性指标研究资料：</w:t>
      </w:r>
    </w:p>
    <w:p>
      <w:pPr>
        <w:widowControl/>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申报产品各组成模块性能的研究资料：应根据综述资料中有关申报产品结构组成和各主要组成模块的情况进行，提供详细的研究资料，至少应包括进样模块、取样模块、分离模块、检测模块和显示模块（离子交换色谱法（HPLC法）</w:t>
      </w:r>
      <w:r>
        <w:rPr>
          <w:rFonts w:hint="eastAsia" w:ascii="仿宋_GB2312" w:hAnsi="仿宋_GB2312" w:eastAsia="仿宋_GB2312" w:cs="Times New Roman"/>
          <w:color w:val="auto"/>
          <w:kern w:val="0"/>
          <w:sz w:val="32"/>
          <w:szCs w:val="32"/>
        </w:rPr>
        <w:t>的</w:t>
      </w:r>
      <w:r>
        <w:rPr>
          <w:rFonts w:hint="eastAsia" w:ascii="仿宋_GB2312" w:hAnsi="仿宋_GB2312" w:eastAsia="仿宋_GB2312"/>
          <w:color w:val="auto"/>
          <w:kern w:val="0"/>
          <w:sz w:val="32"/>
          <w:szCs w:val="32"/>
        </w:rPr>
        <w:t>糖化血红蛋白分析仪</w:t>
      </w:r>
      <w:r>
        <w:rPr>
          <w:rFonts w:hint="eastAsia" w:ascii="仿宋_GB2312" w:hAnsi="仿宋_GB2312" w:eastAsia="仿宋_GB2312"/>
          <w:color w:val="auto"/>
          <w:kern w:val="0"/>
          <w:sz w:val="32"/>
          <w:szCs w:val="32"/>
          <w:lang w:val="en-US" w:eastAsia="zh-CN"/>
        </w:rPr>
        <w:t>的</w:t>
      </w:r>
      <w:r>
        <w:rPr>
          <w:rFonts w:hint="eastAsia" w:ascii="仿宋_GB2312" w:hAnsi="仿宋_GB2312" w:eastAsia="仿宋_GB2312"/>
          <w:color w:val="auto"/>
          <w:kern w:val="0"/>
          <w:sz w:val="32"/>
          <w:szCs w:val="32"/>
        </w:rPr>
        <w:t>组成，其他方法学参考并确定关键模块）的功能性指标或者模块中主要元器件功能性指标的研究资料。</w:t>
      </w:r>
    </w:p>
    <w:p>
      <w:pPr>
        <w:widowControl/>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1.2</w:t>
      </w:r>
      <w:r>
        <w:rPr>
          <w:rFonts w:hint="eastAsia" w:ascii="仿宋_GB2312" w:hAnsi="仿宋_GB2312" w:eastAsia="仿宋_GB2312"/>
          <w:color w:val="auto"/>
          <w:kern w:val="0"/>
          <w:sz w:val="32"/>
          <w:szCs w:val="32"/>
        </w:rPr>
        <w:t>安全性指标的验证包括电气安全指标和电磁兼容指标两大类。电气安全指标应当包括GB 4793.1、GB 4793.6（如包含加热、孵育模块，则适用）</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rPr>
        <w:t>GB 4793.9、YY 0648及其他适用的国家标准和行业标准中的所有指标</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rPr>
        <w:t>电磁兼容指标应当包括GB/T 18268.1和GB/T 18268.26及其他适用的国家标准和行业标准中的所有指标</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rPr>
        <w:t>具备能力的申请人可对上述项目自行研究，并提交详细的验证资料</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rPr>
        <w:t>不具备能力的申请人可通过注册检验对上述项目进行验证，以注册检验报告作为该部分的验证资料。</w:t>
      </w:r>
    </w:p>
    <w:p>
      <w:pPr>
        <w:widowControl/>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1.3</w:t>
      </w:r>
      <w:r>
        <w:rPr>
          <w:rFonts w:hint="eastAsia" w:ascii="仿宋_GB2312" w:hAnsi="仿宋_GB2312" w:eastAsia="仿宋_GB2312"/>
          <w:color w:val="auto"/>
          <w:kern w:val="0"/>
          <w:sz w:val="32"/>
          <w:szCs w:val="32"/>
        </w:rPr>
        <w:t>研究资料中应详细写明通过研究验证确定的分析仪结构组成及主要元器件信息。</w:t>
      </w:r>
    </w:p>
    <w:p>
      <w:pPr>
        <w:widowControl/>
        <w:spacing w:line="520" w:lineRule="exact"/>
        <w:ind w:firstLine="640" w:firstLineChars="200"/>
        <w:outlineLvl w:val="9"/>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2</w:t>
      </w:r>
      <w:r>
        <w:rPr>
          <w:rFonts w:hint="eastAsia" w:ascii="仿宋_GB2312" w:hAnsi="仿宋_GB2312" w:eastAsia="仿宋_GB2312"/>
          <w:color w:val="auto"/>
          <w:kern w:val="0"/>
          <w:sz w:val="32"/>
          <w:szCs w:val="32"/>
        </w:rPr>
        <w:t>.产品有效期和包装研究</w:t>
      </w:r>
    </w:p>
    <w:p>
      <w:pPr>
        <w:widowControl/>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应当提供产品有效期的验证报告，报告中应对申报产品中包含的易耗、易损、需定期更换或者具有固定使用寿命的主要元器件的情况进行详细描述，详述确定产品使用期限或者失效期的具体理由，给出产品使用期限或者产品失效期。对于注册人/申请人提交加速老化试验研究资料的情形，不再要求提交实时老化试验研究资料。具体参见《有源医疗器械使用期限注册技术审查指导原则》（国家药品监督管理局通告2019年第23号）的相关要求。</w:t>
      </w:r>
    </w:p>
    <w:p>
      <w:pPr>
        <w:widowControl/>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包装及包装完整性：在宣称的有效期内以及运输储存条件下，保持包装完整性的依据。</w:t>
      </w:r>
    </w:p>
    <w:p>
      <w:pPr>
        <w:widowControl/>
        <w:spacing w:line="520" w:lineRule="exact"/>
        <w:ind w:firstLine="640" w:firstLineChars="200"/>
        <w:outlineLvl w:val="9"/>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3</w:t>
      </w:r>
      <w:r>
        <w:rPr>
          <w:rFonts w:hint="eastAsia" w:ascii="仿宋_GB2312" w:hAnsi="仿宋_GB2312" w:eastAsia="仿宋_GB2312"/>
          <w:color w:val="auto"/>
          <w:kern w:val="0"/>
          <w:sz w:val="32"/>
          <w:szCs w:val="32"/>
        </w:rPr>
        <w:t>.软件研究</w:t>
      </w:r>
    </w:p>
    <w:p>
      <w:pPr>
        <w:widowControl/>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3</w:t>
      </w:r>
      <w:r>
        <w:rPr>
          <w:rFonts w:hint="eastAsia" w:ascii="仿宋_GB2312" w:hAnsi="仿宋_GB2312" w:eastAsia="仿宋_GB2312"/>
          <w:color w:val="auto"/>
          <w:kern w:val="0"/>
          <w:sz w:val="32"/>
          <w:szCs w:val="32"/>
        </w:rPr>
        <w:t>.1提供一份单独的糖化血红蛋白分析仪随机软件描述文档，其内容应当符合YY/T 0664的要求，根据产品预期的临床检测项目可能对患者造成的风险，确定申报产品随机软件的安全性级别，并按照确定的安全性级别提交随机软件描述文档。</w:t>
      </w:r>
    </w:p>
    <w:p>
      <w:pPr>
        <w:widowControl/>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3</w:t>
      </w:r>
      <w:r>
        <w:rPr>
          <w:rFonts w:hint="eastAsia" w:ascii="仿宋_GB2312" w:hAnsi="仿宋_GB2312" w:eastAsia="仿宋_GB2312"/>
          <w:color w:val="auto"/>
          <w:kern w:val="0"/>
          <w:sz w:val="32"/>
          <w:szCs w:val="32"/>
        </w:rPr>
        <w:t>.2提供一份关于软件版本命名规则的声明，明确写明软件版本的全部字段及字段含义，确定软件的完整版本和发行所用的标识版本。其中，软件的完整版本信息应与随机软件描述文档中的相应内容保持一致，发行所用的标识版本信息应与产品说明书、随机软件描述文档的内容保持一致。</w:t>
      </w:r>
    </w:p>
    <w:p>
      <w:pPr>
        <w:widowControl/>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有关软件研究资料的详细内容，建议按照</w:t>
      </w:r>
      <w:r>
        <w:rPr>
          <w:rFonts w:ascii="仿宋_GB2312" w:hAnsi="仿宋_GB2312" w:eastAsia="仿宋_GB2312"/>
          <w:kern w:val="0"/>
          <w:sz w:val="32"/>
          <w:szCs w:val="32"/>
        </w:rPr>
        <w:t>《医疗器械软件注册</w:t>
      </w:r>
      <w:r>
        <w:rPr>
          <w:rFonts w:ascii="仿宋_GB2312" w:hAnsi="仿宋_GB2312" w:eastAsia="仿宋_GB2312"/>
          <w:sz w:val="32"/>
          <w:szCs w:val="32"/>
        </w:rPr>
        <w:t>技术审查</w:t>
      </w:r>
      <w:r>
        <w:rPr>
          <w:rFonts w:ascii="仿宋_GB2312" w:hAnsi="仿宋_GB2312" w:eastAsia="仿宋_GB2312"/>
          <w:kern w:val="0"/>
          <w:sz w:val="32"/>
          <w:szCs w:val="32"/>
        </w:rPr>
        <w:t>指导原则》</w:t>
      </w:r>
      <w:r>
        <w:rPr>
          <w:rFonts w:hint="eastAsia" w:ascii="仿宋_GB2312" w:hAnsi="仿宋_GB2312" w:eastAsia="仿宋_GB2312"/>
          <w:color w:val="auto"/>
          <w:kern w:val="0"/>
          <w:sz w:val="32"/>
          <w:szCs w:val="32"/>
        </w:rPr>
        <w:t>的要求进行编写。</w:t>
      </w:r>
    </w:p>
    <w:p>
      <w:pPr>
        <w:widowControl/>
        <w:spacing w:line="520" w:lineRule="exact"/>
        <w:ind w:firstLine="640" w:firstLineChars="200"/>
        <w:outlineLvl w:val="9"/>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4</w:t>
      </w:r>
      <w:r>
        <w:rPr>
          <w:rFonts w:hint="eastAsia" w:ascii="仿宋_GB2312" w:hAnsi="仿宋_GB2312" w:eastAsia="仿宋_GB2312"/>
          <w:color w:val="auto"/>
          <w:kern w:val="0"/>
          <w:sz w:val="32"/>
          <w:szCs w:val="32"/>
        </w:rPr>
        <w:t>.网络安全要求（适用时）</w:t>
      </w:r>
    </w:p>
    <w:p>
      <w:pPr>
        <w:widowControl/>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产品涉及医疗器械网络安全是指具有网络连接功能以进行电子数据交换或远程控制（其中网络包括无线、有线网络，电子数据交换包括单向、双向数据传输，远程控制包括实时、非实时控制），或者采用存储媒介以进行电子数据交换（其中存储媒介包括但不限于光盘、移动硬盘和U盘）。</w:t>
      </w:r>
    </w:p>
    <w:p>
      <w:pPr>
        <w:widowControl/>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应参照《医疗器械网络安全注册技术审查指导原则》的相关要求，提供一份单独的网络安全描述文档。</w:t>
      </w:r>
    </w:p>
    <w:p>
      <w:pPr>
        <w:widowControl/>
        <w:spacing w:line="520" w:lineRule="exact"/>
        <w:ind w:firstLine="640" w:firstLineChars="200"/>
        <w:outlineLvl w:val="9"/>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5</w:t>
      </w:r>
      <w:r>
        <w:rPr>
          <w:rFonts w:hint="eastAsia" w:ascii="仿宋_GB2312" w:hAnsi="仿宋_GB2312" w:eastAsia="仿宋_GB2312"/>
          <w:color w:val="auto"/>
          <w:kern w:val="0"/>
          <w:sz w:val="32"/>
          <w:szCs w:val="32"/>
        </w:rPr>
        <w:t>.其他安全有效性的研究资料</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olor w:val="auto"/>
          <w:kern w:val="0"/>
          <w:sz w:val="32"/>
          <w:szCs w:val="32"/>
          <w:lang w:val="en-US" w:eastAsia="zh-CN"/>
        </w:rPr>
        <w:t>5</w:t>
      </w:r>
      <w:r>
        <w:rPr>
          <w:rFonts w:hint="eastAsia" w:ascii="仿宋_GB2312" w:hAnsi="仿宋_GB2312" w:eastAsia="仿宋_GB2312"/>
          <w:color w:val="auto"/>
          <w:kern w:val="0"/>
          <w:sz w:val="32"/>
          <w:szCs w:val="32"/>
        </w:rPr>
        <w:t>.1</w:t>
      </w:r>
      <w:r>
        <w:rPr>
          <w:rFonts w:hint="eastAsia" w:ascii="仿宋_GB2312" w:hAnsi="仿宋_GB2312" w:eastAsia="仿宋_GB2312" w:cs="Times New Roman"/>
          <w:color w:val="auto"/>
          <w:kern w:val="0"/>
          <w:sz w:val="32"/>
          <w:szCs w:val="32"/>
        </w:rPr>
        <w:t>申请人应提交分析系统关于性能评估的研究资料，包括线性、准确度、精密度等项目的评估资料。</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lang w:val="en-US" w:eastAsia="zh-CN"/>
        </w:rPr>
        <w:t>5</w:t>
      </w:r>
      <w:r>
        <w:rPr>
          <w:rFonts w:hint="eastAsia" w:ascii="仿宋_GB2312" w:hAnsi="仿宋_GB2312" w:eastAsia="仿宋_GB2312" w:cs="Times New Roman"/>
          <w:color w:val="auto"/>
          <w:kern w:val="0"/>
          <w:sz w:val="32"/>
          <w:szCs w:val="32"/>
        </w:rPr>
        <w:t>.2申请人应根据申报产品所用方法的特性，开展特异性研究，如离子色谱法类产品，应考虑其他血红蛋白HbF和HbA2对测定值的影响。</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lang w:val="en-US" w:eastAsia="zh-CN"/>
        </w:rPr>
        <w:t>5</w:t>
      </w:r>
      <w:r>
        <w:rPr>
          <w:rFonts w:hint="eastAsia" w:ascii="仿宋_GB2312" w:hAnsi="仿宋_GB2312" w:eastAsia="仿宋_GB2312" w:cs="Times New Roman"/>
          <w:color w:val="auto"/>
          <w:kern w:val="0"/>
          <w:sz w:val="32"/>
          <w:szCs w:val="32"/>
        </w:rPr>
        <w:t>.3 拟申请注册产品的适用范围中若宣称同时具备检测</w:t>
      </w:r>
      <w:r>
        <w:rPr>
          <w:rFonts w:hint="eastAsia" w:ascii="仿宋_GB2312" w:hAnsi="仿宋_GB2312" w:eastAsia="仿宋_GB2312"/>
          <w:color w:val="auto"/>
          <w:kern w:val="0"/>
          <w:sz w:val="32"/>
          <w:szCs w:val="32"/>
        </w:rPr>
        <w:t>变异血红蛋白（</w:t>
      </w:r>
      <w:r>
        <w:rPr>
          <w:rFonts w:hint="eastAsia" w:ascii="仿宋_GB2312" w:hAnsi="仿宋_GB2312" w:eastAsia="仿宋_GB2312" w:cs="Times New Roman"/>
          <w:color w:val="auto"/>
          <w:kern w:val="0"/>
          <w:sz w:val="32"/>
          <w:szCs w:val="32"/>
        </w:rPr>
        <w:t>HbS、HbC、HbD、HbE</w:t>
      </w:r>
      <w:r>
        <w:rPr>
          <w:rFonts w:hint="eastAsia" w:ascii="仿宋_GB2312" w:hAnsi="仿宋_GB2312" w:eastAsia="仿宋_GB2312" w:cs="Times New Roman"/>
          <w:color w:val="auto"/>
          <w:kern w:val="0"/>
          <w:sz w:val="32"/>
          <w:szCs w:val="32"/>
          <w:lang w:val="en-US" w:eastAsia="zh-CN"/>
        </w:rPr>
        <w:t>等</w:t>
      </w:r>
      <w:r>
        <w:rPr>
          <w:rFonts w:hint="eastAsia" w:ascii="仿宋_GB2312" w:hAnsi="仿宋_GB2312" w:eastAsia="仿宋_GB2312"/>
          <w:color w:val="auto"/>
          <w:kern w:val="0"/>
          <w:sz w:val="32"/>
          <w:szCs w:val="32"/>
        </w:rPr>
        <w:t>）</w:t>
      </w:r>
      <w:r>
        <w:rPr>
          <w:rFonts w:hint="eastAsia" w:ascii="仿宋_GB2312" w:hAnsi="仿宋_GB2312" w:eastAsia="仿宋_GB2312" w:cs="Times New Roman"/>
          <w:color w:val="auto"/>
          <w:kern w:val="0"/>
          <w:sz w:val="32"/>
          <w:szCs w:val="32"/>
        </w:rPr>
        <w:t>功能时，应当</w:t>
      </w:r>
      <w:r>
        <w:rPr>
          <w:rFonts w:hint="eastAsia" w:ascii="仿宋_GB2312" w:hAnsi="仿宋_GB2312" w:eastAsia="仿宋_GB2312"/>
          <w:color w:val="auto"/>
          <w:kern w:val="0"/>
          <w:sz w:val="32"/>
          <w:szCs w:val="32"/>
        </w:rPr>
        <w:t>考虑</w:t>
      </w:r>
      <w:r>
        <w:rPr>
          <w:rFonts w:hint="eastAsia" w:ascii="仿宋_GB2312" w:hAnsi="仿宋_GB2312" w:eastAsia="仿宋_GB2312" w:cs="Times New Roman"/>
          <w:color w:val="auto"/>
          <w:kern w:val="0"/>
          <w:sz w:val="32"/>
          <w:szCs w:val="32"/>
        </w:rPr>
        <w:t>检测项目的性能评估研究，性能评估项目应当包括线性、准确度、精密度等。</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lang w:val="en-US" w:eastAsia="zh-CN"/>
        </w:rPr>
        <w:t>5</w:t>
      </w:r>
      <w:r>
        <w:rPr>
          <w:rFonts w:hint="eastAsia" w:ascii="仿宋_GB2312" w:hAnsi="仿宋_GB2312" w:eastAsia="仿宋_GB2312" w:cs="Times New Roman"/>
          <w:color w:val="auto"/>
          <w:kern w:val="0"/>
          <w:sz w:val="32"/>
          <w:szCs w:val="32"/>
        </w:rPr>
        <w:t>.4对于开放式仪器的性能评估项目</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rPr>
        <w:t>开放式仪器，通常可与多种试剂组合，进而测定多种检测项目。因此，除应遵循相应标准、指导原则外，还应考察样本及试剂的加样量、精密度、准确度、样本传感器、试剂传感器的携带污染以及反应室的污染研究。</w:t>
      </w:r>
    </w:p>
    <w:p>
      <w:pPr>
        <w:widowControl/>
        <w:numPr>
          <w:ilvl w:val="-1"/>
          <w:numId w:val="0"/>
        </w:numPr>
        <w:spacing w:line="520" w:lineRule="exact"/>
        <w:ind w:firstLine="640" w:firstLineChars="200"/>
        <w:rPr>
          <w:rFonts w:hint="eastAsia" w:ascii="Times New Roman" w:hAnsi="Times New Roman" w:eastAsia="楷体_GB2312" w:cs="Times New Roman"/>
          <w:color w:val="auto"/>
          <w:kern w:val="2"/>
          <w:sz w:val="32"/>
          <w:szCs w:val="32"/>
        </w:rPr>
      </w:pPr>
      <w:r>
        <w:rPr>
          <w:rFonts w:hint="eastAsia" w:eastAsia="楷体_GB2312" w:cs="Times New Roman"/>
          <w:color w:val="auto"/>
          <w:sz w:val="32"/>
          <w:szCs w:val="32"/>
          <w:lang w:eastAsia="zh-CN"/>
        </w:rPr>
        <w:t>（</w:t>
      </w:r>
      <w:r>
        <w:rPr>
          <w:rFonts w:hint="eastAsia" w:eastAsia="楷体_GB2312" w:cs="Times New Roman"/>
          <w:color w:val="auto"/>
          <w:sz w:val="32"/>
          <w:szCs w:val="32"/>
          <w:lang w:val="en-US" w:eastAsia="zh-CN"/>
        </w:rPr>
        <w:t>六</w:t>
      </w:r>
      <w:r>
        <w:rPr>
          <w:rFonts w:hint="eastAsia" w:eastAsia="楷体_GB2312" w:cs="Times New Roman"/>
          <w:color w:val="auto"/>
          <w:sz w:val="32"/>
          <w:szCs w:val="32"/>
          <w:lang w:eastAsia="zh-CN"/>
        </w:rPr>
        <w:t>）</w:t>
      </w:r>
      <w:r>
        <w:rPr>
          <w:rFonts w:hint="eastAsia" w:ascii="Times New Roman" w:hAnsi="Times New Roman" w:eastAsia="楷体_GB2312" w:cs="Times New Roman"/>
          <w:color w:val="auto"/>
          <w:sz w:val="32"/>
          <w:szCs w:val="32"/>
        </w:rPr>
        <w:t>产品技术要求</w:t>
      </w:r>
    </w:p>
    <w:p>
      <w:pPr>
        <w:widowControl/>
        <w:numPr>
          <w:ilvl w:val="-1"/>
          <w:numId w:val="0"/>
        </w:numPr>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rPr>
        <w:t>产品技术要求的审查是产品主要技术性能指标审查中最重要的环节之一。</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rPr>
        <w:t>1.性能指标、检验方法</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rPr>
        <w:t>1.1可参考YY/T 1246《糖化血红蛋白分析仪》设置,申请人应结合产品自身功能、工作原理特点、技术水平予以考虑适用的标准。产品技术要求中性能指标项目的具体要求应与性能研究资料保持一致，并具有确定的研究资料依据。</w:t>
      </w:r>
    </w:p>
    <w:p>
      <w:pPr>
        <w:widowControl/>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1.2分析仪基本功能指标（若适用）</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olor w:val="auto"/>
          <w:kern w:val="0"/>
          <w:sz w:val="32"/>
          <w:szCs w:val="32"/>
        </w:rPr>
        <w:t>分析仪基本功能要求应与产品自身的技术特点一致，并应在使用说明书中明确说明相关功能。</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lang w:val="en-US" w:eastAsia="zh-CN"/>
        </w:rPr>
        <w:t>1</w:t>
      </w:r>
      <w:r>
        <w:rPr>
          <w:rFonts w:hint="eastAsia" w:ascii="仿宋_GB2312" w:hAnsi="仿宋_GB2312" w:eastAsia="仿宋_GB2312" w:cs="Times New Roman"/>
          <w:color w:val="auto"/>
          <w:kern w:val="0"/>
          <w:sz w:val="32"/>
          <w:szCs w:val="32"/>
        </w:rPr>
        <w:t>.</w:t>
      </w:r>
      <w:r>
        <w:rPr>
          <w:rFonts w:hint="eastAsia" w:ascii="仿宋_GB2312" w:hAnsi="仿宋_GB2312" w:eastAsia="仿宋_GB2312" w:cs="Times New Roman"/>
          <w:color w:val="auto"/>
          <w:kern w:val="0"/>
          <w:sz w:val="32"/>
          <w:szCs w:val="32"/>
          <w:lang w:val="en-US" w:eastAsia="zh-CN"/>
        </w:rPr>
        <w:t>3</w:t>
      </w:r>
      <w:r>
        <w:rPr>
          <w:rFonts w:hint="eastAsia" w:ascii="仿宋_GB2312" w:hAnsi="仿宋_GB2312" w:eastAsia="仿宋_GB2312" w:cs="Times New Roman"/>
          <w:color w:val="auto"/>
          <w:kern w:val="0"/>
          <w:sz w:val="32"/>
          <w:szCs w:val="32"/>
        </w:rPr>
        <w:t>安全要求</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rPr>
        <w:t>符合GB 4793.1、GB 4793.9、YY 0648中适用条款的要求。</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rPr>
        <w:t>注：如包含加热、孵育模块，则应满足GB 4793.6的要求。</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lang w:val="en-US" w:eastAsia="zh-CN"/>
        </w:rPr>
        <w:t>1</w:t>
      </w:r>
      <w:r>
        <w:rPr>
          <w:rFonts w:hint="eastAsia" w:ascii="仿宋_GB2312" w:hAnsi="仿宋_GB2312" w:eastAsia="仿宋_GB2312" w:cs="Times New Roman"/>
          <w:color w:val="auto"/>
          <w:kern w:val="0"/>
          <w:sz w:val="32"/>
          <w:szCs w:val="32"/>
        </w:rPr>
        <w:t>.</w:t>
      </w:r>
      <w:r>
        <w:rPr>
          <w:rFonts w:hint="eastAsia" w:ascii="仿宋_GB2312" w:hAnsi="仿宋_GB2312" w:eastAsia="仿宋_GB2312" w:cs="Times New Roman"/>
          <w:color w:val="auto"/>
          <w:kern w:val="0"/>
          <w:sz w:val="32"/>
          <w:szCs w:val="32"/>
          <w:lang w:val="en-US" w:eastAsia="zh-CN"/>
        </w:rPr>
        <w:t>4</w:t>
      </w:r>
      <w:r>
        <w:rPr>
          <w:rFonts w:hint="eastAsia" w:ascii="仿宋_GB2312" w:hAnsi="仿宋_GB2312" w:eastAsia="仿宋_GB2312" w:cs="Times New Roman"/>
          <w:color w:val="auto"/>
          <w:kern w:val="0"/>
          <w:sz w:val="32"/>
          <w:szCs w:val="32"/>
        </w:rPr>
        <w:t>环境要求</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rPr>
        <w:t>符合GB/T 14710中适用条款的要求。</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lang w:val="en-US" w:eastAsia="zh-CN"/>
        </w:rPr>
        <w:t>1</w:t>
      </w:r>
      <w:r>
        <w:rPr>
          <w:rFonts w:hint="eastAsia" w:ascii="仿宋_GB2312" w:hAnsi="仿宋_GB2312" w:eastAsia="仿宋_GB2312" w:cs="Times New Roman"/>
          <w:color w:val="auto"/>
          <w:kern w:val="0"/>
          <w:sz w:val="32"/>
          <w:szCs w:val="32"/>
        </w:rPr>
        <w:t>.</w:t>
      </w:r>
      <w:r>
        <w:rPr>
          <w:rFonts w:hint="eastAsia" w:ascii="仿宋_GB2312" w:hAnsi="仿宋_GB2312" w:eastAsia="仿宋_GB2312" w:cs="Times New Roman"/>
          <w:color w:val="auto"/>
          <w:kern w:val="0"/>
          <w:sz w:val="32"/>
          <w:szCs w:val="32"/>
          <w:lang w:val="en-US" w:eastAsia="zh-CN"/>
        </w:rPr>
        <w:t>5</w:t>
      </w:r>
      <w:r>
        <w:rPr>
          <w:rFonts w:hint="eastAsia" w:ascii="仿宋_GB2312" w:hAnsi="仿宋_GB2312" w:eastAsia="仿宋_GB2312" w:cs="Times New Roman"/>
          <w:color w:val="auto"/>
          <w:kern w:val="0"/>
          <w:sz w:val="32"/>
          <w:szCs w:val="32"/>
        </w:rPr>
        <w:t>电磁兼容要求</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rPr>
        <w:t>符合GB/T 18268.1、GB/T 18268.26中适用条款的要求。</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rPr>
        <w:t>注：电磁兼容性试验中采用的工作模式应覆盖测试模式。</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lang w:val="en-US" w:eastAsia="zh-CN"/>
        </w:rPr>
        <w:t>1</w:t>
      </w:r>
      <w:r>
        <w:rPr>
          <w:rFonts w:hint="eastAsia" w:ascii="仿宋_GB2312" w:hAnsi="仿宋_GB2312" w:eastAsia="仿宋_GB2312" w:cs="Times New Roman"/>
          <w:color w:val="auto"/>
          <w:kern w:val="0"/>
          <w:sz w:val="32"/>
          <w:szCs w:val="32"/>
        </w:rPr>
        <w:t>.</w:t>
      </w:r>
      <w:r>
        <w:rPr>
          <w:rFonts w:hint="eastAsia" w:ascii="仿宋_GB2312" w:hAnsi="仿宋_GB2312" w:eastAsia="仿宋_GB2312" w:cs="Times New Roman"/>
          <w:color w:val="auto"/>
          <w:kern w:val="0"/>
          <w:sz w:val="32"/>
          <w:szCs w:val="32"/>
          <w:lang w:val="en-US" w:eastAsia="zh-CN"/>
        </w:rPr>
        <w:t>6</w:t>
      </w:r>
      <w:r>
        <w:rPr>
          <w:rFonts w:hint="eastAsia" w:ascii="仿宋_GB2312" w:hAnsi="仿宋_GB2312" w:eastAsia="仿宋_GB2312" w:cs="Times New Roman"/>
          <w:color w:val="auto"/>
          <w:kern w:val="0"/>
          <w:sz w:val="32"/>
          <w:szCs w:val="32"/>
        </w:rPr>
        <w:t>软件功能要求</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rPr>
        <w:t>应参照《医疗器械软件注册技术审查指导原则》（国家食品药品监督管理总局通告2015年第50号）的相关要求。</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lang w:val="en-US" w:eastAsia="zh-CN"/>
        </w:rPr>
        <w:t>1</w:t>
      </w:r>
      <w:r>
        <w:rPr>
          <w:rFonts w:hint="eastAsia" w:ascii="仿宋_GB2312" w:hAnsi="仿宋_GB2312" w:eastAsia="仿宋_GB2312" w:cs="Times New Roman"/>
          <w:color w:val="auto"/>
          <w:kern w:val="0"/>
          <w:sz w:val="32"/>
          <w:szCs w:val="32"/>
        </w:rPr>
        <w:t>.</w:t>
      </w:r>
      <w:r>
        <w:rPr>
          <w:rFonts w:hint="eastAsia" w:ascii="仿宋_GB2312" w:hAnsi="仿宋_GB2312" w:eastAsia="仿宋_GB2312" w:cs="Times New Roman"/>
          <w:color w:val="auto"/>
          <w:kern w:val="0"/>
          <w:sz w:val="32"/>
          <w:szCs w:val="32"/>
          <w:lang w:val="en-US" w:eastAsia="zh-CN"/>
        </w:rPr>
        <w:t>7</w:t>
      </w:r>
      <w:r>
        <w:rPr>
          <w:rFonts w:hint="eastAsia" w:ascii="仿宋_GB2312" w:hAnsi="仿宋_GB2312" w:eastAsia="仿宋_GB2312" w:cs="Times New Roman"/>
          <w:color w:val="auto"/>
          <w:kern w:val="0"/>
          <w:sz w:val="32"/>
          <w:szCs w:val="32"/>
        </w:rPr>
        <w:t>网络安全（如适用）</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s="Times New Roman"/>
          <w:color w:val="auto"/>
          <w:kern w:val="0"/>
          <w:sz w:val="32"/>
          <w:szCs w:val="32"/>
        </w:rPr>
        <w:t>网络安全应参照《医疗器械网络安全注册技术审查指导原则》（国家食品药品监督管理总局通告2017年第13号）的相关要求。</w:t>
      </w:r>
    </w:p>
    <w:p>
      <w:pPr>
        <w:widowControl/>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2</w:t>
      </w:r>
      <w:r>
        <w:rPr>
          <w:rFonts w:hint="eastAsia" w:ascii="仿宋_GB2312" w:hAnsi="仿宋_GB2312" w:eastAsia="仿宋_GB2312"/>
          <w:color w:val="auto"/>
          <w:kern w:val="0"/>
          <w:sz w:val="32"/>
          <w:szCs w:val="32"/>
        </w:rPr>
        <w:t>.其他</w:t>
      </w:r>
    </w:p>
    <w:p>
      <w:pPr>
        <w:widowControl/>
        <w:spacing w:line="520" w:lineRule="exact"/>
        <w:ind w:firstLine="640" w:firstLineChars="200"/>
        <w:rPr>
          <w:rFonts w:hint="eastAsia" w:ascii="仿宋_GB2312" w:hAnsi="仿宋_GB2312" w:eastAsia="仿宋_GB2312" w:cs="Times New Roman"/>
          <w:color w:val="auto"/>
          <w:kern w:val="0"/>
          <w:sz w:val="32"/>
          <w:szCs w:val="32"/>
        </w:rPr>
      </w:pPr>
      <w:r>
        <w:rPr>
          <w:rFonts w:hint="eastAsia" w:ascii="仿宋_GB2312" w:hAnsi="仿宋_GB2312" w:eastAsia="仿宋_GB2312"/>
          <w:color w:val="auto"/>
          <w:kern w:val="0"/>
          <w:sz w:val="32"/>
          <w:szCs w:val="32"/>
        </w:rPr>
        <w:t>成品检验规程的内容原则上应当覆盖已注册或者备案的产品技术要求中需要常规控制的检验项目和检验方法。不能覆盖的，应当在成品检验规程中予以说明。必要时，应当给出经过确认的替代解决方案。</w:t>
      </w:r>
      <w:r>
        <w:rPr>
          <w:rFonts w:hint="eastAsia" w:ascii="仿宋_GB2312" w:hAnsi="仿宋_GB2312" w:eastAsia="仿宋_GB2312" w:cs="Times New Roman"/>
          <w:color w:val="auto"/>
          <w:kern w:val="0"/>
          <w:sz w:val="32"/>
          <w:szCs w:val="32"/>
        </w:rPr>
        <w:t>确保出厂的产品质量符合强制性标准以及经注册或者备案的产品技术要求。例如，准确度</w:t>
      </w:r>
      <w:r>
        <w:rPr>
          <w:rFonts w:hint="eastAsia" w:ascii="仿宋_GB2312" w:hAnsi="仿宋_GB2312" w:eastAsia="仿宋_GB2312" w:cs="Times New Roman"/>
          <w:color w:val="auto"/>
          <w:kern w:val="0"/>
          <w:sz w:val="32"/>
          <w:szCs w:val="32"/>
          <w:lang w:val="en-US" w:eastAsia="zh-CN"/>
        </w:rPr>
        <w:t>要求通常采用</w:t>
      </w:r>
      <w:r>
        <w:rPr>
          <w:rFonts w:hint="eastAsia" w:ascii="仿宋_GB2312" w:hAnsi="仿宋_GB2312" w:eastAsia="仿宋_GB2312" w:cs="Times New Roman"/>
          <w:color w:val="auto"/>
          <w:kern w:val="0"/>
          <w:sz w:val="32"/>
          <w:szCs w:val="32"/>
        </w:rPr>
        <w:t>标准物质</w:t>
      </w:r>
      <w:r>
        <w:rPr>
          <w:rFonts w:hint="eastAsia" w:ascii="仿宋_GB2312" w:hAnsi="仿宋_GB2312" w:eastAsia="仿宋_GB2312" w:cs="Times New Roman"/>
          <w:color w:val="auto"/>
          <w:kern w:val="0"/>
          <w:sz w:val="32"/>
          <w:szCs w:val="32"/>
          <w:lang w:val="en-US" w:eastAsia="zh-CN"/>
        </w:rPr>
        <w:t>进行测试</w:t>
      </w:r>
      <w:r>
        <w:rPr>
          <w:rFonts w:hint="eastAsia" w:ascii="仿宋_GB2312" w:hAnsi="仿宋_GB2312" w:eastAsia="仿宋_GB2312" w:cs="Times New Roman"/>
          <w:color w:val="auto"/>
          <w:kern w:val="0"/>
          <w:sz w:val="32"/>
          <w:szCs w:val="32"/>
        </w:rPr>
        <w:t>，</w:t>
      </w:r>
      <w:r>
        <w:rPr>
          <w:rFonts w:hint="eastAsia" w:ascii="仿宋_GB2312" w:hAnsi="仿宋_GB2312" w:eastAsia="仿宋_GB2312" w:cs="Times New Roman"/>
          <w:color w:val="auto"/>
          <w:kern w:val="0"/>
          <w:sz w:val="32"/>
          <w:szCs w:val="32"/>
          <w:lang w:val="en-US" w:eastAsia="zh-CN"/>
        </w:rPr>
        <w:t>但</w:t>
      </w:r>
      <w:r>
        <w:rPr>
          <w:rFonts w:hint="eastAsia" w:ascii="仿宋_GB2312" w:hAnsi="仿宋_GB2312" w:eastAsia="仿宋_GB2312" w:cs="Times New Roman"/>
          <w:color w:val="auto"/>
          <w:kern w:val="0"/>
          <w:sz w:val="32"/>
          <w:szCs w:val="32"/>
        </w:rPr>
        <w:t>出厂检验</w:t>
      </w:r>
      <w:r>
        <w:rPr>
          <w:rFonts w:hint="eastAsia" w:ascii="仿宋_GB2312" w:hAnsi="仿宋_GB2312" w:eastAsia="仿宋_GB2312" w:cs="Times New Roman"/>
          <w:color w:val="auto"/>
          <w:kern w:val="0"/>
          <w:sz w:val="32"/>
          <w:szCs w:val="32"/>
          <w:lang w:val="en-US" w:eastAsia="zh-CN"/>
        </w:rPr>
        <w:t>可以</w:t>
      </w:r>
      <w:r>
        <w:rPr>
          <w:rFonts w:hint="eastAsia" w:ascii="仿宋_GB2312" w:hAnsi="仿宋_GB2312" w:eastAsia="仿宋_GB2312" w:cs="Times New Roman"/>
          <w:color w:val="auto"/>
          <w:kern w:val="0"/>
          <w:sz w:val="32"/>
          <w:szCs w:val="32"/>
        </w:rPr>
        <w:t>采用具有溯源性要求的物质</w:t>
      </w:r>
      <w:r>
        <w:rPr>
          <w:rFonts w:hint="eastAsia" w:ascii="仿宋_GB2312" w:hAnsi="仿宋_GB2312" w:eastAsia="仿宋_GB2312" w:cs="Times New Roman"/>
          <w:color w:val="auto"/>
          <w:kern w:val="0"/>
          <w:sz w:val="32"/>
          <w:szCs w:val="32"/>
          <w:lang w:val="en-US" w:eastAsia="zh-CN"/>
        </w:rPr>
        <w:t>。</w:t>
      </w:r>
    </w:p>
    <w:p>
      <w:pPr>
        <w:widowControl/>
        <w:numPr>
          <w:ilvl w:val="0"/>
          <w:numId w:val="0"/>
        </w:numPr>
        <w:spacing w:line="520" w:lineRule="exact"/>
        <w:ind w:firstLine="640" w:firstLineChars="200"/>
        <w:rPr>
          <w:rFonts w:hint="eastAsia" w:ascii="Times New Roman" w:hAnsi="Times New Roman" w:eastAsia="楷体_GB2312" w:cs="Times New Roman"/>
          <w:color w:val="auto"/>
          <w:kern w:val="2"/>
          <w:sz w:val="32"/>
          <w:szCs w:val="32"/>
        </w:rPr>
      </w:pPr>
      <w:r>
        <w:rPr>
          <w:rFonts w:hint="eastAsia" w:ascii="Times New Roman" w:hAnsi="Times New Roman" w:eastAsia="楷体_GB2312" w:cs="Times New Roman"/>
          <w:color w:val="auto"/>
          <w:kern w:val="2"/>
          <w:sz w:val="32"/>
          <w:szCs w:val="32"/>
        </w:rPr>
        <w:t>（</w:t>
      </w:r>
      <w:r>
        <w:rPr>
          <w:rFonts w:hint="eastAsia" w:eastAsia="楷体_GB2312" w:cs="Times New Roman"/>
          <w:color w:val="auto"/>
          <w:kern w:val="2"/>
          <w:sz w:val="32"/>
          <w:szCs w:val="32"/>
          <w:lang w:val="en-US" w:eastAsia="zh-CN"/>
        </w:rPr>
        <w:t>七</w:t>
      </w:r>
      <w:r>
        <w:rPr>
          <w:rFonts w:hint="eastAsia" w:ascii="Times New Roman" w:hAnsi="Times New Roman" w:eastAsia="楷体_GB2312" w:cs="Times New Roman"/>
          <w:color w:val="auto"/>
          <w:kern w:val="2"/>
          <w:sz w:val="32"/>
          <w:szCs w:val="32"/>
        </w:rPr>
        <w:t>）检验报告</w:t>
      </w:r>
    </w:p>
    <w:p>
      <w:pPr>
        <w:widowControl/>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同一注册单元内所检验的产品应当能够代表本注册单元内其他产品的安全性和有效性。对同一注册单元内代表产品的选取应考虑产品适用范围、性能指标、安全指标、结构组成等，具体原则如下：</w:t>
      </w:r>
    </w:p>
    <w:p>
      <w:pPr>
        <w:widowControl/>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1. 覆盖按最不利的原则确定，不能覆盖的差异性应分别检测；</w:t>
      </w:r>
    </w:p>
    <w:p>
      <w:pPr>
        <w:widowControl/>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2. 涉及安全性、有效性的关键件应一致，不一致的应分别检测。关键件一般包含：信号采集装置、电源变压器、用作瞬态过压限制装置的电路、设备外壳材料、高完善性元器件及电源开关等。</w:t>
      </w:r>
    </w:p>
    <w:p>
      <w:pPr>
        <w:widowControl/>
        <w:spacing w:line="520" w:lineRule="exact"/>
        <w:ind w:firstLine="640" w:firstLineChars="2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3. 当没有充足证据能够证明同一注册单元内不同型号规格产品之间电磁兼容性可以覆盖时，应选取每一型号规格产品进行电磁兼容项目检测。</w:t>
      </w:r>
    </w:p>
    <w:p>
      <w:pPr>
        <w:widowControl/>
        <w:spacing w:line="520" w:lineRule="exact"/>
        <w:ind w:firstLine="640" w:firstLineChars="200"/>
        <w:rPr>
          <w:rFonts w:eastAsia="仿宋_GB2312"/>
          <w:color w:val="auto"/>
          <w:sz w:val="32"/>
          <w:szCs w:val="32"/>
        </w:rPr>
      </w:pPr>
      <w:r>
        <w:rPr>
          <w:rFonts w:hint="eastAsia" w:ascii="仿宋_GB2312" w:hAnsi="仿宋_GB2312" w:eastAsia="仿宋_GB2312"/>
          <w:color w:val="auto"/>
          <w:kern w:val="0"/>
          <w:sz w:val="32"/>
          <w:szCs w:val="32"/>
        </w:rPr>
        <w:t>对于代表产品的选择，申请人应当提供相关资料予以证明。</w:t>
      </w:r>
    </w:p>
    <w:p>
      <w:pPr>
        <w:numPr>
          <w:ilvl w:val="-1"/>
          <w:numId w:val="0"/>
        </w:numPr>
        <w:spacing w:line="520" w:lineRule="exact"/>
        <w:ind w:firstLine="640" w:firstLineChars="200"/>
        <w:rPr>
          <w:rFonts w:hint="eastAsia" w:ascii="Times New Roman" w:hAnsi="Times New Roman" w:eastAsia="楷体_GB2312" w:cs="Times New Roman"/>
          <w:color w:val="auto"/>
          <w:sz w:val="32"/>
          <w:szCs w:val="32"/>
        </w:rPr>
      </w:pPr>
      <w:r>
        <w:rPr>
          <w:rFonts w:hint="eastAsia" w:eastAsia="楷体_GB2312" w:cs="Times New Roman"/>
          <w:color w:val="auto"/>
          <w:sz w:val="32"/>
          <w:szCs w:val="32"/>
          <w:lang w:eastAsia="zh-CN"/>
        </w:rPr>
        <w:t>（</w:t>
      </w:r>
      <w:r>
        <w:rPr>
          <w:rFonts w:hint="eastAsia" w:eastAsia="楷体_GB2312" w:cs="Times New Roman"/>
          <w:color w:val="auto"/>
          <w:sz w:val="32"/>
          <w:szCs w:val="32"/>
          <w:lang w:val="en-US" w:eastAsia="zh-CN"/>
        </w:rPr>
        <w:t>八</w:t>
      </w:r>
      <w:r>
        <w:rPr>
          <w:rFonts w:hint="eastAsia" w:eastAsia="楷体_GB2312" w:cs="Times New Roman"/>
          <w:color w:val="auto"/>
          <w:sz w:val="32"/>
          <w:szCs w:val="32"/>
          <w:lang w:eastAsia="zh-CN"/>
        </w:rPr>
        <w:t>）</w:t>
      </w:r>
      <w:r>
        <w:rPr>
          <w:rFonts w:hint="eastAsia" w:ascii="Times New Roman" w:hAnsi="Times New Roman" w:eastAsia="楷体_GB2312" w:cs="Times New Roman"/>
          <w:color w:val="auto"/>
          <w:sz w:val="32"/>
          <w:szCs w:val="32"/>
        </w:rPr>
        <w:t>临床评价资料</w:t>
      </w:r>
    </w:p>
    <w:p>
      <w:pPr>
        <w:widowControl/>
        <w:spacing w:line="52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kern w:val="0"/>
          <w:sz w:val="32"/>
          <w:szCs w:val="32"/>
        </w:rPr>
        <w:t>根据《国家药监局关于发布免于临床评价医疗器械目录的通告》（国家药品监督管理局通告2021年第71号）（以下简称《目录》），若申请人拟注册产品用于糖化血红蛋白（H</w:t>
      </w:r>
      <w:r>
        <w:rPr>
          <w:rFonts w:ascii="仿宋_GB2312" w:hAnsi="仿宋_GB2312" w:eastAsia="仿宋_GB2312"/>
          <w:color w:val="auto"/>
          <w:kern w:val="0"/>
          <w:sz w:val="32"/>
          <w:szCs w:val="32"/>
        </w:rPr>
        <w:t>bA1c</w:t>
      </w:r>
      <w:r>
        <w:rPr>
          <w:rFonts w:hint="eastAsia" w:ascii="仿宋_GB2312" w:hAnsi="仿宋_GB2312" w:eastAsia="仿宋_GB2312"/>
          <w:color w:val="auto"/>
          <w:kern w:val="0"/>
          <w:sz w:val="32"/>
          <w:szCs w:val="32"/>
        </w:rPr>
        <w:t>）浓度检测，或包含糖化血红蛋白（H</w:t>
      </w:r>
      <w:r>
        <w:rPr>
          <w:rFonts w:ascii="仿宋_GB2312" w:hAnsi="仿宋_GB2312" w:eastAsia="仿宋_GB2312"/>
          <w:color w:val="auto"/>
          <w:kern w:val="0"/>
          <w:sz w:val="32"/>
          <w:szCs w:val="32"/>
        </w:rPr>
        <w:t>bA1c</w:t>
      </w:r>
      <w:r>
        <w:rPr>
          <w:rFonts w:hint="eastAsia" w:ascii="仿宋_GB2312" w:hAnsi="仿宋_GB2312" w:eastAsia="仿宋_GB2312"/>
          <w:color w:val="auto"/>
          <w:kern w:val="0"/>
          <w:sz w:val="32"/>
          <w:szCs w:val="32"/>
        </w:rPr>
        <w:t>）浓度检测模块时，且为常规检测方法时，则可以免于提交临床评价资料。</w:t>
      </w:r>
    </w:p>
    <w:p>
      <w:pPr>
        <w:widowControl/>
        <w:spacing w:line="520" w:lineRule="exact"/>
        <w:ind w:firstLine="640" w:firstLineChars="200"/>
        <w:rPr>
          <w:rFonts w:hint="eastAsia" w:ascii="仿宋_GB2312" w:hAnsi="仿宋_GB2312" w:eastAsia="仿宋_GB2312"/>
          <w:color w:val="auto"/>
          <w:spacing w:val="0"/>
          <w:kern w:val="0"/>
          <w:sz w:val="32"/>
          <w:szCs w:val="32"/>
        </w:rPr>
      </w:pPr>
      <w:r>
        <w:rPr>
          <w:rFonts w:ascii="仿宋_GB2312" w:hAnsi="仿宋_GB2312" w:eastAsia="仿宋_GB2312"/>
          <w:color w:val="auto"/>
          <w:kern w:val="0"/>
          <w:sz w:val="32"/>
          <w:szCs w:val="32"/>
        </w:rPr>
        <w:t>若</w:t>
      </w:r>
      <w:r>
        <w:rPr>
          <w:rFonts w:hint="eastAsia" w:ascii="仿宋_GB2312" w:hAnsi="仿宋_GB2312" w:eastAsia="仿宋_GB2312"/>
          <w:color w:val="auto"/>
          <w:kern w:val="0"/>
          <w:sz w:val="32"/>
          <w:szCs w:val="32"/>
        </w:rPr>
        <w:t>申请人</w:t>
      </w:r>
      <w:r>
        <w:rPr>
          <w:rFonts w:ascii="仿宋_GB2312" w:hAnsi="仿宋_GB2312" w:eastAsia="仿宋_GB2312"/>
          <w:color w:val="auto"/>
          <w:kern w:val="0"/>
          <w:sz w:val="32"/>
          <w:szCs w:val="32"/>
        </w:rPr>
        <w:t>无法证明申报产品与《目录》产品具有等同性，则</w:t>
      </w:r>
      <w:r>
        <w:rPr>
          <w:rFonts w:hint="eastAsia" w:ascii="仿宋_GB2312" w:hAnsi="仿宋_GB2312" w:eastAsia="仿宋_GB2312"/>
          <w:color w:val="auto"/>
          <w:spacing w:val="0"/>
          <w:kern w:val="0"/>
          <w:sz w:val="32"/>
          <w:szCs w:val="32"/>
        </w:rPr>
        <w:t>应按照《医疗器械临床评价技术指导原则》等其他要求开展相应工作。</w:t>
      </w:r>
    </w:p>
    <w:p>
      <w:pPr>
        <w:widowControl/>
        <w:numPr>
          <w:ilvl w:val="0"/>
          <w:numId w:val="0"/>
        </w:numPr>
        <w:spacing w:line="520" w:lineRule="exact"/>
        <w:ind w:firstLine="640" w:firstLineChars="200"/>
        <w:rPr>
          <w:rFonts w:hint="eastAsia" w:ascii="Times New Roman" w:hAnsi="Times New Roman" w:eastAsia="楷体_GB2312"/>
          <w:color w:val="auto"/>
          <w:spacing w:val="0"/>
          <w:kern w:val="2"/>
          <w:sz w:val="32"/>
          <w:szCs w:val="32"/>
        </w:rPr>
      </w:pPr>
      <w:r>
        <w:rPr>
          <w:rFonts w:hint="eastAsia" w:eastAsia="楷体_GB2312"/>
          <w:color w:val="auto"/>
          <w:spacing w:val="0"/>
          <w:kern w:val="2"/>
          <w:sz w:val="32"/>
          <w:szCs w:val="32"/>
          <w:lang w:eastAsia="zh-CN"/>
        </w:rPr>
        <w:t>（</w:t>
      </w:r>
      <w:r>
        <w:rPr>
          <w:rFonts w:hint="eastAsia" w:eastAsia="楷体_GB2312"/>
          <w:color w:val="auto"/>
          <w:spacing w:val="0"/>
          <w:kern w:val="2"/>
          <w:sz w:val="32"/>
          <w:szCs w:val="32"/>
          <w:lang w:val="en-US" w:eastAsia="zh-CN"/>
        </w:rPr>
        <w:t>九</w:t>
      </w:r>
      <w:r>
        <w:rPr>
          <w:rFonts w:hint="eastAsia" w:eastAsia="楷体_GB2312"/>
          <w:color w:val="auto"/>
          <w:spacing w:val="0"/>
          <w:kern w:val="2"/>
          <w:sz w:val="32"/>
          <w:szCs w:val="32"/>
          <w:lang w:eastAsia="zh-CN"/>
        </w:rPr>
        <w:t>）</w:t>
      </w:r>
      <w:r>
        <w:rPr>
          <w:rFonts w:hint="eastAsia" w:ascii="Times New Roman" w:hAnsi="Times New Roman" w:eastAsia="楷体_GB2312"/>
          <w:color w:val="auto"/>
          <w:spacing w:val="0"/>
          <w:kern w:val="2"/>
          <w:sz w:val="32"/>
          <w:szCs w:val="32"/>
        </w:rPr>
        <w:t>说明书和标签</w:t>
      </w:r>
    </w:p>
    <w:p>
      <w:pPr>
        <w:spacing w:line="520" w:lineRule="exact"/>
        <w:ind w:firstLine="640" w:firstLineChars="200"/>
        <w:rPr>
          <w:rFonts w:ascii="仿宋_GB2312" w:hAnsi="仿宋_GB2312" w:eastAsia="仿宋_GB2312"/>
          <w:color w:val="auto"/>
          <w:kern w:val="0"/>
          <w:sz w:val="32"/>
          <w:szCs w:val="32"/>
        </w:rPr>
      </w:pPr>
      <w:r>
        <w:rPr>
          <w:rFonts w:ascii="仿宋_GB2312" w:hAnsi="仿宋_GB2312" w:eastAsia="仿宋_GB2312"/>
          <w:color w:val="auto"/>
          <w:kern w:val="0"/>
          <w:sz w:val="32"/>
          <w:szCs w:val="32"/>
        </w:rPr>
        <w:t>产</w:t>
      </w:r>
      <w:r>
        <w:rPr>
          <w:rFonts w:ascii="仿宋_GB2312" w:hAnsi="仿宋_GB2312" w:eastAsia="仿宋_GB2312"/>
          <w:color w:val="auto"/>
          <w:spacing w:val="-6"/>
          <w:kern w:val="0"/>
          <w:sz w:val="32"/>
          <w:szCs w:val="32"/>
        </w:rPr>
        <w:t>品说明书、标签和包装标识的编写应符合</w:t>
      </w:r>
      <w:r>
        <w:rPr>
          <w:rFonts w:hint="eastAsia" w:eastAsia="仿宋_GB2312"/>
          <w:color w:val="auto"/>
          <w:spacing w:val="-6"/>
          <w:kern w:val="0"/>
          <w:sz w:val="32"/>
          <w:szCs w:val="32"/>
        </w:rPr>
        <w:t>《医疗器械说明书和标签管理规定》、</w:t>
      </w:r>
      <w:r>
        <w:rPr>
          <w:rFonts w:ascii="仿宋_GB2312" w:hAnsi="仿宋_GB2312" w:eastAsia="仿宋_GB2312"/>
          <w:color w:val="auto"/>
          <w:spacing w:val="-6"/>
          <w:kern w:val="0"/>
          <w:sz w:val="32"/>
          <w:szCs w:val="32"/>
        </w:rPr>
        <w:t>YY/T 0466.1《医疗器械 用于医疗器械标签、标记和提供信息的符号 第1部分：通用要求》、</w:t>
      </w:r>
      <w:r>
        <w:rPr>
          <w:rFonts w:hint="eastAsia" w:ascii="仿宋_GB2312" w:hAnsi="仿宋_GB2312" w:eastAsia="仿宋_GB2312"/>
          <w:color w:val="auto"/>
          <w:spacing w:val="-6"/>
          <w:kern w:val="0"/>
          <w:sz w:val="32"/>
          <w:szCs w:val="32"/>
        </w:rPr>
        <w:t>GB/T 191</w:t>
      </w:r>
      <w:r>
        <w:rPr>
          <w:rFonts w:hint="eastAsia" w:ascii="仿宋_GB2312" w:hAnsi="仿宋_GB2312" w:eastAsia="仿宋_GB2312"/>
          <w:color w:val="auto"/>
          <w:spacing w:val="-6"/>
          <w:kern w:val="0"/>
          <w:sz w:val="32"/>
          <w:szCs w:val="32"/>
        </w:rPr>
        <w:tab/>
      </w:r>
      <w:r>
        <w:rPr>
          <w:rFonts w:hint="eastAsia" w:ascii="仿宋_GB2312" w:hAnsi="仿宋_GB2312" w:eastAsia="仿宋_GB2312"/>
          <w:color w:val="auto"/>
          <w:spacing w:val="-6"/>
          <w:kern w:val="0"/>
          <w:sz w:val="32"/>
          <w:szCs w:val="32"/>
        </w:rPr>
        <w:t>《包装储运图示标志》、G</w:t>
      </w:r>
      <w:r>
        <w:rPr>
          <w:rFonts w:ascii="仿宋_GB2312" w:hAnsi="仿宋_GB2312" w:eastAsia="仿宋_GB2312"/>
          <w:color w:val="auto"/>
          <w:spacing w:val="-6"/>
          <w:kern w:val="0"/>
          <w:sz w:val="32"/>
          <w:szCs w:val="32"/>
        </w:rPr>
        <w:t>B 4793.1</w:t>
      </w:r>
      <w:r>
        <w:rPr>
          <w:rFonts w:hint="eastAsia" w:ascii="仿宋_GB2312" w:hAnsi="仿宋_GB2312" w:eastAsia="仿宋_GB2312"/>
          <w:color w:val="auto"/>
          <w:spacing w:val="-6"/>
          <w:kern w:val="0"/>
          <w:sz w:val="32"/>
          <w:szCs w:val="32"/>
        </w:rPr>
        <w:t>《测量、控制和实验室用电气设备的安全要</w:t>
      </w:r>
      <w:r>
        <w:rPr>
          <w:rFonts w:ascii="仿宋_GB2312" w:hAnsi="仿宋_GB2312" w:eastAsia="仿宋_GB2312"/>
          <w:color w:val="auto"/>
          <w:kern w:val="0"/>
          <w:sz w:val="32"/>
          <w:szCs w:val="32"/>
        </w:rPr>
        <w:t>求 第1部分：通用要求》、GB 4793.9《测量、控制和实验室用电气设备的安全要求 第9部分：实验室用分析和其他》、YY 0648《测量、控制和试验室用电气设备的安全要求 第2-101部分：体外诊断（IVD）医用设备的专用要求》、GB/T 29791.3《体外诊断医疗器械 制造商提供的信息（标示） 第3部分：专业用体外诊断仪器》等相关标准的规定。</w:t>
      </w:r>
    </w:p>
    <w:p>
      <w:pPr>
        <w:spacing w:line="520" w:lineRule="exact"/>
        <w:ind w:firstLine="640" w:firstLineChars="200"/>
        <w:rPr>
          <w:rFonts w:ascii="仿宋_GB2312" w:hAnsi="仿宋_GB2312" w:eastAsia="仿宋_GB2312"/>
          <w:color w:val="auto"/>
          <w:kern w:val="0"/>
          <w:sz w:val="32"/>
          <w:szCs w:val="32"/>
        </w:rPr>
      </w:pPr>
      <w:r>
        <w:rPr>
          <w:rFonts w:ascii="仿宋_GB2312" w:hAnsi="仿宋_GB2312" w:eastAsia="仿宋_GB2312"/>
          <w:color w:val="auto"/>
          <w:kern w:val="0"/>
          <w:sz w:val="32"/>
          <w:szCs w:val="32"/>
        </w:rPr>
        <w:t>说明书、标签的内容应当真实、完整、科学，并与产品特性相一致，文字内容必须使用中文，可以附加其他语种。中文的使用应当符合国家通用的语言文字规范并注意知识产权。说明书、标签、包装标识中的文字、符号、图形、表格、数字、图片等应相互一致，并符合相关标准和规范要求。</w:t>
      </w:r>
    </w:p>
    <w:p>
      <w:pPr>
        <w:spacing w:line="520" w:lineRule="exact"/>
        <w:ind w:firstLine="640" w:firstLineChars="200"/>
        <w:rPr>
          <w:rFonts w:ascii="仿宋_GB2312" w:hAnsi="仿宋_GB2312" w:eastAsia="仿宋_GB2312"/>
          <w:color w:val="auto"/>
          <w:kern w:val="0"/>
          <w:sz w:val="32"/>
          <w:szCs w:val="32"/>
        </w:rPr>
      </w:pPr>
      <w:r>
        <w:rPr>
          <w:rFonts w:ascii="仿宋_GB2312" w:hAnsi="仿宋_GB2312" w:eastAsia="仿宋_GB2312"/>
          <w:color w:val="auto"/>
          <w:kern w:val="0"/>
          <w:sz w:val="32"/>
          <w:szCs w:val="32"/>
        </w:rPr>
        <w:t>1.说明书</w:t>
      </w:r>
    </w:p>
    <w:p>
      <w:pPr>
        <w:spacing w:line="520" w:lineRule="exact"/>
        <w:ind w:firstLine="640" w:firstLineChars="200"/>
        <w:rPr>
          <w:rFonts w:ascii="仿宋_GB2312" w:hAnsi="仿宋_GB2312" w:eastAsia="仿宋_GB2312"/>
          <w:color w:val="auto"/>
          <w:kern w:val="0"/>
          <w:sz w:val="32"/>
          <w:szCs w:val="32"/>
        </w:rPr>
      </w:pPr>
      <w:r>
        <w:rPr>
          <w:rFonts w:ascii="仿宋_GB2312" w:hAnsi="仿宋_GB2312" w:eastAsia="仿宋_GB2312"/>
          <w:color w:val="auto"/>
          <w:kern w:val="0"/>
          <w:sz w:val="32"/>
          <w:szCs w:val="32"/>
        </w:rPr>
        <w:t>每台设备都应附带说明书</w:t>
      </w:r>
      <w:r>
        <w:rPr>
          <w:rFonts w:hint="eastAsia" w:ascii="仿宋_GB2312" w:hAnsi="仿宋_GB2312" w:eastAsia="仿宋_GB2312"/>
          <w:color w:val="auto"/>
          <w:kern w:val="0"/>
          <w:sz w:val="32"/>
          <w:szCs w:val="32"/>
        </w:rPr>
        <w:t>。</w:t>
      </w:r>
    </w:p>
    <w:p>
      <w:pPr>
        <w:spacing w:line="52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说明书</w:t>
      </w:r>
      <w:r>
        <w:rPr>
          <w:rFonts w:ascii="仿宋_GB2312" w:hAnsi="仿宋_GB2312" w:eastAsia="仿宋_GB2312"/>
          <w:color w:val="auto"/>
          <w:kern w:val="0"/>
          <w:sz w:val="32"/>
          <w:szCs w:val="32"/>
        </w:rPr>
        <w:t>内容至少包含《医疗器械说明书和标签管理规定》中第十条中有关规定要求。同时，</w:t>
      </w:r>
      <w:r>
        <w:rPr>
          <w:rFonts w:hint="eastAsia" w:ascii="仿宋_GB2312" w:hAnsi="仿宋_GB2312" w:eastAsia="仿宋_GB2312"/>
          <w:color w:val="auto"/>
          <w:kern w:val="0"/>
          <w:sz w:val="32"/>
          <w:szCs w:val="32"/>
        </w:rPr>
        <w:t>糖化血红蛋白分析仪</w:t>
      </w:r>
      <w:r>
        <w:rPr>
          <w:rFonts w:ascii="仿宋_GB2312" w:hAnsi="仿宋_GB2312" w:eastAsia="仿宋_GB2312"/>
          <w:color w:val="auto"/>
          <w:kern w:val="0"/>
          <w:sz w:val="32"/>
          <w:szCs w:val="32"/>
        </w:rPr>
        <w:t>说明书还应包括以下内容：</w:t>
      </w:r>
    </w:p>
    <w:p>
      <w:pPr>
        <w:numPr>
          <w:ilvl w:val="-1"/>
          <w:numId w:val="0"/>
        </w:numPr>
        <w:spacing w:line="520" w:lineRule="exact"/>
        <w:ind w:left="0" w:firstLine="640" w:firstLineChars="2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lang w:val="en-US" w:eastAsia="zh-CN"/>
        </w:rPr>
        <w:t>1</w:t>
      </w:r>
      <w:r>
        <w:rPr>
          <w:rFonts w:hint="eastAsia" w:ascii="仿宋_GB2312" w:hAnsi="仿宋_GB2312" w:eastAsia="仿宋_GB2312"/>
          <w:color w:val="auto"/>
          <w:kern w:val="0"/>
          <w:sz w:val="32"/>
          <w:szCs w:val="32"/>
          <w:lang w:eastAsia="zh-CN"/>
        </w:rPr>
        <w:t>）</w:t>
      </w:r>
      <w:r>
        <w:rPr>
          <w:rFonts w:hint="default" w:ascii="仿宋_GB2312" w:hAnsi="仿宋_GB2312" w:eastAsia="仿宋_GB2312"/>
          <w:color w:val="auto"/>
          <w:kern w:val="0"/>
          <w:sz w:val="32"/>
          <w:szCs w:val="32"/>
        </w:rPr>
        <w:t>注意事项及其他需要警示或者提示的内容，包括对异常结果的处理，包括对检验结果报告单（包括异常色谱）的解释。</w:t>
      </w:r>
    </w:p>
    <w:p>
      <w:pPr>
        <w:numPr>
          <w:ilvl w:val="-1"/>
          <w:numId w:val="0"/>
        </w:numPr>
        <w:spacing w:line="520" w:lineRule="exact"/>
        <w:ind w:left="0" w:firstLine="640" w:firstLineChars="2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lang w:val="en-US" w:eastAsia="zh-CN"/>
        </w:rPr>
        <w:t>2</w:t>
      </w:r>
      <w:r>
        <w:rPr>
          <w:rFonts w:hint="eastAsia" w:ascii="仿宋_GB2312" w:hAnsi="仿宋_GB2312" w:eastAsia="仿宋_GB2312"/>
          <w:color w:val="auto"/>
          <w:kern w:val="0"/>
          <w:sz w:val="32"/>
          <w:szCs w:val="32"/>
          <w:lang w:eastAsia="zh-CN"/>
        </w:rPr>
        <w:t>）</w:t>
      </w:r>
      <w:r>
        <w:rPr>
          <w:rFonts w:hint="default" w:ascii="仿宋_GB2312" w:hAnsi="仿宋_GB2312" w:eastAsia="仿宋_GB2312"/>
          <w:color w:val="auto"/>
          <w:kern w:val="0"/>
          <w:sz w:val="32"/>
          <w:szCs w:val="32"/>
        </w:rPr>
        <w:t>如注册单元中包含色谱柱（层析柱），应明确色谱柱（层析柱）可检测次数的相关信息，达到检测次数应采用相应措施，不可超量使用</w:t>
      </w:r>
      <w:r>
        <w:rPr>
          <w:rFonts w:hint="default" w:ascii="仿宋_GB2312" w:hAnsi="仿宋_GB2312" w:eastAsia="仿宋_GB2312"/>
          <w:color w:val="auto"/>
          <w:kern w:val="0"/>
          <w:sz w:val="32"/>
          <w:szCs w:val="32"/>
          <w:lang w:eastAsia="zh-CN"/>
        </w:rPr>
        <w:t>。</w:t>
      </w:r>
    </w:p>
    <w:p>
      <w:pPr>
        <w:numPr>
          <w:ilvl w:val="-1"/>
          <w:numId w:val="0"/>
        </w:numPr>
        <w:spacing w:line="520" w:lineRule="exact"/>
        <w:ind w:left="0" w:firstLine="640" w:firstLineChars="2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lang w:val="en-US" w:eastAsia="zh-CN"/>
        </w:rPr>
        <w:t>3</w:t>
      </w:r>
      <w:r>
        <w:rPr>
          <w:rFonts w:hint="eastAsia" w:ascii="仿宋_GB2312" w:hAnsi="仿宋_GB2312" w:eastAsia="仿宋_GB2312"/>
          <w:color w:val="auto"/>
          <w:kern w:val="0"/>
          <w:sz w:val="32"/>
          <w:szCs w:val="32"/>
          <w:lang w:eastAsia="zh-CN"/>
        </w:rPr>
        <w:t>）</w:t>
      </w:r>
      <w:r>
        <w:rPr>
          <w:rFonts w:hint="default" w:ascii="仿宋_GB2312" w:hAnsi="仿宋_GB2312" w:eastAsia="仿宋_GB2312"/>
          <w:color w:val="auto"/>
          <w:kern w:val="0"/>
          <w:sz w:val="32"/>
          <w:szCs w:val="32"/>
        </w:rPr>
        <w:t>分析仪的维护和保养方法以及故障排除，储存条件、方法，包括管路漏液，含有气泡，样本血红蛋白浓度过高，及机械故障等错误处理方法。</w:t>
      </w:r>
    </w:p>
    <w:p>
      <w:pPr>
        <w:numPr>
          <w:ilvl w:val="-1"/>
          <w:numId w:val="0"/>
        </w:numPr>
        <w:spacing w:line="520" w:lineRule="exact"/>
        <w:ind w:left="0" w:firstLine="640" w:firstLineChars="2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lang w:val="en-US" w:eastAsia="zh-CN"/>
        </w:rPr>
        <w:t>4</w:t>
      </w:r>
      <w:r>
        <w:rPr>
          <w:rFonts w:hint="eastAsia" w:ascii="仿宋_GB2312" w:hAnsi="仿宋_GB2312" w:eastAsia="仿宋_GB2312"/>
          <w:color w:val="auto"/>
          <w:kern w:val="0"/>
          <w:sz w:val="32"/>
          <w:szCs w:val="32"/>
          <w:lang w:eastAsia="zh-CN"/>
        </w:rPr>
        <w:t>）</w:t>
      </w:r>
      <w:r>
        <w:rPr>
          <w:rFonts w:hint="default" w:ascii="仿宋_GB2312" w:hAnsi="仿宋_GB2312" w:eastAsia="仿宋_GB2312"/>
          <w:color w:val="auto"/>
          <w:kern w:val="0"/>
          <w:sz w:val="32"/>
          <w:szCs w:val="32"/>
        </w:rPr>
        <w:t>GB/T 18268.26 条款9 要求的需要在说明书上载明的内容</w:t>
      </w:r>
      <w:r>
        <w:rPr>
          <w:rFonts w:hint="eastAsia" w:ascii="仿宋_GB2312" w:hAnsi="仿宋_GB2312" w:eastAsia="仿宋_GB2312"/>
          <w:color w:val="auto"/>
          <w:kern w:val="0"/>
          <w:sz w:val="32"/>
          <w:szCs w:val="32"/>
          <w:lang w:eastAsia="zh-CN"/>
        </w:rPr>
        <w:t>。</w:t>
      </w:r>
    </w:p>
    <w:p>
      <w:pPr>
        <w:spacing w:line="520" w:lineRule="exact"/>
        <w:ind w:firstLine="640" w:firstLineChars="200"/>
        <w:rPr>
          <w:rFonts w:ascii="仿宋_GB2312" w:hAnsi="仿宋_GB2312" w:eastAsia="仿宋_GB2312"/>
          <w:color w:val="auto"/>
          <w:kern w:val="0"/>
          <w:sz w:val="32"/>
          <w:szCs w:val="32"/>
        </w:rPr>
      </w:pPr>
      <w:r>
        <w:rPr>
          <w:rFonts w:ascii="仿宋_GB2312" w:hAnsi="仿宋_GB2312" w:eastAsia="仿宋_GB2312"/>
          <w:color w:val="auto"/>
          <w:kern w:val="0"/>
          <w:sz w:val="32"/>
          <w:szCs w:val="32"/>
        </w:rPr>
        <w:t>2.</w:t>
      </w:r>
      <w:r>
        <w:rPr>
          <w:rFonts w:hint="default" w:ascii="仿宋_GB2312" w:hAnsi="仿宋_GB2312" w:eastAsia="仿宋_GB2312"/>
          <w:color w:val="auto"/>
          <w:kern w:val="0"/>
          <w:sz w:val="32"/>
          <w:szCs w:val="32"/>
        </w:rPr>
        <w:t>标签、标记和提供信息的符号</w:t>
      </w:r>
    </w:p>
    <w:p>
      <w:pPr>
        <w:spacing w:line="520" w:lineRule="exact"/>
        <w:ind w:firstLineChars="2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lang w:val="en-US" w:eastAsia="zh-CN"/>
        </w:rPr>
        <w:t>1</w:t>
      </w:r>
      <w:r>
        <w:rPr>
          <w:rFonts w:hint="eastAsia" w:ascii="仿宋_GB2312" w:hAnsi="仿宋_GB2312" w:eastAsia="仿宋_GB2312"/>
          <w:color w:val="auto"/>
          <w:kern w:val="0"/>
          <w:sz w:val="32"/>
          <w:szCs w:val="32"/>
          <w:lang w:eastAsia="zh-CN"/>
        </w:rPr>
        <w:t>）</w:t>
      </w:r>
      <w:r>
        <w:rPr>
          <w:rFonts w:ascii="仿宋_GB2312" w:hAnsi="仿宋_GB2312" w:eastAsia="仿宋_GB2312"/>
          <w:color w:val="auto"/>
          <w:kern w:val="0"/>
          <w:sz w:val="32"/>
          <w:szCs w:val="32"/>
        </w:rPr>
        <w:t>参照标准GB/T 191、YY/T 0466.1进行审查，说明书上应有相关标志的图示说明。</w:t>
      </w:r>
    </w:p>
    <w:p>
      <w:pPr>
        <w:widowControl/>
        <w:numPr>
          <w:ilvl w:val="-1"/>
          <w:numId w:val="0"/>
        </w:numPr>
        <w:spacing w:line="520" w:lineRule="exact"/>
        <w:ind w:firstLine="640" w:firstLineChars="200"/>
        <w:rPr>
          <w:rFonts w:hint="default" w:ascii="仿宋_GB2312" w:hAnsi="仿宋_GB2312" w:eastAsia="仿宋_GB2312"/>
          <w:color w:val="auto"/>
          <w:spacing w:val="0"/>
          <w:kern w:val="0"/>
          <w:sz w:val="32"/>
          <w:szCs w:val="32"/>
        </w:rPr>
      </w:pP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lang w:val="en-US" w:eastAsia="zh-CN"/>
        </w:rPr>
        <w:t>2</w:t>
      </w:r>
      <w:r>
        <w:rPr>
          <w:rFonts w:hint="eastAsia" w:ascii="仿宋_GB2312" w:hAnsi="仿宋_GB2312" w:eastAsia="仿宋_GB2312"/>
          <w:color w:val="auto"/>
          <w:kern w:val="0"/>
          <w:sz w:val="32"/>
          <w:szCs w:val="32"/>
          <w:lang w:eastAsia="zh-CN"/>
        </w:rPr>
        <w:t>）</w:t>
      </w:r>
      <w:r>
        <w:rPr>
          <w:rFonts w:ascii="仿宋_GB2312" w:hAnsi="仿宋_GB2312" w:eastAsia="仿宋_GB2312"/>
          <w:color w:val="auto"/>
          <w:kern w:val="0"/>
          <w:sz w:val="32"/>
          <w:szCs w:val="32"/>
        </w:rPr>
        <w:t>产品的标签和外部标记中涉及安全使用的部分应符合GB 4793.1、GB 4793.9和YY 0648的要求，设备标识至少应包括城市和国家。</w:t>
      </w:r>
    </w:p>
    <w:p>
      <w:pPr>
        <w:numPr>
          <w:ilvl w:val="0"/>
          <w:numId w:val="1"/>
        </w:numPr>
        <w:spacing w:line="520" w:lineRule="exact"/>
        <w:ind w:firstLine="640" w:firstLineChars="200"/>
        <w:outlineLvl w:val="0"/>
        <w:rPr>
          <w:rFonts w:hint="eastAsia" w:ascii="黑体" w:hAnsi="黑体" w:eastAsia="黑体" w:cs="仿宋"/>
          <w:color w:val="auto"/>
          <w:sz w:val="32"/>
          <w:szCs w:val="32"/>
        </w:rPr>
      </w:pPr>
      <w:r>
        <w:rPr>
          <w:rFonts w:hint="eastAsia" w:ascii="黑体" w:hAnsi="黑体" w:eastAsia="黑体"/>
          <w:color w:val="auto"/>
          <w:sz w:val="32"/>
          <w:szCs w:val="32"/>
        </w:rPr>
        <w:t>参考</w:t>
      </w:r>
      <w:r>
        <w:rPr>
          <w:rFonts w:hint="eastAsia" w:ascii="黑体" w:hAnsi="黑体" w:eastAsia="黑体" w:cs="仿宋"/>
          <w:color w:val="auto"/>
          <w:sz w:val="32"/>
          <w:szCs w:val="32"/>
        </w:rPr>
        <w:t>文献</w:t>
      </w:r>
    </w:p>
    <w:p>
      <w:pPr>
        <w:widowControl/>
        <w:numPr>
          <w:ilvl w:val="0"/>
          <w:numId w:val="0"/>
        </w:numPr>
        <w:spacing w:line="520" w:lineRule="exact"/>
        <w:ind w:firstLine="640" w:firstLineChars="200"/>
        <w:rPr>
          <w:rFonts w:ascii="仿宋_GB2312" w:hAnsi="仿宋_GB2312" w:eastAsia="仿宋_GB2312"/>
          <w:color w:val="auto"/>
          <w:kern w:val="0"/>
          <w:sz w:val="32"/>
          <w:szCs w:val="32"/>
        </w:rPr>
      </w:pPr>
      <w:r>
        <w:rPr>
          <w:rFonts w:hint="default" w:ascii="仿宋_GB2312" w:hAnsi="仿宋_GB2312" w:eastAsia="仿宋_GB2312"/>
          <w:color w:val="auto"/>
          <w:kern w:val="0"/>
          <w:sz w:val="32"/>
          <w:szCs w:val="32"/>
        </w:rPr>
        <w:t>[1</w:t>
      </w:r>
      <w:r>
        <w:rPr>
          <w:rFonts w:ascii="仿宋_GB2312" w:hAnsi="仿宋_GB2312" w:eastAsia="仿宋_GB2312"/>
          <w:color w:val="auto"/>
          <w:kern w:val="0"/>
          <w:sz w:val="32"/>
          <w:szCs w:val="32"/>
        </w:rPr>
        <w:t>]《医疗器械监督管理条例》（中华人民共和国国务院令第739号）</w:t>
      </w:r>
      <w:r>
        <w:rPr>
          <w:rFonts w:hint="default" w:ascii="仿宋_GB2312" w:hAnsi="仿宋_GB2312" w:eastAsia="仿宋_GB2312"/>
          <w:color w:val="auto"/>
          <w:kern w:val="0"/>
          <w:sz w:val="32"/>
          <w:szCs w:val="32"/>
        </w:rPr>
        <w:t>[</w:t>
      </w:r>
      <w:r>
        <w:rPr>
          <w:rFonts w:ascii="仿宋_GB2312" w:hAnsi="仿宋_GB2312" w:eastAsia="仿宋_GB2312"/>
          <w:color w:val="auto"/>
          <w:kern w:val="0"/>
          <w:sz w:val="32"/>
          <w:szCs w:val="32"/>
        </w:rPr>
        <w:t>Z].</w:t>
      </w:r>
    </w:p>
    <w:p>
      <w:pPr>
        <w:widowControl/>
        <w:numPr>
          <w:ilvl w:val="0"/>
          <w:numId w:val="0"/>
        </w:numPr>
        <w:spacing w:line="520" w:lineRule="exact"/>
        <w:ind w:firstLine="640" w:firstLineChars="200"/>
        <w:rPr>
          <w:rFonts w:ascii="仿宋_GB2312" w:hAnsi="仿宋_GB2312" w:eastAsia="仿宋_GB2312"/>
          <w:color w:val="auto"/>
          <w:kern w:val="0"/>
          <w:sz w:val="32"/>
          <w:szCs w:val="32"/>
        </w:rPr>
      </w:pPr>
      <w:r>
        <w:rPr>
          <w:rFonts w:hint="default" w:ascii="仿宋_GB2312" w:hAnsi="仿宋_GB2312" w:eastAsia="仿宋_GB2312"/>
          <w:color w:val="auto"/>
          <w:kern w:val="0"/>
          <w:sz w:val="32"/>
          <w:szCs w:val="32"/>
        </w:rPr>
        <w:t>[2</w:t>
      </w:r>
      <w:r>
        <w:rPr>
          <w:rFonts w:ascii="仿宋_GB2312" w:hAnsi="仿宋_GB2312" w:eastAsia="仿宋_GB2312"/>
          <w:color w:val="auto"/>
          <w:kern w:val="0"/>
          <w:sz w:val="32"/>
          <w:szCs w:val="32"/>
        </w:rPr>
        <w:t>]《医疗器械说明书和标签管理规定》（</w:t>
      </w:r>
      <w:r>
        <w:rPr>
          <w:rFonts w:hint="default" w:ascii="仿宋_GB2312" w:hAnsi="仿宋_GB2312" w:eastAsia="仿宋_GB2312"/>
          <w:color w:val="auto"/>
          <w:kern w:val="0"/>
          <w:sz w:val="32"/>
          <w:szCs w:val="32"/>
        </w:rPr>
        <w:t>原</w:t>
      </w:r>
      <w:r>
        <w:rPr>
          <w:rFonts w:ascii="仿宋_GB2312" w:hAnsi="仿宋_GB2312" w:eastAsia="仿宋_GB2312"/>
          <w:color w:val="auto"/>
          <w:kern w:val="0"/>
          <w:sz w:val="32"/>
          <w:szCs w:val="32"/>
        </w:rPr>
        <w:t>国家食品药品监督管理总局令第6号）</w:t>
      </w:r>
      <w:r>
        <w:rPr>
          <w:rFonts w:hint="default" w:ascii="仿宋_GB2312" w:hAnsi="仿宋_GB2312" w:eastAsia="仿宋_GB2312"/>
          <w:color w:val="auto"/>
          <w:kern w:val="0"/>
          <w:sz w:val="32"/>
          <w:szCs w:val="32"/>
        </w:rPr>
        <w:t>[</w:t>
      </w:r>
      <w:r>
        <w:rPr>
          <w:rFonts w:ascii="仿宋_GB2312" w:hAnsi="仿宋_GB2312" w:eastAsia="仿宋_GB2312"/>
          <w:color w:val="auto"/>
          <w:kern w:val="0"/>
          <w:sz w:val="32"/>
          <w:szCs w:val="32"/>
        </w:rPr>
        <w:t>Z].</w:t>
      </w:r>
    </w:p>
    <w:p>
      <w:pPr>
        <w:widowControl/>
        <w:numPr>
          <w:ilvl w:val="0"/>
          <w:numId w:val="0"/>
        </w:numPr>
        <w:spacing w:line="520" w:lineRule="exact"/>
        <w:ind w:firstLine="640" w:firstLineChars="200"/>
        <w:rPr>
          <w:rFonts w:ascii="仿宋_GB2312" w:hAnsi="仿宋_GB2312" w:eastAsia="仿宋_GB2312"/>
          <w:color w:val="auto"/>
          <w:kern w:val="0"/>
          <w:sz w:val="32"/>
          <w:szCs w:val="32"/>
        </w:rPr>
      </w:pPr>
      <w:r>
        <w:rPr>
          <w:rFonts w:hint="default" w:ascii="仿宋_GB2312" w:hAnsi="仿宋_GB2312" w:eastAsia="仿宋_GB2312"/>
          <w:color w:val="auto"/>
          <w:kern w:val="0"/>
          <w:sz w:val="32"/>
          <w:szCs w:val="32"/>
        </w:rPr>
        <w:t>[3</w:t>
      </w:r>
      <w:r>
        <w:rPr>
          <w:rFonts w:ascii="仿宋_GB2312" w:hAnsi="仿宋_GB2312" w:eastAsia="仿宋_GB2312"/>
          <w:color w:val="auto"/>
          <w:kern w:val="0"/>
          <w:sz w:val="32"/>
          <w:szCs w:val="32"/>
        </w:rPr>
        <w:t>]《医疗器械通用名称命名规则》（</w:t>
      </w:r>
      <w:r>
        <w:rPr>
          <w:rFonts w:hint="default" w:ascii="仿宋_GB2312" w:hAnsi="仿宋_GB2312" w:eastAsia="仿宋_GB2312"/>
          <w:color w:val="auto"/>
          <w:kern w:val="0"/>
          <w:sz w:val="32"/>
          <w:szCs w:val="32"/>
        </w:rPr>
        <w:t>原</w:t>
      </w:r>
      <w:r>
        <w:rPr>
          <w:rFonts w:ascii="仿宋_GB2312" w:hAnsi="仿宋_GB2312" w:eastAsia="仿宋_GB2312"/>
          <w:color w:val="auto"/>
          <w:kern w:val="0"/>
          <w:sz w:val="32"/>
          <w:szCs w:val="32"/>
        </w:rPr>
        <w:t>国家食品药品监督管理总局令第19号）</w:t>
      </w:r>
      <w:r>
        <w:rPr>
          <w:rFonts w:hint="default" w:ascii="仿宋_GB2312" w:hAnsi="仿宋_GB2312" w:eastAsia="仿宋_GB2312"/>
          <w:color w:val="auto"/>
          <w:kern w:val="0"/>
          <w:sz w:val="32"/>
          <w:szCs w:val="32"/>
        </w:rPr>
        <w:t>[</w:t>
      </w:r>
      <w:r>
        <w:rPr>
          <w:rFonts w:ascii="仿宋_GB2312" w:hAnsi="仿宋_GB2312" w:eastAsia="仿宋_GB2312"/>
          <w:color w:val="auto"/>
          <w:kern w:val="0"/>
          <w:sz w:val="32"/>
          <w:szCs w:val="32"/>
        </w:rPr>
        <w:t>Z].</w:t>
      </w:r>
    </w:p>
    <w:p>
      <w:pPr>
        <w:widowControl/>
        <w:numPr>
          <w:ilvl w:val="0"/>
          <w:numId w:val="0"/>
        </w:numPr>
        <w:spacing w:line="520" w:lineRule="exact"/>
        <w:ind w:firstLine="640" w:firstLineChars="200"/>
        <w:rPr>
          <w:rFonts w:ascii="仿宋_GB2312" w:hAnsi="仿宋_GB2312" w:eastAsia="仿宋_GB2312"/>
          <w:color w:val="auto"/>
          <w:kern w:val="0"/>
          <w:sz w:val="32"/>
          <w:szCs w:val="32"/>
        </w:rPr>
      </w:pPr>
      <w:r>
        <w:rPr>
          <w:rFonts w:hint="default" w:ascii="仿宋_GB2312" w:hAnsi="仿宋_GB2312" w:eastAsia="仿宋_GB2312"/>
          <w:color w:val="auto"/>
          <w:spacing w:val="0"/>
          <w:kern w:val="0"/>
          <w:sz w:val="32"/>
          <w:szCs w:val="32"/>
        </w:rPr>
        <w:t>[4</w:t>
      </w:r>
      <w:r>
        <w:rPr>
          <w:rFonts w:ascii="仿宋_GB2312" w:hAnsi="仿宋_GB2312" w:eastAsia="仿宋_GB2312"/>
          <w:color w:val="auto"/>
          <w:spacing w:val="0"/>
          <w:kern w:val="0"/>
          <w:sz w:val="32"/>
          <w:szCs w:val="32"/>
        </w:rPr>
        <w:t>]</w:t>
      </w:r>
      <w:r>
        <w:rPr>
          <w:rFonts w:ascii="仿宋_GB2312" w:hAnsi="仿宋_GB2312" w:eastAsia="仿宋_GB2312"/>
          <w:color w:val="auto"/>
          <w:kern w:val="0"/>
          <w:sz w:val="32"/>
          <w:szCs w:val="32"/>
        </w:rPr>
        <w:t>《医疗器械注册</w:t>
      </w:r>
      <w:r>
        <w:rPr>
          <w:rFonts w:hint="default" w:ascii="仿宋_GB2312" w:hAnsi="仿宋_GB2312" w:eastAsia="仿宋_GB2312"/>
          <w:color w:val="auto"/>
          <w:kern w:val="0"/>
          <w:sz w:val="32"/>
          <w:szCs w:val="32"/>
        </w:rPr>
        <w:t>与</w:t>
      </w:r>
      <w:r>
        <w:rPr>
          <w:rFonts w:ascii="仿宋_GB2312" w:hAnsi="仿宋_GB2312" w:eastAsia="仿宋_GB2312"/>
          <w:color w:val="auto"/>
          <w:kern w:val="0"/>
          <w:sz w:val="32"/>
          <w:szCs w:val="32"/>
        </w:rPr>
        <w:t>备案管理办法》（国家</w:t>
      </w:r>
      <w:r>
        <w:rPr>
          <w:rFonts w:hint="default" w:ascii="仿宋_GB2312" w:hAnsi="仿宋_GB2312" w:eastAsia="仿宋_GB2312"/>
          <w:color w:val="auto"/>
          <w:kern w:val="0"/>
          <w:sz w:val="32"/>
          <w:szCs w:val="32"/>
        </w:rPr>
        <w:t>市场监管</w:t>
      </w:r>
      <w:r>
        <w:rPr>
          <w:rFonts w:ascii="仿宋_GB2312" w:hAnsi="仿宋_GB2312" w:eastAsia="仿宋_GB2312"/>
          <w:color w:val="auto"/>
          <w:kern w:val="0"/>
          <w:sz w:val="32"/>
          <w:szCs w:val="32"/>
        </w:rPr>
        <w:t>总局令第47号）</w:t>
      </w:r>
      <w:r>
        <w:rPr>
          <w:rFonts w:hint="default" w:ascii="仿宋_GB2312" w:hAnsi="仿宋_GB2312" w:eastAsia="仿宋_GB2312"/>
          <w:color w:val="auto"/>
          <w:kern w:val="0"/>
          <w:sz w:val="32"/>
          <w:szCs w:val="32"/>
        </w:rPr>
        <w:t>[</w:t>
      </w:r>
      <w:r>
        <w:rPr>
          <w:rFonts w:ascii="仿宋_GB2312" w:hAnsi="仿宋_GB2312" w:eastAsia="仿宋_GB2312"/>
          <w:color w:val="auto"/>
          <w:kern w:val="0"/>
          <w:sz w:val="32"/>
          <w:szCs w:val="32"/>
        </w:rPr>
        <w:t>Z].</w:t>
      </w:r>
    </w:p>
    <w:p>
      <w:pPr>
        <w:widowControl/>
        <w:numPr>
          <w:ilvl w:val="0"/>
          <w:numId w:val="0"/>
        </w:numPr>
        <w:spacing w:line="520" w:lineRule="exact"/>
        <w:ind w:firstLine="640" w:firstLineChars="200"/>
        <w:rPr>
          <w:rFonts w:ascii="仿宋_GB2312" w:hAnsi="仿宋_GB2312" w:eastAsia="仿宋_GB2312"/>
          <w:color w:val="auto"/>
          <w:kern w:val="0"/>
          <w:sz w:val="32"/>
          <w:szCs w:val="32"/>
        </w:rPr>
      </w:pPr>
      <w:r>
        <w:rPr>
          <w:rFonts w:hint="default" w:ascii="仿宋_GB2312" w:hAnsi="仿宋_GB2312" w:eastAsia="仿宋_GB2312"/>
          <w:color w:val="auto"/>
          <w:kern w:val="0"/>
          <w:sz w:val="32"/>
          <w:szCs w:val="32"/>
        </w:rPr>
        <w:t>[5</w:t>
      </w:r>
      <w:r>
        <w:rPr>
          <w:rFonts w:ascii="仿宋_GB2312" w:hAnsi="仿宋_GB2312" w:eastAsia="仿宋_GB2312"/>
          <w:color w:val="auto"/>
          <w:kern w:val="0"/>
          <w:sz w:val="32"/>
          <w:szCs w:val="32"/>
        </w:rPr>
        <w:t>]《总局关于发布医疗器械分类目录的公告》（</w:t>
      </w:r>
      <w:r>
        <w:rPr>
          <w:rFonts w:hint="default" w:ascii="仿宋_GB2312" w:hAnsi="仿宋_GB2312" w:eastAsia="仿宋_GB2312"/>
          <w:color w:val="auto"/>
          <w:kern w:val="0"/>
          <w:sz w:val="32"/>
          <w:szCs w:val="32"/>
        </w:rPr>
        <w:t>原</w:t>
      </w:r>
      <w:r>
        <w:rPr>
          <w:rFonts w:ascii="仿宋_GB2312" w:hAnsi="仿宋_GB2312" w:eastAsia="仿宋_GB2312"/>
          <w:color w:val="auto"/>
          <w:kern w:val="0"/>
          <w:sz w:val="32"/>
          <w:szCs w:val="32"/>
        </w:rPr>
        <w:t>国家食品药品监督管理总局公告2017年第104号）</w:t>
      </w:r>
      <w:r>
        <w:rPr>
          <w:rFonts w:hint="default" w:ascii="仿宋_GB2312" w:hAnsi="仿宋_GB2312" w:eastAsia="仿宋_GB2312"/>
          <w:color w:val="auto"/>
          <w:kern w:val="0"/>
          <w:sz w:val="32"/>
          <w:szCs w:val="32"/>
        </w:rPr>
        <w:t>[</w:t>
      </w:r>
      <w:r>
        <w:rPr>
          <w:rFonts w:ascii="仿宋_GB2312" w:hAnsi="仿宋_GB2312" w:eastAsia="仿宋_GB2312"/>
          <w:color w:val="auto"/>
          <w:kern w:val="0"/>
          <w:sz w:val="32"/>
          <w:szCs w:val="32"/>
        </w:rPr>
        <w:t>Z].</w:t>
      </w:r>
    </w:p>
    <w:p>
      <w:pPr>
        <w:widowControl/>
        <w:numPr>
          <w:ilvl w:val="0"/>
          <w:numId w:val="0"/>
        </w:numPr>
        <w:spacing w:line="520" w:lineRule="exact"/>
        <w:ind w:firstLine="640" w:firstLineChars="200"/>
        <w:rPr>
          <w:rFonts w:ascii="仿宋_GB2312" w:hAnsi="仿宋_GB2312" w:eastAsia="仿宋_GB2312"/>
          <w:color w:val="auto"/>
          <w:spacing w:val="0"/>
          <w:kern w:val="0"/>
          <w:sz w:val="32"/>
          <w:szCs w:val="32"/>
        </w:rPr>
      </w:pPr>
      <w:r>
        <w:rPr>
          <w:rFonts w:hint="default" w:ascii="仿宋_GB2312" w:hAnsi="仿宋_GB2312" w:eastAsia="仿宋_GB2312"/>
          <w:color w:val="auto"/>
          <w:kern w:val="0"/>
          <w:sz w:val="32"/>
          <w:szCs w:val="32"/>
        </w:rPr>
        <w:t>[6</w:t>
      </w:r>
      <w:r>
        <w:rPr>
          <w:rFonts w:ascii="仿宋_GB2312" w:hAnsi="仿宋_GB2312" w:eastAsia="仿宋_GB2312"/>
          <w:color w:val="auto"/>
          <w:kern w:val="0"/>
          <w:sz w:val="32"/>
          <w:szCs w:val="32"/>
        </w:rPr>
        <w:t>]《关于公布医疗器械注册申报资料要求和批准证明文件格式的公告》（国家药品监督管理局公告2021年第121号）[Z].</w:t>
      </w:r>
    </w:p>
    <w:p>
      <w:pPr>
        <w:widowControl/>
        <w:numPr>
          <w:ilvl w:val="0"/>
          <w:numId w:val="0"/>
        </w:numPr>
        <w:spacing w:line="520" w:lineRule="exact"/>
        <w:ind w:firstLine="640" w:firstLineChars="200"/>
        <w:rPr>
          <w:rFonts w:ascii="仿宋_GB2312" w:hAnsi="仿宋_GB2312" w:eastAsia="仿宋_GB2312"/>
          <w:color w:val="auto"/>
          <w:kern w:val="0"/>
          <w:sz w:val="32"/>
          <w:szCs w:val="32"/>
        </w:rPr>
      </w:pPr>
      <w:r>
        <w:rPr>
          <w:rFonts w:hint="default" w:ascii="仿宋_GB2312" w:hAnsi="仿宋_GB2312" w:eastAsia="仿宋_GB2312"/>
          <w:color w:val="auto"/>
          <w:kern w:val="0"/>
          <w:sz w:val="32"/>
          <w:szCs w:val="32"/>
        </w:rPr>
        <w:t>[7</w:t>
      </w:r>
      <w:r>
        <w:rPr>
          <w:rFonts w:ascii="仿宋_GB2312" w:hAnsi="仿宋_GB2312" w:eastAsia="仿宋_GB2312"/>
          <w:color w:val="auto"/>
          <w:kern w:val="0"/>
          <w:sz w:val="32"/>
          <w:szCs w:val="32"/>
        </w:rPr>
        <w:t>]</w:t>
      </w:r>
      <w:bookmarkStart w:id="7" w:name="_GoBack"/>
      <w:bookmarkEnd w:id="7"/>
      <w:r>
        <w:rPr>
          <w:rFonts w:hint="default" w:ascii="仿宋_GB2312" w:hAnsi="仿宋_GB2312" w:eastAsia="仿宋_GB2312"/>
          <w:color w:val="auto"/>
          <w:kern w:val="0"/>
          <w:sz w:val="32"/>
          <w:szCs w:val="32"/>
          <w:lang w:eastAsia="zh-CN"/>
        </w:rPr>
        <w:t>《</w:t>
      </w:r>
      <w:r>
        <w:rPr>
          <w:rFonts w:ascii="仿宋_GB2312" w:hAnsi="仿宋_GB2312" w:eastAsia="仿宋_GB2312"/>
          <w:color w:val="auto"/>
          <w:kern w:val="0"/>
          <w:sz w:val="32"/>
          <w:szCs w:val="32"/>
        </w:rPr>
        <w:t>关于发布医疗器械产品技术要求编写指导原则的通告</w:t>
      </w:r>
      <w:r>
        <w:rPr>
          <w:rFonts w:hint="default" w:ascii="仿宋_GB2312" w:hAnsi="仿宋_GB2312" w:eastAsia="仿宋_GB2312"/>
          <w:color w:val="auto"/>
          <w:kern w:val="0"/>
          <w:sz w:val="32"/>
          <w:szCs w:val="32"/>
          <w:lang w:eastAsia="zh-CN"/>
        </w:rPr>
        <w:t>》</w:t>
      </w:r>
      <w:r>
        <w:rPr>
          <w:rFonts w:ascii="仿宋_GB2312" w:hAnsi="仿宋_GB2312" w:eastAsia="仿宋_GB2312"/>
          <w:color w:val="auto"/>
          <w:kern w:val="0"/>
          <w:sz w:val="32"/>
          <w:szCs w:val="32"/>
        </w:rPr>
        <w:t>（</w:t>
      </w:r>
      <w:r>
        <w:rPr>
          <w:rFonts w:hint="default" w:ascii="仿宋_GB2312" w:hAnsi="仿宋_GB2312" w:eastAsia="仿宋_GB2312"/>
          <w:color w:val="auto"/>
          <w:kern w:val="0"/>
          <w:sz w:val="32"/>
          <w:szCs w:val="32"/>
        </w:rPr>
        <w:t>原</w:t>
      </w:r>
      <w:r>
        <w:rPr>
          <w:rFonts w:ascii="仿宋_GB2312" w:hAnsi="仿宋_GB2312" w:eastAsia="仿宋_GB2312"/>
          <w:color w:val="auto"/>
          <w:kern w:val="0"/>
          <w:sz w:val="32"/>
          <w:szCs w:val="32"/>
        </w:rPr>
        <w:t>国家食品药品监督管理总局通告2014年第9号）</w:t>
      </w:r>
      <w:r>
        <w:rPr>
          <w:rFonts w:hint="default" w:ascii="仿宋_GB2312" w:hAnsi="仿宋_GB2312" w:eastAsia="仿宋_GB2312"/>
          <w:color w:val="auto"/>
          <w:kern w:val="0"/>
          <w:sz w:val="32"/>
          <w:szCs w:val="32"/>
        </w:rPr>
        <w:t>[</w:t>
      </w:r>
      <w:r>
        <w:rPr>
          <w:rFonts w:ascii="仿宋_GB2312" w:hAnsi="仿宋_GB2312" w:eastAsia="仿宋_GB2312"/>
          <w:color w:val="auto"/>
          <w:kern w:val="0"/>
          <w:sz w:val="32"/>
          <w:szCs w:val="32"/>
        </w:rPr>
        <w:t>Z].</w:t>
      </w:r>
    </w:p>
    <w:p>
      <w:pPr>
        <w:widowControl/>
        <w:numPr>
          <w:ilvl w:val="0"/>
          <w:numId w:val="0"/>
        </w:numPr>
        <w:spacing w:line="520" w:lineRule="exact"/>
        <w:ind w:firstLine="640" w:firstLineChars="200"/>
        <w:rPr>
          <w:rFonts w:ascii="仿宋_GB2312" w:hAnsi="仿宋_GB2312" w:eastAsia="仿宋_GB2312"/>
          <w:color w:val="auto"/>
          <w:kern w:val="0"/>
          <w:sz w:val="32"/>
          <w:szCs w:val="32"/>
        </w:rPr>
      </w:pPr>
      <w:r>
        <w:rPr>
          <w:rFonts w:hint="default" w:ascii="仿宋_GB2312" w:hAnsi="仿宋_GB2312" w:eastAsia="仿宋_GB2312"/>
          <w:color w:val="auto"/>
          <w:kern w:val="0"/>
          <w:sz w:val="32"/>
          <w:szCs w:val="32"/>
        </w:rPr>
        <w:t>[8</w:t>
      </w:r>
      <w:r>
        <w:rPr>
          <w:rFonts w:ascii="仿宋_GB2312" w:hAnsi="仿宋_GB2312" w:eastAsia="仿宋_GB2312"/>
          <w:color w:val="auto"/>
          <w:kern w:val="0"/>
          <w:sz w:val="32"/>
          <w:szCs w:val="32"/>
        </w:rPr>
        <w:t>]《</w:t>
      </w:r>
      <w:r>
        <w:rPr>
          <w:rFonts w:hint="default" w:ascii="仿宋_GB2312" w:hAnsi="仿宋_GB2312" w:eastAsia="仿宋_GB2312"/>
          <w:color w:val="auto"/>
          <w:kern w:val="0"/>
          <w:sz w:val="32"/>
          <w:szCs w:val="32"/>
        </w:rPr>
        <w:t>免于临床评价医疗器械目录（2021年）</w:t>
      </w:r>
      <w:r>
        <w:rPr>
          <w:rFonts w:ascii="仿宋_GB2312" w:hAnsi="仿宋_GB2312" w:eastAsia="仿宋_GB2312"/>
          <w:color w:val="auto"/>
          <w:kern w:val="0"/>
          <w:sz w:val="32"/>
          <w:szCs w:val="32"/>
        </w:rPr>
        <w:t>》</w:t>
      </w:r>
      <w:r>
        <w:rPr>
          <w:rFonts w:hint="default" w:ascii="仿宋_GB2312" w:hAnsi="仿宋_GB2312" w:eastAsia="仿宋_GB2312"/>
          <w:color w:val="auto"/>
          <w:kern w:val="0"/>
          <w:sz w:val="32"/>
          <w:szCs w:val="32"/>
        </w:rPr>
        <w:t>（</w:t>
      </w:r>
      <w:r>
        <w:rPr>
          <w:rFonts w:ascii="仿宋_GB2312" w:hAnsi="仿宋_GB2312" w:eastAsia="仿宋_GB2312"/>
          <w:color w:val="auto"/>
          <w:kern w:val="0"/>
          <w:sz w:val="32"/>
          <w:szCs w:val="32"/>
        </w:rPr>
        <w:t>国家药品监督管理局通告</w:t>
      </w:r>
      <w:r>
        <w:rPr>
          <w:rFonts w:hint="default" w:ascii="仿宋_GB2312" w:hAnsi="仿宋_GB2312" w:eastAsia="仿宋_GB2312"/>
          <w:color w:val="auto"/>
          <w:kern w:val="0"/>
          <w:sz w:val="32"/>
          <w:szCs w:val="32"/>
        </w:rPr>
        <w:t>2021年第71号</w:t>
      </w:r>
      <w:r>
        <w:rPr>
          <w:rFonts w:ascii="仿宋_GB2312" w:hAnsi="仿宋_GB2312" w:eastAsia="仿宋_GB2312"/>
          <w:color w:val="auto"/>
          <w:kern w:val="0"/>
          <w:sz w:val="32"/>
          <w:szCs w:val="32"/>
        </w:rPr>
        <w:t>）</w:t>
      </w:r>
      <w:r>
        <w:rPr>
          <w:rFonts w:hint="default" w:ascii="仿宋_GB2312" w:hAnsi="仿宋_GB2312" w:eastAsia="仿宋_GB2312"/>
          <w:color w:val="auto"/>
          <w:kern w:val="0"/>
          <w:sz w:val="32"/>
          <w:szCs w:val="32"/>
        </w:rPr>
        <w:t>[</w:t>
      </w:r>
      <w:r>
        <w:rPr>
          <w:rFonts w:ascii="仿宋_GB2312" w:hAnsi="仿宋_GB2312" w:eastAsia="仿宋_GB2312"/>
          <w:color w:val="auto"/>
          <w:kern w:val="0"/>
          <w:sz w:val="32"/>
          <w:szCs w:val="32"/>
        </w:rPr>
        <w:t>Z].</w:t>
      </w:r>
    </w:p>
    <w:p>
      <w:pPr>
        <w:widowControl/>
        <w:numPr>
          <w:ilvl w:val="0"/>
          <w:numId w:val="0"/>
        </w:numPr>
        <w:spacing w:line="520" w:lineRule="exact"/>
        <w:ind w:firstLine="640" w:firstLineChars="200"/>
        <w:jc w:val="left"/>
        <w:rPr>
          <w:rFonts w:hint="default" w:ascii="仿宋_GB2312" w:hAnsi="仿宋_GB2312" w:eastAsia="仿宋_GB2312"/>
          <w:color w:val="auto"/>
          <w:kern w:val="0"/>
          <w:sz w:val="32"/>
          <w:szCs w:val="32"/>
          <w:lang w:val="en-US" w:eastAsia="zh-CN"/>
        </w:rPr>
      </w:pPr>
      <w:r>
        <w:rPr>
          <w:rFonts w:hint="default" w:ascii="仿宋_GB2312" w:hAnsi="仿宋_GB2312" w:eastAsia="仿宋_GB2312"/>
          <w:color w:val="auto"/>
          <w:kern w:val="0"/>
          <w:sz w:val="32"/>
          <w:szCs w:val="32"/>
        </w:rPr>
        <w:t>[</w:t>
      </w:r>
      <w:r>
        <w:rPr>
          <w:rFonts w:hint="default" w:ascii="仿宋_GB2312" w:hAnsi="仿宋_GB2312" w:eastAsia="仿宋_GB2312"/>
          <w:color w:val="auto"/>
          <w:kern w:val="0"/>
          <w:sz w:val="32"/>
          <w:szCs w:val="32"/>
          <w:lang w:val="en-US" w:eastAsia="zh-CN"/>
        </w:rPr>
        <w:t>9</w:t>
      </w:r>
      <w:r>
        <w:rPr>
          <w:rFonts w:ascii="仿宋_GB2312" w:hAnsi="仿宋_GB2312" w:eastAsia="仿宋_GB2312"/>
          <w:color w:val="auto"/>
          <w:kern w:val="0"/>
          <w:sz w:val="32"/>
          <w:szCs w:val="32"/>
        </w:rPr>
        <w:t>]</w:t>
      </w:r>
      <w:r>
        <w:rPr>
          <w:rFonts w:hint="default" w:ascii="仿宋_GB2312" w:hAnsi="仿宋_GB2312" w:eastAsia="仿宋_GB2312"/>
          <w:color w:val="auto"/>
          <w:kern w:val="0"/>
          <w:sz w:val="32"/>
          <w:szCs w:val="32"/>
          <w:lang w:val="en-US" w:eastAsia="zh-CN"/>
        </w:rPr>
        <w:t>YY/T 1246-2014，《糖化血红蛋白分析仪》</w:t>
      </w:r>
      <w:r>
        <w:rPr>
          <w:rFonts w:ascii="仿宋_GB2312" w:hAnsi="仿宋_GB2312" w:eastAsia="仿宋_GB2312"/>
          <w:color w:val="auto"/>
          <w:kern w:val="0"/>
          <w:sz w:val="32"/>
          <w:szCs w:val="32"/>
        </w:rPr>
        <w:t>[S].</w:t>
      </w:r>
    </w:p>
    <w:p>
      <w:pPr>
        <w:widowControl/>
        <w:numPr>
          <w:ilvl w:val="0"/>
          <w:numId w:val="0"/>
        </w:numPr>
        <w:spacing w:line="520" w:lineRule="exact"/>
        <w:ind w:firstLine="640" w:firstLineChars="200"/>
        <w:jc w:val="left"/>
        <w:rPr>
          <w:rFonts w:ascii="仿宋_GB2312" w:hAnsi="仿宋_GB2312" w:eastAsia="仿宋_GB2312"/>
          <w:color w:val="auto"/>
          <w:sz w:val="32"/>
          <w:szCs w:val="32"/>
        </w:rPr>
      </w:pPr>
      <w:r>
        <w:rPr>
          <w:rFonts w:hint="default" w:ascii="仿宋_GB2312" w:hAnsi="仿宋_GB2312" w:eastAsia="仿宋_GB2312"/>
          <w:color w:val="auto"/>
          <w:kern w:val="0"/>
          <w:sz w:val="32"/>
          <w:szCs w:val="32"/>
        </w:rPr>
        <w:t>[</w:t>
      </w:r>
      <w:r>
        <w:rPr>
          <w:rFonts w:hint="default" w:ascii="仿宋_GB2312" w:hAnsi="仿宋_GB2312" w:eastAsia="仿宋_GB2312"/>
          <w:color w:val="auto"/>
          <w:kern w:val="0"/>
          <w:sz w:val="32"/>
          <w:szCs w:val="32"/>
          <w:lang w:val="en-US" w:eastAsia="zh-CN"/>
        </w:rPr>
        <w:t>10</w:t>
      </w:r>
      <w:r>
        <w:rPr>
          <w:rFonts w:ascii="仿宋_GB2312" w:hAnsi="仿宋_GB2312" w:eastAsia="仿宋_GB2312"/>
          <w:color w:val="auto"/>
          <w:kern w:val="0"/>
          <w:sz w:val="32"/>
          <w:szCs w:val="32"/>
        </w:rPr>
        <w:t>]</w:t>
      </w:r>
      <w:r>
        <w:rPr>
          <w:rFonts w:ascii="仿宋_GB2312" w:hAnsi="仿宋_GB2312" w:eastAsia="仿宋_GB2312"/>
          <w:color w:val="auto"/>
          <w:sz w:val="32"/>
          <w:szCs w:val="32"/>
        </w:rPr>
        <w:t>WS/T 461-2015</w:t>
      </w:r>
      <w:r>
        <w:rPr>
          <w:rFonts w:hint="default" w:ascii="仿宋_GB2312" w:hAnsi="仿宋_GB2312" w:eastAsia="仿宋_GB2312"/>
          <w:color w:val="auto"/>
          <w:kern w:val="0"/>
          <w:sz w:val="32"/>
          <w:szCs w:val="32"/>
          <w:lang w:eastAsia="zh-CN"/>
        </w:rPr>
        <w:t>，</w:t>
      </w:r>
      <w:r>
        <w:rPr>
          <w:rFonts w:hint="eastAsia" w:ascii="仿宋_GB2312" w:hAnsi="仿宋_GB2312" w:eastAsia="仿宋_GB2312"/>
          <w:color w:val="auto"/>
          <w:sz w:val="32"/>
          <w:szCs w:val="32"/>
        </w:rPr>
        <w:t>《</w:t>
      </w:r>
      <w:r>
        <w:rPr>
          <w:rFonts w:ascii="仿宋_GB2312" w:hAnsi="仿宋_GB2312" w:eastAsia="仿宋_GB2312"/>
          <w:color w:val="auto"/>
          <w:sz w:val="32"/>
          <w:szCs w:val="32"/>
        </w:rPr>
        <w:t>糖化血红蛋白检测</w:t>
      </w:r>
      <w:r>
        <w:rPr>
          <w:rFonts w:hint="eastAsia" w:ascii="仿宋_GB2312" w:hAnsi="仿宋_GB2312" w:eastAsia="仿宋_GB2312"/>
          <w:color w:val="auto"/>
          <w:sz w:val="32"/>
          <w:szCs w:val="32"/>
        </w:rPr>
        <w:t>》</w:t>
      </w:r>
      <w:r>
        <w:rPr>
          <w:rFonts w:ascii="仿宋_GB2312" w:hAnsi="仿宋_GB2312" w:eastAsia="仿宋_GB2312"/>
          <w:color w:val="auto"/>
          <w:kern w:val="0"/>
          <w:sz w:val="32"/>
          <w:szCs w:val="32"/>
        </w:rPr>
        <w:t>[S].</w:t>
      </w:r>
    </w:p>
    <w:p>
      <w:pPr>
        <w:widowControl/>
        <w:numPr>
          <w:ilvl w:val="0"/>
          <w:numId w:val="0"/>
        </w:numPr>
        <w:spacing w:line="520" w:lineRule="exact"/>
        <w:ind w:firstLine="640" w:firstLineChars="200"/>
        <w:jc w:val="left"/>
        <w:rPr>
          <w:rFonts w:ascii="仿宋_GB2312" w:hAnsi="仿宋_GB2312" w:eastAsia="仿宋_GB2312"/>
          <w:color w:val="auto"/>
          <w:sz w:val="32"/>
          <w:szCs w:val="32"/>
        </w:rPr>
      </w:pPr>
      <w:r>
        <w:rPr>
          <w:rFonts w:hint="default" w:ascii="仿宋_GB2312" w:hAnsi="仿宋_GB2312" w:eastAsia="仿宋_GB2312"/>
          <w:color w:val="auto"/>
          <w:kern w:val="0"/>
          <w:sz w:val="32"/>
          <w:szCs w:val="32"/>
        </w:rPr>
        <w:t>[</w:t>
      </w:r>
      <w:r>
        <w:rPr>
          <w:rFonts w:hint="default" w:ascii="仿宋_GB2312" w:hAnsi="仿宋_GB2312" w:eastAsia="仿宋_GB2312"/>
          <w:color w:val="auto"/>
          <w:kern w:val="0"/>
          <w:sz w:val="32"/>
          <w:szCs w:val="32"/>
          <w:lang w:val="en-US" w:eastAsia="zh-CN"/>
        </w:rPr>
        <w:t>11</w:t>
      </w:r>
      <w:r>
        <w:rPr>
          <w:rFonts w:ascii="仿宋_GB2312" w:hAnsi="仿宋_GB2312" w:eastAsia="仿宋_GB2312"/>
          <w:color w:val="auto"/>
          <w:kern w:val="0"/>
          <w:sz w:val="32"/>
          <w:szCs w:val="32"/>
        </w:rPr>
        <w:t>]</w:t>
      </w:r>
      <w:r>
        <w:rPr>
          <w:rFonts w:ascii="仿宋_GB2312" w:hAnsi="仿宋_GB2312" w:eastAsia="仿宋_GB2312"/>
          <w:color w:val="auto"/>
          <w:sz w:val="32"/>
          <w:szCs w:val="32"/>
        </w:rPr>
        <w:t>李黎,刘铁牛</w:t>
      </w:r>
      <w:r>
        <w:rPr>
          <w:rFonts w:hint="default" w:ascii="仿宋_GB2312" w:hAnsi="仿宋_GB2312" w:eastAsia="仿宋_GB2312"/>
          <w:color w:val="auto"/>
          <w:kern w:val="0"/>
          <w:sz w:val="32"/>
          <w:szCs w:val="32"/>
          <w:lang w:eastAsia="zh-CN"/>
        </w:rPr>
        <w:t>，</w:t>
      </w:r>
      <w:r>
        <w:rPr>
          <w:rFonts w:ascii="仿宋_GB2312" w:hAnsi="仿宋_GB2312" w:eastAsia="仿宋_GB2312"/>
          <w:color w:val="auto"/>
          <w:sz w:val="32"/>
          <w:szCs w:val="32"/>
        </w:rPr>
        <w:t>糖化血红蛋白临床检测方法进展研究</w:t>
      </w:r>
      <w:r>
        <w:rPr>
          <w:rFonts w:ascii="仿宋_GB2312" w:hAnsi="仿宋_GB2312" w:eastAsia="仿宋_GB2312"/>
          <w:color w:val="auto"/>
          <w:kern w:val="0"/>
          <w:sz w:val="32"/>
          <w:szCs w:val="32"/>
        </w:rPr>
        <w:t>[J].</w:t>
      </w:r>
      <w:r>
        <w:rPr>
          <w:rFonts w:ascii="仿宋_GB2312" w:hAnsi="仿宋_GB2312" w:eastAsia="仿宋_GB2312"/>
          <w:color w:val="auto"/>
          <w:sz w:val="32"/>
          <w:szCs w:val="32"/>
        </w:rPr>
        <w:t>国际检验医学杂志</w:t>
      </w:r>
      <w:r>
        <w:rPr>
          <w:rFonts w:hint="default" w:ascii="仿宋_GB2312" w:hAnsi="仿宋_GB2312" w:eastAsia="仿宋_GB2312"/>
          <w:color w:val="auto"/>
          <w:kern w:val="0"/>
          <w:sz w:val="32"/>
          <w:szCs w:val="32"/>
          <w:lang w:eastAsia="zh-CN"/>
        </w:rPr>
        <w:t>，</w:t>
      </w:r>
      <w:r>
        <w:rPr>
          <w:rFonts w:ascii="仿宋_GB2312" w:hAnsi="仿宋_GB2312" w:eastAsia="仿宋_GB2312"/>
          <w:color w:val="auto"/>
          <w:sz w:val="32"/>
          <w:szCs w:val="32"/>
        </w:rPr>
        <w:t>2012,33(8):954-956.</w:t>
      </w:r>
    </w:p>
    <w:p>
      <w:pPr>
        <w:spacing w:line="520" w:lineRule="exact"/>
        <w:ind w:firstLine="640" w:firstLineChars="200"/>
        <w:rPr>
          <w:rFonts w:eastAsia="黑体"/>
          <w:color w:val="auto"/>
          <w:sz w:val="32"/>
          <w:szCs w:val="32"/>
        </w:rPr>
      </w:pPr>
      <w:r>
        <w:rPr>
          <w:rFonts w:hint="eastAsia" w:eastAsia="黑体"/>
          <w:color w:val="auto"/>
          <w:sz w:val="32"/>
          <w:szCs w:val="32"/>
        </w:rPr>
        <w:t>四</w:t>
      </w:r>
      <w:r>
        <w:rPr>
          <w:rFonts w:eastAsia="黑体"/>
          <w:color w:val="auto"/>
          <w:sz w:val="32"/>
          <w:szCs w:val="32"/>
        </w:rPr>
        <w:t>、</w:t>
      </w:r>
      <w:r>
        <w:rPr>
          <w:rFonts w:hint="eastAsia" w:eastAsia="黑体"/>
          <w:color w:val="auto"/>
          <w:sz w:val="32"/>
          <w:szCs w:val="32"/>
        </w:rPr>
        <w:t>起草</w:t>
      </w:r>
      <w:r>
        <w:rPr>
          <w:rFonts w:eastAsia="黑体"/>
          <w:color w:val="auto"/>
          <w:sz w:val="32"/>
          <w:szCs w:val="32"/>
        </w:rPr>
        <w:t>单位</w:t>
      </w:r>
    </w:p>
    <w:p>
      <w:pPr>
        <w:spacing w:line="560" w:lineRule="exact"/>
        <w:ind w:firstLine="640" w:firstLineChars="200"/>
        <w:rPr>
          <w:rFonts w:hint="eastAsia" w:hAnsi="仿宋_GB2312" w:eastAsia="仿宋_GB2312"/>
          <w:color w:val="auto"/>
          <w:kern w:val="0"/>
          <w:sz w:val="32"/>
          <w:szCs w:val="32"/>
        </w:rPr>
      </w:pPr>
      <w:r>
        <w:rPr>
          <w:rFonts w:hint="eastAsia" w:hAnsi="仿宋_GB2312" w:eastAsia="仿宋_GB2312"/>
          <w:color w:val="auto"/>
          <w:kern w:val="0"/>
          <w:sz w:val="32"/>
          <w:szCs w:val="32"/>
        </w:rPr>
        <w:t>浙江省医疗器械审评中心</w:t>
      </w:r>
    </w:p>
    <w:p>
      <w:pPr>
        <w:spacing w:line="560" w:lineRule="exact"/>
        <w:ind w:firstLine="0" w:firstLineChars="0"/>
        <w:rPr>
          <w:rFonts w:hint="eastAsia" w:hAnsi="仿宋_GB2312" w:eastAsia="仿宋_GB2312"/>
          <w:color w:val="auto"/>
          <w:kern w:val="0"/>
          <w:sz w:val="32"/>
          <w:szCs w:val="32"/>
        </w:rPr>
      </w:pPr>
    </w:p>
    <w:p>
      <w:pPr>
        <w:spacing w:line="520" w:lineRule="exact"/>
        <w:ind w:firstLine="0" w:firstLineChars="0"/>
        <w:rPr>
          <w:rFonts w:hint="eastAsia" w:hAnsi="仿宋_GB2312" w:eastAsia="仿宋_GB2312"/>
          <w:color w:val="auto"/>
          <w:kern w:val="0"/>
          <w:sz w:val="32"/>
          <w:szCs w:val="32"/>
        </w:rPr>
      </w:pPr>
    </w:p>
    <w:p>
      <w:pPr>
        <w:widowControl/>
        <w:jc w:val="left"/>
        <w:rPr>
          <w:rFonts w:hint="eastAsia" w:eastAsia="黑体"/>
          <w:color w:val="auto"/>
          <w:sz w:val="32"/>
          <w:szCs w:val="32"/>
          <w:lang w:val="en-US" w:eastAsia="zh-CN"/>
        </w:rPr>
      </w:pPr>
      <w:r>
        <w:rPr>
          <w:rFonts w:ascii="Times New Roman" w:hAnsi="Times New Roman" w:eastAsia="黑体"/>
          <w:color w:val="auto"/>
          <w:sz w:val="32"/>
          <w:szCs w:val="32"/>
        </w:rPr>
        <w:t>附件</w:t>
      </w:r>
      <w:r>
        <w:rPr>
          <w:rFonts w:hint="eastAsia" w:eastAsia="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2"/>
        <w:rPr>
          <w:rFonts w:ascii="Times New Roman" w:hAnsi="Times New Roman" w:eastAsia="方正小标宋简体"/>
          <w:color w:val="auto"/>
          <w:kern w:val="0"/>
          <w:sz w:val="44"/>
          <w:szCs w:val="44"/>
        </w:rPr>
      </w:pPr>
      <w:r>
        <w:rPr>
          <w:rFonts w:hint="eastAsia" w:ascii="Times New Roman" w:hAnsi="Times New Roman" w:eastAsia="方正小标宋简体"/>
          <w:color w:val="auto"/>
          <w:kern w:val="0"/>
          <w:sz w:val="44"/>
          <w:szCs w:val="44"/>
        </w:rPr>
        <w:t>糖化血红蛋白分析仪</w:t>
      </w:r>
      <w:r>
        <w:rPr>
          <w:rFonts w:ascii="Times New Roman" w:hAnsi="Times New Roman" w:eastAsia="方正小标宋简体"/>
          <w:color w:val="auto"/>
          <w:kern w:val="0"/>
          <w:sz w:val="44"/>
          <w:szCs w:val="44"/>
        </w:rPr>
        <w:t>风险分析资料要求</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2"/>
        <w:rPr>
          <w:rFonts w:ascii="Times New Roman" w:hAnsi="Times New Roman" w:eastAsia="方正小标宋简体"/>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2"/>
        <w:rPr>
          <w:rFonts w:ascii="仿宋_GB2312" w:hAnsi="仿宋_GB2312" w:eastAsia="仿宋_GB2312" w:cs="楷体_GB2312"/>
          <w:color w:val="auto"/>
          <w:kern w:val="0"/>
          <w:sz w:val="32"/>
          <w:szCs w:val="32"/>
        </w:rPr>
      </w:pPr>
      <w:r>
        <w:rPr>
          <w:rFonts w:hint="eastAsia" w:ascii="仿宋_GB2312" w:hAnsi="仿宋_GB2312" w:eastAsia="仿宋_GB2312" w:cs="楷体_GB2312"/>
          <w:color w:val="auto"/>
          <w:kern w:val="0"/>
          <w:sz w:val="32"/>
          <w:szCs w:val="32"/>
        </w:rPr>
        <w:t>产品风险管理报告必须符合《医疗器械风险管理对医疗器械的应用》（YY/T</w:t>
      </w:r>
      <w:r>
        <w:rPr>
          <w:rFonts w:ascii="仿宋_GB2312" w:hAnsi="仿宋_GB2312" w:eastAsia="仿宋_GB2312" w:cs="楷体_GB2312"/>
          <w:color w:val="auto"/>
          <w:kern w:val="0"/>
          <w:sz w:val="32"/>
          <w:szCs w:val="32"/>
        </w:rPr>
        <w:t xml:space="preserve"> 0316</w:t>
      </w:r>
      <w:r>
        <w:rPr>
          <w:rFonts w:hint="eastAsia" w:ascii="仿宋_GB2312" w:hAnsi="仿宋_GB2312" w:eastAsia="仿宋_GB2312" w:cs="楷体_GB2312"/>
          <w:color w:val="auto"/>
          <w:kern w:val="0"/>
          <w:sz w:val="32"/>
          <w:szCs w:val="32"/>
        </w:rPr>
        <w:t>）的相关要求（国际上通常参考I</w:t>
      </w:r>
      <w:r>
        <w:rPr>
          <w:rFonts w:ascii="仿宋_GB2312" w:hAnsi="仿宋_GB2312" w:eastAsia="仿宋_GB2312" w:cs="楷体_GB2312"/>
          <w:color w:val="auto"/>
          <w:kern w:val="0"/>
          <w:sz w:val="32"/>
          <w:szCs w:val="32"/>
        </w:rPr>
        <w:t>SO 14971</w:t>
      </w:r>
      <w:r>
        <w:rPr>
          <w:rFonts w:hint="eastAsia" w:ascii="仿宋_GB2312" w:hAnsi="仿宋_GB2312" w:eastAsia="仿宋_GB2312" w:cs="楷体_GB2312"/>
          <w:color w:val="auto"/>
          <w:kern w:val="0"/>
          <w:sz w:val="32"/>
          <w:szCs w:val="32"/>
        </w:rPr>
        <w:t>），对产品相关的危险（源）进行预计和评估，监测相关风险的控制和风险控制的有效性。申请人在提供注册产品的风险管理报告时，应简要说明以下内容：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2"/>
        <w:rPr>
          <w:rFonts w:ascii="仿宋_GB2312" w:hAnsi="仿宋_GB2312" w:eastAsia="仿宋_GB2312" w:cs="楷体_GB2312"/>
          <w:color w:val="auto"/>
          <w:kern w:val="0"/>
          <w:sz w:val="32"/>
          <w:szCs w:val="32"/>
        </w:rPr>
      </w:pPr>
      <w:r>
        <w:rPr>
          <w:rFonts w:hint="eastAsia" w:ascii="仿宋_GB2312" w:hAnsi="仿宋_GB2312" w:eastAsia="仿宋_GB2312" w:cs="楷体_GB2312"/>
          <w:color w:val="auto"/>
          <w:kern w:val="0"/>
          <w:sz w:val="32"/>
          <w:szCs w:val="32"/>
        </w:rPr>
        <w:t>（1）在产品的开发阶段，对潜在危害和可能发生的风险进行预计和评估，明确实施降低风险的技术和管理层面措施。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2"/>
        <w:rPr>
          <w:rFonts w:ascii="仿宋_GB2312" w:hAnsi="仿宋_GB2312" w:eastAsia="仿宋_GB2312" w:cs="楷体_GB2312"/>
          <w:color w:val="auto"/>
          <w:kern w:val="0"/>
          <w:sz w:val="32"/>
          <w:szCs w:val="32"/>
        </w:rPr>
      </w:pPr>
      <w:r>
        <w:rPr>
          <w:rFonts w:hint="eastAsia" w:ascii="仿宋_GB2312" w:hAnsi="仿宋_GB2312" w:eastAsia="仿宋_GB2312" w:cs="楷体_GB2312"/>
          <w:color w:val="auto"/>
          <w:kern w:val="0"/>
          <w:sz w:val="32"/>
          <w:szCs w:val="32"/>
        </w:rPr>
        <w:t>（2）产品的性能检测中，部分验证了该措施的有效性，并满足了通用和相应专用标准的要求。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2"/>
        <w:rPr>
          <w:rFonts w:ascii="仿宋_GB2312" w:hAnsi="仿宋_GB2312" w:eastAsia="仿宋_GB2312" w:cs="楷体_GB2312"/>
          <w:color w:val="auto"/>
          <w:kern w:val="0"/>
          <w:sz w:val="32"/>
          <w:szCs w:val="32"/>
        </w:rPr>
      </w:pPr>
      <w:r>
        <w:rPr>
          <w:rFonts w:hint="eastAsia" w:ascii="仿宋_GB2312" w:hAnsi="仿宋_GB2312" w:eastAsia="仿宋_GB2312" w:cs="楷体_GB2312"/>
          <w:color w:val="auto"/>
          <w:kern w:val="0"/>
          <w:sz w:val="32"/>
          <w:szCs w:val="32"/>
        </w:rPr>
        <w:t>（3）评估所有剩余风险。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2"/>
        <w:rPr>
          <w:rFonts w:ascii="仿宋_GB2312" w:hAnsi="仿宋_GB2312" w:eastAsia="仿宋_GB2312" w:cs="楷体_GB2312"/>
          <w:color w:val="auto"/>
          <w:kern w:val="0"/>
          <w:sz w:val="32"/>
          <w:szCs w:val="32"/>
        </w:rPr>
      </w:pPr>
      <w:r>
        <w:rPr>
          <w:rFonts w:hint="eastAsia" w:ascii="仿宋_GB2312" w:hAnsi="仿宋_GB2312" w:eastAsia="仿宋_GB2312" w:cs="楷体_GB2312"/>
          <w:color w:val="auto"/>
          <w:kern w:val="0"/>
          <w:sz w:val="32"/>
          <w:szCs w:val="32"/>
        </w:rPr>
        <w:t>（4）全部达到可接受的水平。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2"/>
        <w:rPr>
          <w:rFonts w:ascii="仿宋_GB2312" w:hAnsi="仿宋_GB2312" w:eastAsia="仿宋_GB2312" w:cs="楷体_GB2312"/>
          <w:color w:val="auto"/>
          <w:kern w:val="0"/>
          <w:sz w:val="32"/>
          <w:szCs w:val="32"/>
        </w:rPr>
      </w:pPr>
      <w:r>
        <w:rPr>
          <w:rFonts w:hint="eastAsia" w:ascii="仿宋_GB2312" w:hAnsi="仿宋_GB2312" w:eastAsia="仿宋_GB2312" w:cs="楷体_GB2312"/>
          <w:color w:val="auto"/>
          <w:kern w:val="0"/>
          <w:sz w:val="32"/>
          <w:szCs w:val="32"/>
        </w:rPr>
        <w:t>（5）对产品安全性的承诺。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2"/>
        <w:rPr>
          <w:rFonts w:ascii="仿宋_GB2312" w:hAnsi="仿宋_GB2312" w:eastAsia="仿宋_GB2312" w:cs="楷体_GB2312"/>
          <w:color w:val="auto"/>
          <w:kern w:val="0"/>
          <w:sz w:val="32"/>
          <w:szCs w:val="32"/>
        </w:rPr>
      </w:pPr>
      <w:r>
        <w:rPr>
          <w:rFonts w:ascii="仿宋_GB2312" w:hAnsi="仿宋_GB2312" w:eastAsia="仿宋_GB2312" w:cs="楷体_GB2312"/>
          <w:color w:val="auto"/>
          <w:kern w:val="0"/>
          <w:sz w:val="32"/>
          <w:szCs w:val="32"/>
        </w:rPr>
        <w:t>1.</w:t>
      </w:r>
      <w:r>
        <w:rPr>
          <w:rFonts w:hint="eastAsia" w:ascii="仿宋_GB2312" w:hAnsi="仿宋_GB2312" w:eastAsia="仿宋_GB2312" w:cs="楷体_GB2312"/>
          <w:color w:val="auto"/>
          <w:kern w:val="0"/>
          <w:sz w:val="32"/>
          <w:szCs w:val="32"/>
        </w:rPr>
        <w:t>风险管理报告的内容至少应包含以下内容：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2"/>
        <w:rPr>
          <w:rFonts w:ascii="仿宋_GB2312" w:hAnsi="仿宋_GB2312" w:eastAsia="仿宋_GB2312" w:cs="楷体_GB2312"/>
          <w:color w:val="auto"/>
          <w:kern w:val="0"/>
          <w:sz w:val="32"/>
          <w:szCs w:val="32"/>
        </w:rPr>
      </w:pPr>
      <w:r>
        <w:rPr>
          <w:rFonts w:hint="eastAsia" w:ascii="仿宋_GB2312" w:hAnsi="仿宋_GB2312" w:eastAsia="仿宋_GB2312" w:cs="楷体_GB2312"/>
          <w:color w:val="auto"/>
          <w:kern w:val="0"/>
          <w:sz w:val="32"/>
          <w:szCs w:val="32"/>
        </w:rPr>
        <w:t>（1）产品的风险管理组织。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2"/>
        <w:rPr>
          <w:rFonts w:ascii="仿宋_GB2312" w:hAnsi="仿宋_GB2312" w:eastAsia="仿宋_GB2312" w:cs="楷体_GB2312"/>
          <w:color w:val="auto"/>
          <w:kern w:val="0"/>
          <w:sz w:val="32"/>
          <w:szCs w:val="32"/>
        </w:rPr>
      </w:pPr>
      <w:r>
        <w:rPr>
          <w:rFonts w:hint="eastAsia" w:ascii="仿宋_GB2312" w:hAnsi="仿宋_GB2312" w:eastAsia="仿宋_GB2312" w:cs="楷体_GB2312"/>
          <w:color w:val="auto"/>
          <w:kern w:val="0"/>
          <w:sz w:val="32"/>
          <w:szCs w:val="32"/>
        </w:rPr>
        <w:t>（2）产品的组成和适用范围。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2"/>
        <w:rPr>
          <w:rFonts w:ascii="仿宋_GB2312" w:hAnsi="仿宋_GB2312" w:eastAsia="仿宋_GB2312" w:cs="楷体_GB2312"/>
          <w:color w:val="auto"/>
          <w:kern w:val="0"/>
          <w:sz w:val="32"/>
          <w:szCs w:val="32"/>
        </w:rPr>
      </w:pPr>
      <w:r>
        <w:rPr>
          <w:rFonts w:hint="eastAsia" w:ascii="仿宋_GB2312" w:hAnsi="仿宋_GB2312" w:eastAsia="仿宋_GB2312" w:cs="楷体_GB2312"/>
          <w:color w:val="auto"/>
          <w:kern w:val="0"/>
          <w:sz w:val="32"/>
          <w:szCs w:val="32"/>
        </w:rPr>
        <w:t>（3）风险报告制作的依据。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2"/>
        <w:rPr>
          <w:rFonts w:ascii="仿宋_GB2312" w:hAnsi="仿宋_GB2312" w:eastAsia="仿宋_GB2312" w:cs="楷体_GB2312"/>
          <w:color w:val="auto"/>
          <w:kern w:val="0"/>
          <w:sz w:val="32"/>
          <w:szCs w:val="32"/>
        </w:rPr>
      </w:pPr>
      <w:r>
        <w:rPr>
          <w:rFonts w:hint="eastAsia" w:ascii="仿宋_GB2312" w:hAnsi="仿宋_GB2312" w:eastAsia="仿宋_GB2312" w:cs="楷体_GB2312"/>
          <w:color w:val="auto"/>
          <w:kern w:val="0"/>
          <w:sz w:val="32"/>
          <w:szCs w:val="32"/>
        </w:rPr>
        <w:t>（4）产品安全性相关特征的判定。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2"/>
        <w:rPr>
          <w:rFonts w:ascii="仿宋_GB2312" w:hAnsi="仿宋_GB2312" w:eastAsia="仿宋_GB2312" w:cs="楷体_GB2312"/>
          <w:color w:val="auto"/>
          <w:kern w:val="0"/>
          <w:sz w:val="32"/>
          <w:szCs w:val="32"/>
        </w:rPr>
      </w:pPr>
      <w:r>
        <w:rPr>
          <w:rFonts w:hint="eastAsia" w:ascii="仿宋_GB2312" w:hAnsi="仿宋_GB2312" w:eastAsia="仿宋_GB2312" w:cs="楷体_GB2312"/>
          <w:color w:val="auto"/>
          <w:kern w:val="0"/>
          <w:sz w:val="32"/>
          <w:szCs w:val="32"/>
        </w:rPr>
        <w:t>2.可参考的附录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2"/>
        <w:rPr>
          <w:rFonts w:hint="eastAsia" w:ascii="仿宋_GB2312" w:hAnsi="仿宋_GB2312" w:eastAsia="仿宋_GB2312" w:cs="楷体_GB2312"/>
          <w:color w:val="auto"/>
          <w:kern w:val="0"/>
          <w:sz w:val="32"/>
          <w:szCs w:val="32"/>
        </w:rPr>
      </w:pPr>
      <w:r>
        <w:rPr>
          <w:rFonts w:hint="eastAsia" w:ascii="仿宋_GB2312" w:hAnsi="仿宋_GB2312" w:eastAsia="仿宋_GB2312" w:cs="楷体_GB2312"/>
          <w:color w:val="auto"/>
          <w:kern w:val="0"/>
          <w:sz w:val="32"/>
          <w:szCs w:val="32"/>
        </w:rPr>
        <w:t>（1）与产品有关的安全性特征判断可参考YY/T 0316的附录C、H；</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2"/>
        <w:rPr>
          <w:rFonts w:hint="eastAsia" w:ascii="仿宋_GB2312" w:hAnsi="仿宋_GB2312" w:eastAsia="仿宋_GB2312" w:cs="楷体_GB2312"/>
          <w:color w:val="auto"/>
          <w:kern w:val="0"/>
          <w:sz w:val="32"/>
          <w:szCs w:val="32"/>
        </w:rPr>
      </w:pPr>
      <w:r>
        <w:rPr>
          <w:rFonts w:hint="eastAsia" w:ascii="仿宋_GB2312" w:hAnsi="仿宋_GB2312" w:eastAsia="仿宋_GB2312" w:cs="楷体_GB2312"/>
          <w:color w:val="auto"/>
          <w:kern w:val="0"/>
          <w:sz w:val="32"/>
          <w:szCs w:val="32"/>
        </w:rPr>
        <w:t>（2）危险（源）、可预见的事件序列和危险情况可参考YY/T 0316附录E、I、H；</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2"/>
        <w:rPr>
          <w:rFonts w:hint="eastAsia" w:ascii="仿宋_GB2312" w:hAnsi="仿宋_GB2312" w:eastAsia="仿宋_GB2312" w:cs="楷体_GB2312"/>
          <w:color w:val="auto"/>
          <w:kern w:val="0"/>
          <w:sz w:val="32"/>
          <w:szCs w:val="32"/>
        </w:rPr>
      </w:pPr>
      <w:r>
        <w:rPr>
          <w:rFonts w:hint="eastAsia" w:ascii="仿宋_GB2312" w:hAnsi="仿宋_GB2312" w:eastAsia="仿宋_GB2312" w:cs="楷体_GB2312"/>
          <w:color w:val="auto"/>
          <w:kern w:val="0"/>
          <w:sz w:val="32"/>
          <w:szCs w:val="32"/>
        </w:rPr>
        <w:t>（3）风险控制的方案与实施、综合剩余风险的可接受性评价及生产和生产后监视相关方法可参考YY/T 0316附录F、G、J、H；</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2"/>
        <w:rPr>
          <w:rFonts w:hint="eastAsia" w:ascii="仿宋_GB2312" w:hAnsi="仿宋_GB2312" w:eastAsia="仿宋_GB2312" w:cs="楷体_GB2312"/>
          <w:color w:val="auto"/>
          <w:kern w:val="0"/>
          <w:sz w:val="32"/>
          <w:szCs w:val="32"/>
        </w:rPr>
      </w:pPr>
      <w:r>
        <w:rPr>
          <w:rFonts w:hint="eastAsia" w:ascii="仿宋_GB2312" w:hAnsi="仿宋_GB2312" w:eastAsia="仿宋_GB2312" w:cs="楷体_GB2312"/>
          <w:color w:val="auto"/>
          <w:kern w:val="0"/>
          <w:sz w:val="32"/>
          <w:szCs w:val="32"/>
        </w:rPr>
        <w:t>（4）风险可接收准则，降低风险的措施及采取措施后风险的可接受程度，是否有新的风险产生。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2"/>
        <w:rPr>
          <w:rFonts w:hint="eastAsia" w:ascii="Times New Roman" w:hAnsi="Times New Roman" w:eastAsia="仿宋_GB2312"/>
          <w:color w:val="auto"/>
          <w:sz w:val="32"/>
          <w:szCs w:val="32"/>
        </w:rPr>
      </w:pPr>
      <w:r>
        <w:rPr>
          <w:rFonts w:hint="eastAsia" w:ascii="仿宋_GB2312" w:hAnsi="仿宋_GB2312" w:eastAsia="仿宋_GB2312" w:cs="楷体_GB2312"/>
          <w:color w:val="auto"/>
          <w:kern w:val="0"/>
          <w:sz w:val="32"/>
          <w:szCs w:val="32"/>
        </w:rPr>
        <w:t>糖化血红蛋白分析仪常见的</w:t>
      </w:r>
      <w:r>
        <w:rPr>
          <w:rFonts w:hint="eastAsia" w:ascii="仿宋_GB2312" w:hAnsi="仿宋_GB2312" w:eastAsia="仿宋_GB2312" w:cs="楷体_GB2312"/>
          <w:color w:val="auto"/>
          <w:kern w:val="0"/>
          <w:sz w:val="32"/>
          <w:szCs w:val="32"/>
          <w:lang w:val="en-US" w:eastAsia="zh-CN"/>
        </w:rPr>
        <w:t>危害因素</w:t>
      </w:r>
      <w:r>
        <w:rPr>
          <w:rFonts w:hint="eastAsia" w:ascii="仿宋_GB2312" w:hAnsi="仿宋_GB2312" w:eastAsia="仿宋_GB2312" w:cs="楷体_GB2312"/>
          <w:color w:val="auto"/>
          <w:kern w:val="0"/>
          <w:sz w:val="32"/>
          <w:szCs w:val="32"/>
        </w:rPr>
        <w:t>见表1：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olor w:val="auto"/>
          <w:sz w:val="32"/>
          <w:szCs w:val="32"/>
        </w:rPr>
      </w:pPr>
    </w:p>
    <w:p>
      <w:pPr>
        <w:spacing w:line="520" w:lineRule="exact"/>
        <w:ind w:firstLine="560" w:firstLineChars="200"/>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表</w:t>
      </w:r>
      <w:r>
        <w:rPr>
          <w:rFonts w:hint="eastAsia" w:ascii="黑体" w:hAnsi="黑体" w:eastAsia="黑体" w:cs="黑体"/>
          <w:color w:val="auto"/>
          <w:kern w:val="0"/>
          <w:sz w:val="28"/>
          <w:szCs w:val="28"/>
          <w:lang w:val="en-US" w:eastAsia="zh-CN"/>
        </w:rPr>
        <w:t xml:space="preserve">1 </w:t>
      </w:r>
      <w:r>
        <w:rPr>
          <w:rFonts w:hint="eastAsia" w:ascii="黑体" w:hAnsi="黑体" w:eastAsia="黑体" w:cs="黑体"/>
          <w:color w:val="auto"/>
          <w:kern w:val="0"/>
          <w:sz w:val="28"/>
          <w:szCs w:val="28"/>
        </w:rPr>
        <w:t>产品主要初始危害因素</w:t>
      </w:r>
    </w:p>
    <w:tbl>
      <w:tblPr>
        <w:tblStyle w:val="10"/>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2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通用类别</w:t>
            </w:r>
          </w:p>
        </w:tc>
        <w:tc>
          <w:tcPr>
            <w:tcW w:w="6863" w:type="dxa"/>
            <w:tcBorders>
              <w:top w:val="single" w:color="auto" w:sz="4" w:space="0"/>
              <w:left w:val="single" w:color="auto" w:sz="4" w:space="0"/>
              <w:bottom w:val="single" w:color="auto" w:sz="4" w:space="0"/>
              <w:right w:val="single" w:color="auto" w:sz="4" w:space="0"/>
            </w:tcBorders>
            <w:vAlign w:val="center"/>
          </w:tcPr>
          <w:p>
            <w:pPr>
              <w:spacing w:line="520" w:lineRule="exact"/>
              <w:ind w:firstLine="560" w:firstLineChars="200"/>
              <w:jc w:val="center"/>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初始时间和环境示例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3" w:type="dxa"/>
            <w:tcBorders>
              <w:top w:val="single" w:color="auto" w:sz="4" w:space="0"/>
              <w:left w:val="single" w:color="auto" w:sz="4" w:space="0"/>
              <w:bottom w:val="single" w:color="auto" w:sz="4" w:space="0"/>
              <w:right w:val="single" w:color="auto" w:sz="4" w:space="0"/>
            </w:tcBorders>
            <w:vAlign w:val="center"/>
          </w:tcPr>
          <w:p>
            <w:pPr>
              <w:spacing w:line="520" w:lineRule="exact"/>
              <w:jc w:val="both"/>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不完整的要求</w:t>
            </w:r>
          </w:p>
        </w:tc>
        <w:tc>
          <w:tcPr>
            <w:tcW w:w="686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设计参数的不恰当规范：可触及金属部分、外壳等与带电部分隔离/保护设计缺陷，导致电击危险防护较低，可能对使用者造成电击危害；设备插头的插销从内部电容器接收电荷过高；工作台支撑件强度不足，设备面、角、边粗糙，可能对使用者造成机械损伤；受潮防护能力不足，造成电击危害；运动部件功能失效，造成机械危害；电磁兼容性不符合要求，导致设备自身不能正常工作或干扰其他设备的正常工作；管道漏液、堵塞和设备浸水，导致电击危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性能参数不恰当规范：准确性、重复性等不符合要求。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机械模块失效：无法进样、吸样量不准确、传送错误、定位不准确，导致检测结果异常。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与废液处理相关的生物安全性问题。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服务中的要求不恰当规范：说明书未对糖化血红蛋白分析仪的使用方法、设备的维护、保养进行说明。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元器件、附件或组件功能失效：显示故障、打印故障和配件错误，导致设备无法正常工作，安全性能出现隐患。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制造过程</w:t>
            </w:r>
          </w:p>
        </w:tc>
        <w:tc>
          <w:tcPr>
            <w:tcW w:w="686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控制程序（包括软件）修改未经验证，导致产品的性能参数不符合要求。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生产过程中关键工序控制点未进行检测，导致部件、整机不合格。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供方的控制不充分：外购件、外协件供方选择不当，外购件、外协件未进行有效进货检验等。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运输和贮藏</w:t>
            </w:r>
          </w:p>
        </w:tc>
        <w:tc>
          <w:tcPr>
            <w:tcW w:w="686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不适当的包装：产品防护不当导致设备运输过程中损坏。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olor w:val="auto"/>
                <w:kern w:val="0"/>
                <w:sz w:val="28"/>
                <w:szCs w:val="28"/>
              </w:rPr>
            </w:pPr>
            <w:r>
              <w:rPr>
                <w:rFonts w:hint="eastAsia" w:ascii="仿宋_GB2312" w:hAnsi="仿宋_GB2312" w:eastAsia="仿宋_GB2312"/>
                <w:color w:val="auto"/>
                <w:kern w:val="0"/>
                <w:sz w:val="28"/>
                <w:szCs w:val="28"/>
              </w:rPr>
              <w:t>不恰当的环境条件等：在超出设备规定的贮藏环境（温度、湿度、大气压力）贮藏设备，导致设备不能正常工作。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3" w:type="dxa"/>
            <w:tcBorders>
              <w:top w:val="single" w:color="auto" w:sz="4" w:space="0"/>
              <w:left w:val="single" w:color="auto" w:sz="4" w:space="0"/>
              <w:bottom w:val="single" w:color="auto" w:sz="4" w:space="0"/>
              <w:right w:val="single" w:color="auto" w:sz="4" w:space="0"/>
            </w:tcBorders>
            <w:vAlign w:val="center"/>
          </w:tcPr>
          <w:p>
            <w:pPr>
              <w:pStyle w:val="25"/>
              <w:spacing w:line="520" w:lineRule="exact"/>
              <w:ind w:left="0" w:leftChars="0" w:firstLine="0" w:firstLineChars="0"/>
              <w:jc w:val="center"/>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Times New Roman"/>
                <w:color w:val="auto"/>
                <w:kern w:val="0"/>
                <w:sz w:val="28"/>
                <w:szCs w:val="28"/>
                <w:lang w:val="en-US" w:eastAsia="zh-CN" w:bidi="ar-SA"/>
              </w:rPr>
              <w:t>环境因素</w:t>
            </w:r>
          </w:p>
        </w:tc>
        <w:tc>
          <w:tcPr>
            <w:tcW w:w="6863" w:type="dxa"/>
            <w:tcBorders>
              <w:top w:val="single" w:color="auto" w:sz="4" w:space="0"/>
              <w:left w:val="single" w:color="auto" w:sz="4" w:space="0"/>
              <w:bottom w:val="single" w:color="auto" w:sz="4" w:space="0"/>
              <w:right w:val="single" w:color="auto" w:sz="4" w:space="0"/>
            </w:tcBorders>
          </w:tcPr>
          <w:p>
            <w:pPr>
              <w:pStyle w:val="25"/>
              <w:spacing w:line="520" w:lineRule="exact"/>
              <w:ind w:firstLine="560" w:firstLineChars="200"/>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Times New Roman"/>
                <w:color w:val="auto"/>
                <w:kern w:val="0"/>
                <w:sz w:val="28"/>
                <w:szCs w:val="28"/>
                <w:lang w:val="en-US" w:eastAsia="zh-CN" w:bidi="ar-SA"/>
              </w:rPr>
              <w:t>物理学的（如热、压力、时间）：过冷、过热的环境可能导致设备不能正常工作；未对使用环境的条件进行严格验证，以致使用条件的不适应而导致检查结果不准确。</w:t>
            </w:r>
          </w:p>
          <w:p>
            <w:pPr>
              <w:pStyle w:val="25"/>
              <w:spacing w:line="520" w:lineRule="exact"/>
              <w:ind w:firstLine="560" w:firstLineChars="200"/>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Times New Roman"/>
                <w:color w:val="auto"/>
                <w:kern w:val="0"/>
                <w:sz w:val="28"/>
                <w:szCs w:val="28"/>
                <w:lang w:val="en-US" w:eastAsia="zh-CN" w:bidi="ar-SA"/>
              </w:rPr>
              <w:t>电磁场（如对电磁干扰的敏感度）：抗电磁干扰能力差，特定环境中设备工作不正常；A类设备在B类设备的环境中使用会对公共电网产生影响，干扰公共电网中其他用电设备的正常运行。</w:t>
            </w:r>
          </w:p>
          <w:p>
            <w:pPr>
              <w:spacing w:line="520" w:lineRule="exact"/>
              <w:ind w:firstLine="560" w:firstLineChars="200"/>
              <w:rPr>
                <w:rFonts w:hint="eastAsia" w:ascii="仿宋" w:hAnsi="仿宋" w:eastAsia="仿宋" w:cs="仿宋"/>
                <w:color w:val="auto"/>
                <w:kern w:val="0"/>
                <w:sz w:val="28"/>
                <w:szCs w:val="32"/>
              </w:rPr>
            </w:pPr>
            <w:r>
              <w:rPr>
                <w:rFonts w:hint="eastAsia" w:ascii="仿宋_GB2312" w:hAnsi="仿宋_GB2312" w:eastAsia="仿宋_GB2312" w:cs="Times New Roman"/>
                <w:color w:val="auto"/>
                <w:kern w:val="0"/>
                <w:sz w:val="28"/>
                <w:szCs w:val="28"/>
                <w:lang w:val="en-US" w:eastAsia="zh-CN" w:bidi="ar-SA"/>
              </w:rPr>
              <w:t>不适当的能量供应：设备的供电电压不稳定，导致设备不能正常工作或损坏、检查结果不准确。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Times New Roman"/>
                <w:color w:val="auto"/>
                <w:kern w:val="0"/>
                <w:sz w:val="28"/>
                <w:szCs w:val="28"/>
                <w:lang w:val="en-US" w:eastAsia="zh-CN" w:bidi="ar-SA"/>
              </w:rPr>
              <w:t>清洁、消毒和灭菌</w:t>
            </w:r>
          </w:p>
        </w:tc>
        <w:tc>
          <w:tcPr>
            <w:tcW w:w="686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Times New Roman"/>
                <w:color w:val="auto"/>
                <w:kern w:val="0"/>
                <w:sz w:val="28"/>
                <w:szCs w:val="28"/>
                <w:lang w:val="en-US" w:eastAsia="zh-CN" w:bidi="ar-SA"/>
              </w:rPr>
              <w:t>未对冲洗、清洁过程进行确认或确认程序不规范。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Times New Roman"/>
                <w:color w:val="auto"/>
                <w:kern w:val="0"/>
                <w:sz w:val="28"/>
                <w:szCs w:val="28"/>
                <w:lang w:val="en-US" w:eastAsia="zh-CN" w:bidi="ar-SA"/>
              </w:rPr>
              <w:t>使用者未按要求进行冲洗、清洁等。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Times New Roman"/>
                <w:color w:val="auto"/>
                <w:kern w:val="0"/>
                <w:sz w:val="28"/>
                <w:szCs w:val="28"/>
                <w:lang w:val="en-US" w:eastAsia="zh-CN" w:bidi="ar-SA"/>
              </w:rPr>
              <w:t>处置和废弃</w:t>
            </w:r>
          </w:p>
        </w:tc>
        <w:tc>
          <w:tcPr>
            <w:tcW w:w="686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Times New Roman"/>
                <w:color w:val="auto"/>
                <w:kern w:val="0"/>
                <w:sz w:val="28"/>
                <w:szCs w:val="28"/>
                <w:lang w:val="en-US" w:eastAsia="zh-CN" w:bidi="ar-SA"/>
              </w:rPr>
              <w:t>没提供信息或提供信息不充分：未提供产品使用后处置或提示不充分等。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s="仿宋"/>
                <w:color w:val="auto"/>
                <w:kern w:val="0"/>
                <w:sz w:val="28"/>
                <w:szCs w:val="32"/>
              </w:rPr>
            </w:pPr>
            <w:r>
              <w:rPr>
                <w:rFonts w:hint="eastAsia" w:ascii="仿宋_GB2312" w:hAnsi="仿宋_GB2312" w:eastAsia="仿宋_GB2312" w:cs="Times New Roman"/>
                <w:color w:val="auto"/>
                <w:kern w:val="0"/>
                <w:sz w:val="28"/>
                <w:szCs w:val="28"/>
                <w:lang w:val="en-US" w:eastAsia="zh-CN" w:bidi="ar-SA"/>
              </w:rPr>
              <w:t>人为因素</w:t>
            </w:r>
          </w:p>
        </w:tc>
        <w:tc>
          <w:tcPr>
            <w:tcW w:w="686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Times New Roman"/>
                <w:color w:val="auto"/>
                <w:kern w:val="0"/>
                <w:sz w:val="28"/>
                <w:szCs w:val="28"/>
                <w:lang w:val="en-US" w:eastAsia="zh-CN" w:bidi="ar-SA"/>
              </w:rPr>
              <w:t>设计缺陷引发的使用错误等。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Times New Roman"/>
                <w:color w:val="auto"/>
                <w:kern w:val="0"/>
                <w:sz w:val="28"/>
                <w:szCs w:val="28"/>
                <w:lang w:val="en-US" w:eastAsia="zh-CN" w:bidi="ar-SA"/>
              </w:rPr>
              <w:t>——易混淆的使用说明书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Times New Roman"/>
                <w:color w:val="auto"/>
                <w:kern w:val="0"/>
                <w:sz w:val="28"/>
                <w:szCs w:val="28"/>
                <w:lang w:val="en-US" w:eastAsia="zh-CN" w:bidi="ar-SA"/>
              </w:rPr>
              <w:t>如缺少详细的使用方法、缺少必要的技术参数、缺少必要的警告说明、缺少运输和贮存环境条件的限制；设备在故障状态（如变压器过载、断开保护接地线、设备的元器件出现故障）下运行可产生危险警示不足；使用前未检查设备工作状态；操作说明过于复杂，不易懂；未说明如何正确维护、保养设备/附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Times New Roman"/>
                <w:color w:val="auto"/>
                <w:kern w:val="0"/>
                <w:sz w:val="28"/>
                <w:szCs w:val="28"/>
                <w:lang w:val="en-US" w:eastAsia="zh-CN" w:bidi="ar-SA"/>
              </w:rPr>
              <w:t>冲洗、清洁程序不明确或不清晰。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Times New Roman"/>
                <w:color w:val="auto"/>
                <w:kern w:val="0"/>
                <w:sz w:val="28"/>
                <w:szCs w:val="28"/>
                <w:lang w:val="en-US" w:eastAsia="zh-CN" w:bidi="ar-SA"/>
              </w:rPr>
              <w:t>设置或测量参数未标示单位。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Times New Roman"/>
                <w:color w:val="auto"/>
                <w:kern w:val="0"/>
                <w:sz w:val="28"/>
                <w:szCs w:val="28"/>
                <w:lang w:val="en-US" w:eastAsia="zh-CN" w:bidi="ar-SA"/>
              </w:rPr>
              <w:t>样本的生化危害性，人员防护问题。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Times New Roman"/>
                <w:color w:val="auto"/>
                <w:kern w:val="0"/>
                <w:sz w:val="28"/>
                <w:szCs w:val="28"/>
                <w:lang w:val="en-US" w:eastAsia="zh-CN" w:bidi="ar-SA"/>
              </w:rPr>
              <w:t>控制与操作不对应，显示信息与实际状态不对应。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Times New Roman"/>
                <w:color w:val="auto"/>
                <w:kern w:val="0"/>
                <w:sz w:val="28"/>
                <w:szCs w:val="28"/>
                <w:lang w:val="en-US" w:eastAsia="zh-CN" w:bidi="ar-SA"/>
              </w:rPr>
              <w:t>由缺乏技术的/未经培训的人员使用：使用者/操作者未经培训或培训不足，不能正确使用和维护、保养设备。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Times New Roman"/>
                <w:color w:val="auto"/>
                <w:kern w:val="0"/>
                <w:sz w:val="28"/>
                <w:szCs w:val="28"/>
                <w:lang w:val="en-US" w:eastAsia="zh-CN" w:bidi="ar-SA"/>
              </w:rPr>
              <w:t>失效模式</w:t>
            </w:r>
          </w:p>
        </w:tc>
        <w:tc>
          <w:tcPr>
            <w:tcW w:w="686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Times New Roman"/>
                <w:color w:val="auto"/>
                <w:kern w:val="0"/>
                <w:sz w:val="28"/>
                <w:szCs w:val="28"/>
                <w:lang w:val="en-US" w:eastAsia="zh-CN" w:bidi="ar-SA"/>
              </w:rPr>
            </w:pPr>
            <w:r>
              <w:rPr>
                <w:rFonts w:hint="eastAsia" w:ascii="仿宋_GB2312" w:hAnsi="仿宋_GB2312" w:eastAsia="仿宋_GB2312" w:cs="Times New Roman"/>
                <w:color w:val="auto"/>
                <w:kern w:val="0"/>
                <w:sz w:val="28"/>
                <w:szCs w:val="28"/>
                <w:lang w:val="en-US" w:eastAsia="zh-CN" w:bidi="ar-SA"/>
              </w:rPr>
              <w:t>由于老化、磨损和重复使用而导致功能退化/疲劳失效等。</w:t>
            </w:r>
          </w:p>
        </w:tc>
      </w:tr>
    </w:tbl>
    <w:p>
      <w:pPr>
        <w:spacing w:line="560" w:lineRule="exact"/>
        <w:ind w:firstLine="0" w:firstLineChars="0"/>
        <w:rPr>
          <w:rFonts w:ascii="仿宋_GB2312" w:hAnsi="仿宋_GB2312" w:eastAsia="仿宋_GB2312"/>
          <w:color w:val="auto"/>
        </w:rPr>
      </w:pPr>
    </w:p>
    <w:sectPr>
      <w:footerReference r:id="rId3" w:type="default"/>
      <w:pgSz w:w="11906" w:h="16838"/>
      <w:pgMar w:top="1928" w:right="1531" w:bottom="181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5002EFF" w:usb1="C000605B" w:usb2="00000029" w:usb3="00000000" w:csb0="200101FF" w:csb1="2028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-386080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color w:val="FFFFFF" w:themeColor="background1"/>
                              <w:sz w:val="28"/>
                              <w:szCs w:val="28"/>
                              <w14:textFill>
                                <w14:solidFill>
                                  <w14:schemeClr w14:val="bg1"/>
                                </w14:solidFill>
                              </w14:textFill>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18</w:t>
                          </w:r>
                          <w:r>
                            <w:rPr>
                              <w:sz w:val="28"/>
                              <w:szCs w:val="28"/>
                            </w:rPr>
                            <w:fldChar w:fldCharType="end"/>
                          </w:r>
                          <w:r>
                            <w:rPr>
                              <w:rFonts w:hint="eastAsia"/>
                              <w:sz w:val="28"/>
                              <w:szCs w:val="28"/>
                            </w:rPr>
                            <w:t xml:space="preserve"> —</w:t>
                          </w:r>
                          <w:r>
                            <w:rPr>
                              <w:rFonts w:hint="eastAsia"/>
                              <w:color w:val="FFFFFF" w:themeColor="background1"/>
                              <w:sz w:val="28"/>
                              <w:szCs w:val="28"/>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0.4pt;height:144pt;width:144pt;mso-position-horizontal:outside;mso-position-horizontal-relative:margin;mso-wrap-style:none;z-index:251659264;mso-width-relative:page;mso-height-relative:page;" filled="f" stroked="f" coordsize="21600,21600" o:gfxdata="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4Is2ZZ2Oqd&#10;5RE6Kubt6hggYKdrFKVXYtAK09Z1ZngZcZz/3HdRj3+D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s5qWm1QAAAAgBAAAPAAAAAAAAAAEAIAAAACIAAABkcnMvZG93bnJldi54bWxQSwECFAAUAAAA&#10;CACHTuJAjNcOfCoCAABVBAAADgAAAAAAAAABACAAAAAkAQAAZHJzL2Uyb0RvYy54bWxQSwUGAAAA&#10;AAYABgBZAQAAwAUAAAAA&#10;">
              <v:fill on="f" focussize="0,0"/>
              <v:stroke on="f" weight="0.5pt"/>
              <v:imagedata o:title=""/>
              <o:lock v:ext="edit" aspectratio="f"/>
              <v:textbox inset="0mm,0mm,0mm,0mm" style="mso-fit-shape-to-text:t;">
                <w:txbxContent>
                  <w:p>
                    <w:pPr>
                      <w:pStyle w:val="6"/>
                    </w:pPr>
                    <w:r>
                      <w:rPr>
                        <w:rFonts w:hint="eastAsia"/>
                        <w:color w:val="FFFFFF" w:themeColor="background1"/>
                        <w:sz w:val="28"/>
                        <w:szCs w:val="28"/>
                        <w14:textFill>
                          <w14:solidFill>
                            <w14:schemeClr w14:val="bg1"/>
                          </w14:solidFill>
                        </w14:textFill>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18</w:t>
                    </w:r>
                    <w:r>
                      <w:rPr>
                        <w:sz w:val="28"/>
                        <w:szCs w:val="28"/>
                      </w:rPr>
                      <w:fldChar w:fldCharType="end"/>
                    </w:r>
                    <w:r>
                      <w:rPr>
                        <w:rFonts w:hint="eastAsia"/>
                        <w:sz w:val="28"/>
                        <w:szCs w:val="28"/>
                      </w:rPr>
                      <w:t xml:space="preserve"> —</w:t>
                    </w:r>
                    <w:r>
                      <w:rPr>
                        <w:rFonts w:hint="eastAsia"/>
                        <w:color w:val="FFFFFF" w:themeColor="background1"/>
                        <w:sz w:val="28"/>
                        <w:szCs w:val="28"/>
                        <w14:textFill>
                          <w14:solidFill>
                            <w14:schemeClr w14:val="bg1"/>
                          </w14:solidFill>
                        </w14:textFill>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9E9C2"/>
    <w:multiLevelType w:val="singleLevel"/>
    <w:tmpl w:val="0209E9C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66"/>
    <w:rsid w:val="000001BE"/>
    <w:rsid w:val="000031C9"/>
    <w:rsid w:val="0000377D"/>
    <w:rsid w:val="00004F62"/>
    <w:rsid w:val="00012586"/>
    <w:rsid w:val="00012E07"/>
    <w:rsid w:val="000151D4"/>
    <w:rsid w:val="0001545C"/>
    <w:rsid w:val="00020581"/>
    <w:rsid w:val="0002099B"/>
    <w:rsid w:val="000216C8"/>
    <w:rsid w:val="00026B0D"/>
    <w:rsid w:val="000301F7"/>
    <w:rsid w:val="00036045"/>
    <w:rsid w:val="00041B8A"/>
    <w:rsid w:val="000440DD"/>
    <w:rsid w:val="00056CDF"/>
    <w:rsid w:val="000576DA"/>
    <w:rsid w:val="000651AE"/>
    <w:rsid w:val="00067782"/>
    <w:rsid w:val="0006783F"/>
    <w:rsid w:val="000708F4"/>
    <w:rsid w:val="00073236"/>
    <w:rsid w:val="000742A1"/>
    <w:rsid w:val="00075F0C"/>
    <w:rsid w:val="00075F68"/>
    <w:rsid w:val="000771E8"/>
    <w:rsid w:val="00087892"/>
    <w:rsid w:val="00091B87"/>
    <w:rsid w:val="0009244D"/>
    <w:rsid w:val="000948DB"/>
    <w:rsid w:val="00096868"/>
    <w:rsid w:val="000A7119"/>
    <w:rsid w:val="000B2FD7"/>
    <w:rsid w:val="000B37B5"/>
    <w:rsid w:val="000B6D02"/>
    <w:rsid w:val="000C06A7"/>
    <w:rsid w:val="000C16F0"/>
    <w:rsid w:val="000C79BE"/>
    <w:rsid w:val="000D41C7"/>
    <w:rsid w:val="000D4943"/>
    <w:rsid w:val="000D7035"/>
    <w:rsid w:val="000E0EFE"/>
    <w:rsid w:val="000E3DC3"/>
    <w:rsid w:val="000F6AAA"/>
    <w:rsid w:val="0010034E"/>
    <w:rsid w:val="001005B6"/>
    <w:rsid w:val="00101652"/>
    <w:rsid w:val="00107257"/>
    <w:rsid w:val="001100D6"/>
    <w:rsid w:val="00113205"/>
    <w:rsid w:val="00114595"/>
    <w:rsid w:val="00120D32"/>
    <w:rsid w:val="00131D06"/>
    <w:rsid w:val="00137FBC"/>
    <w:rsid w:val="001404B0"/>
    <w:rsid w:val="0014309E"/>
    <w:rsid w:val="0014516B"/>
    <w:rsid w:val="001473CF"/>
    <w:rsid w:val="00147B0B"/>
    <w:rsid w:val="0015457A"/>
    <w:rsid w:val="00165EFD"/>
    <w:rsid w:val="0016762D"/>
    <w:rsid w:val="00175FA1"/>
    <w:rsid w:val="0018289F"/>
    <w:rsid w:val="00183909"/>
    <w:rsid w:val="00184C11"/>
    <w:rsid w:val="00187EFD"/>
    <w:rsid w:val="00192E52"/>
    <w:rsid w:val="00196783"/>
    <w:rsid w:val="001A234C"/>
    <w:rsid w:val="001A6D4A"/>
    <w:rsid w:val="001B03B9"/>
    <w:rsid w:val="001B1252"/>
    <w:rsid w:val="001B1499"/>
    <w:rsid w:val="001B4D33"/>
    <w:rsid w:val="001C1DFB"/>
    <w:rsid w:val="001C44B0"/>
    <w:rsid w:val="001D02EC"/>
    <w:rsid w:val="001D4209"/>
    <w:rsid w:val="001D48BD"/>
    <w:rsid w:val="001D7836"/>
    <w:rsid w:val="001E22A7"/>
    <w:rsid w:val="001E3DA6"/>
    <w:rsid w:val="001E6476"/>
    <w:rsid w:val="00201BE4"/>
    <w:rsid w:val="00202BD4"/>
    <w:rsid w:val="00205331"/>
    <w:rsid w:val="002056E9"/>
    <w:rsid w:val="0020666C"/>
    <w:rsid w:val="00210C62"/>
    <w:rsid w:val="00221775"/>
    <w:rsid w:val="002266F5"/>
    <w:rsid w:val="00234E60"/>
    <w:rsid w:val="00236A07"/>
    <w:rsid w:val="002379C6"/>
    <w:rsid w:val="00242220"/>
    <w:rsid w:val="0024392A"/>
    <w:rsid w:val="00257751"/>
    <w:rsid w:val="00262370"/>
    <w:rsid w:val="00262ABC"/>
    <w:rsid w:val="00264D9A"/>
    <w:rsid w:val="00273375"/>
    <w:rsid w:val="00277B29"/>
    <w:rsid w:val="00284D9F"/>
    <w:rsid w:val="00285425"/>
    <w:rsid w:val="002A7E18"/>
    <w:rsid w:val="002B5168"/>
    <w:rsid w:val="002B60D5"/>
    <w:rsid w:val="002B616E"/>
    <w:rsid w:val="002B632F"/>
    <w:rsid w:val="002B7196"/>
    <w:rsid w:val="002C02DC"/>
    <w:rsid w:val="002C1A48"/>
    <w:rsid w:val="002C662C"/>
    <w:rsid w:val="002C78E9"/>
    <w:rsid w:val="002D0797"/>
    <w:rsid w:val="002D2EB1"/>
    <w:rsid w:val="002D4238"/>
    <w:rsid w:val="002E24F3"/>
    <w:rsid w:val="002E6AB4"/>
    <w:rsid w:val="002F11EE"/>
    <w:rsid w:val="002F1916"/>
    <w:rsid w:val="002F49C5"/>
    <w:rsid w:val="002F7324"/>
    <w:rsid w:val="00300F22"/>
    <w:rsid w:val="00302512"/>
    <w:rsid w:val="00312810"/>
    <w:rsid w:val="00314F1F"/>
    <w:rsid w:val="00315684"/>
    <w:rsid w:val="00316E2D"/>
    <w:rsid w:val="00317C30"/>
    <w:rsid w:val="00322687"/>
    <w:rsid w:val="0032277D"/>
    <w:rsid w:val="00324110"/>
    <w:rsid w:val="00335613"/>
    <w:rsid w:val="00336DB8"/>
    <w:rsid w:val="0036079F"/>
    <w:rsid w:val="003636AD"/>
    <w:rsid w:val="00363B5E"/>
    <w:rsid w:val="00375B62"/>
    <w:rsid w:val="00383703"/>
    <w:rsid w:val="0038676A"/>
    <w:rsid w:val="00387D10"/>
    <w:rsid w:val="00387EFC"/>
    <w:rsid w:val="0039024B"/>
    <w:rsid w:val="003906AD"/>
    <w:rsid w:val="003968C2"/>
    <w:rsid w:val="00396A08"/>
    <w:rsid w:val="003A0422"/>
    <w:rsid w:val="003C29D7"/>
    <w:rsid w:val="003C3EB9"/>
    <w:rsid w:val="003D525D"/>
    <w:rsid w:val="003E2FC2"/>
    <w:rsid w:val="003E5365"/>
    <w:rsid w:val="003E7919"/>
    <w:rsid w:val="003F0127"/>
    <w:rsid w:val="003F4D66"/>
    <w:rsid w:val="00405768"/>
    <w:rsid w:val="00405E84"/>
    <w:rsid w:val="004109FA"/>
    <w:rsid w:val="0041244C"/>
    <w:rsid w:val="004144BE"/>
    <w:rsid w:val="0042018F"/>
    <w:rsid w:val="00423211"/>
    <w:rsid w:val="004259F5"/>
    <w:rsid w:val="00426C50"/>
    <w:rsid w:val="00427094"/>
    <w:rsid w:val="00433570"/>
    <w:rsid w:val="00433B2C"/>
    <w:rsid w:val="00435984"/>
    <w:rsid w:val="004408E2"/>
    <w:rsid w:val="0044756C"/>
    <w:rsid w:val="00451FD4"/>
    <w:rsid w:val="00453819"/>
    <w:rsid w:val="004543AD"/>
    <w:rsid w:val="004628E7"/>
    <w:rsid w:val="00463715"/>
    <w:rsid w:val="00467EE6"/>
    <w:rsid w:val="0047404E"/>
    <w:rsid w:val="0047606B"/>
    <w:rsid w:val="0047678E"/>
    <w:rsid w:val="0047747D"/>
    <w:rsid w:val="00482EFF"/>
    <w:rsid w:val="00484B83"/>
    <w:rsid w:val="00486DE9"/>
    <w:rsid w:val="00490BE7"/>
    <w:rsid w:val="00493772"/>
    <w:rsid w:val="00493CB9"/>
    <w:rsid w:val="00494FC2"/>
    <w:rsid w:val="00496B92"/>
    <w:rsid w:val="004A2F93"/>
    <w:rsid w:val="004A48F9"/>
    <w:rsid w:val="004A5628"/>
    <w:rsid w:val="004A67F7"/>
    <w:rsid w:val="004B27F0"/>
    <w:rsid w:val="004B31F1"/>
    <w:rsid w:val="004C6E08"/>
    <w:rsid w:val="004C7232"/>
    <w:rsid w:val="004C7685"/>
    <w:rsid w:val="004D0957"/>
    <w:rsid w:val="004E1B4B"/>
    <w:rsid w:val="004F0C77"/>
    <w:rsid w:val="004F4ED7"/>
    <w:rsid w:val="004F4FDE"/>
    <w:rsid w:val="00506BDE"/>
    <w:rsid w:val="0050730C"/>
    <w:rsid w:val="0051263F"/>
    <w:rsid w:val="00512A86"/>
    <w:rsid w:val="00512CAE"/>
    <w:rsid w:val="0051760E"/>
    <w:rsid w:val="00517DE2"/>
    <w:rsid w:val="00521EAC"/>
    <w:rsid w:val="00522C06"/>
    <w:rsid w:val="00523734"/>
    <w:rsid w:val="00530684"/>
    <w:rsid w:val="00532E5A"/>
    <w:rsid w:val="005333DE"/>
    <w:rsid w:val="005351FA"/>
    <w:rsid w:val="0054306C"/>
    <w:rsid w:val="00544D98"/>
    <w:rsid w:val="0054601D"/>
    <w:rsid w:val="00550A9D"/>
    <w:rsid w:val="00554183"/>
    <w:rsid w:val="005657A7"/>
    <w:rsid w:val="00565F94"/>
    <w:rsid w:val="005711EC"/>
    <w:rsid w:val="005769B3"/>
    <w:rsid w:val="005836B2"/>
    <w:rsid w:val="005859E8"/>
    <w:rsid w:val="005875E5"/>
    <w:rsid w:val="00595C02"/>
    <w:rsid w:val="005A2C76"/>
    <w:rsid w:val="005A5FE8"/>
    <w:rsid w:val="005A61FB"/>
    <w:rsid w:val="005B0344"/>
    <w:rsid w:val="005B1AA6"/>
    <w:rsid w:val="005B5064"/>
    <w:rsid w:val="005C0857"/>
    <w:rsid w:val="005C59D2"/>
    <w:rsid w:val="005C6E09"/>
    <w:rsid w:val="005D3D1B"/>
    <w:rsid w:val="005D6904"/>
    <w:rsid w:val="005D7D7C"/>
    <w:rsid w:val="005E207D"/>
    <w:rsid w:val="005E5A70"/>
    <w:rsid w:val="005E746B"/>
    <w:rsid w:val="005F08FD"/>
    <w:rsid w:val="005F483E"/>
    <w:rsid w:val="005F487B"/>
    <w:rsid w:val="005F6C81"/>
    <w:rsid w:val="00602973"/>
    <w:rsid w:val="0060481D"/>
    <w:rsid w:val="00607320"/>
    <w:rsid w:val="006136C6"/>
    <w:rsid w:val="00615BC9"/>
    <w:rsid w:val="0062098C"/>
    <w:rsid w:val="00621E27"/>
    <w:rsid w:val="00622767"/>
    <w:rsid w:val="00622D0A"/>
    <w:rsid w:val="006245B9"/>
    <w:rsid w:val="006274D4"/>
    <w:rsid w:val="006300A8"/>
    <w:rsid w:val="0063662D"/>
    <w:rsid w:val="00637B6A"/>
    <w:rsid w:val="0064155E"/>
    <w:rsid w:val="00641F10"/>
    <w:rsid w:val="00642577"/>
    <w:rsid w:val="0064686C"/>
    <w:rsid w:val="00646C64"/>
    <w:rsid w:val="00646DF7"/>
    <w:rsid w:val="00647495"/>
    <w:rsid w:val="00647EAA"/>
    <w:rsid w:val="00650C32"/>
    <w:rsid w:val="0066070A"/>
    <w:rsid w:val="00664DC6"/>
    <w:rsid w:val="00670800"/>
    <w:rsid w:val="006711F4"/>
    <w:rsid w:val="00673FBF"/>
    <w:rsid w:val="00675651"/>
    <w:rsid w:val="00687CAA"/>
    <w:rsid w:val="00694060"/>
    <w:rsid w:val="00694087"/>
    <w:rsid w:val="006A4C6D"/>
    <w:rsid w:val="006C2766"/>
    <w:rsid w:val="006E0DBE"/>
    <w:rsid w:val="006E2846"/>
    <w:rsid w:val="006E316B"/>
    <w:rsid w:val="006E56A0"/>
    <w:rsid w:val="006E577E"/>
    <w:rsid w:val="006F0705"/>
    <w:rsid w:val="006F3B47"/>
    <w:rsid w:val="006F3B5F"/>
    <w:rsid w:val="00704F19"/>
    <w:rsid w:val="007070DC"/>
    <w:rsid w:val="007111DE"/>
    <w:rsid w:val="0071209D"/>
    <w:rsid w:val="007130B4"/>
    <w:rsid w:val="00715D74"/>
    <w:rsid w:val="0071747A"/>
    <w:rsid w:val="007179AE"/>
    <w:rsid w:val="007201ED"/>
    <w:rsid w:val="00731AE4"/>
    <w:rsid w:val="00735479"/>
    <w:rsid w:val="007369C7"/>
    <w:rsid w:val="00740C30"/>
    <w:rsid w:val="007437E2"/>
    <w:rsid w:val="007462C9"/>
    <w:rsid w:val="00747329"/>
    <w:rsid w:val="00757687"/>
    <w:rsid w:val="007603F3"/>
    <w:rsid w:val="007633A9"/>
    <w:rsid w:val="00764050"/>
    <w:rsid w:val="007663E8"/>
    <w:rsid w:val="00767E73"/>
    <w:rsid w:val="0077454A"/>
    <w:rsid w:val="007778FE"/>
    <w:rsid w:val="00781E71"/>
    <w:rsid w:val="0078249D"/>
    <w:rsid w:val="007873DA"/>
    <w:rsid w:val="00790A0F"/>
    <w:rsid w:val="00790FAC"/>
    <w:rsid w:val="007919FC"/>
    <w:rsid w:val="00792B0C"/>
    <w:rsid w:val="007944FD"/>
    <w:rsid w:val="007A249C"/>
    <w:rsid w:val="007A36F5"/>
    <w:rsid w:val="007A438B"/>
    <w:rsid w:val="007B2CC3"/>
    <w:rsid w:val="007B729C"/>
    <w:rsid w:val="007B73A6"/>
    <w:rsid w:val="007C1296"/>
    <w:rsid w:val="007D0D83"/>
    <w:rsid w:val="007D0DB0"/>
    <w:rsid w:val="007D1A63"/>
    <w:rsid w:val="007D73F6"/>
    <w:rsid w:val="007E058A"/>
    <w:rsid w:val="007E240B"/>
    <w:rsid w:val="007E3B89"/>
    <w:rsid w:val="007E537D"/>
    <w:rsid w:val="008015F3"/>
    <w:rsid w:val="008022B2"/>
    <w:rsid w:val="00804794"/>
    <w:rsid w:val="00811ED3"/>
    <w:rsid w:val="00814973"/>
    <w:rsid w:val="0082115D"/>
    <w:rsid w:val="008213D9"/>
    <w:rsid w:val="00822FD6"/>
    <w:rsid w:val="008318FF"/>
    <w:rsid w:val="008360E6"/>
    <w:rsid w:val="00836FB3"/>
    <w:rsid w:val="0083709C"/>
    <w:rsid w:val="008425C4"/>
    <w:rsid w:val="00844D0F"/>
    <w:rsid w:val="00846E8E"/>
    <w:rsid w:val="00846EEF"/>
    <w:rsid w:val="0084753D"/>
    <w:rsid w:val="008526AD"/>
    <w:rsid w:val="0085300B"/>
    <w:rsid w:val="00853CC7"/>
    <w:rsid w:val="0085714D"/>
    <w:rsid w:val="0086125B"/>
    <w:rsid w:val="008616BB"/>
    <w:rsid w:val="0087025F"/>
    <w:rsid w:val="00883759"/>
    <w:rsid w:val="0088696F"/>
    <w:rsid w:val="00887434"/>
    <w:rsid w:val="008901DA"/>
    <w:rsid w:val="00890DBF"/>
    <w:rsid w:val="008923BE"/>
    <w:rsid w:val="008928FA"/>
    <w:rsid w:val="008B1F3D"/>
    <w:rsid w:val="008B21FD"/>
    <w:rsid w:val="008B341A"/>
    <w:rsid w:val="008B6CCF"/>
    <w:rsid w:val="008B7AA5"/>
    <w:rsid w:val="008C01A7"/>
    <w:rsid w:val="008D1BC9"/>
    <w:rsid w:val="008D331A"/>
    <w:rsid w:val="008D5691"/>
    <w:rsid w:val="008D5B66"/>
    <w:rsid w:val="008E093C"/>
    <w:rsid w:val="008E2640"/>
    <w:rsid w:val="008E3C5A"/>
    <w:rsid w:val="00906DE3"/>
    <w:rsid w:val="00906F0A"/>
    <w:rsid w:val="00907792"/>
    <w:rsid w:val="00907E48"/>
    <w:rsid w:val="009148FB"/>
    <w:rsid w:val="00914CE6"/>
    <w:rsid w:val="009177C6"/>
    <w:rsid w:val="0092195A"/>
    <w:rsid w:val="009227A0"/>
    <w:rsid w:val="00923AF9"/>
    <w:rsid w:val="0092661D"/>
    <w:rsid w:val="009404DA"/>
    <w:rsid w:val="009421BB"/>
    <w:rsid w:val="0094389B"/>
    <w:rsid w:val="00945202"/>
    <w:rsid w:val="00945650"/>
    <w:rsid w:val="00950785"/>
    <w:rsid w:val="00950BEC"/>
    <w:rsid w:val="00951D69"/>
    <w:rsid w:val="00953A10"/>
    <w:rsid w:val="0095405E"/>
    <w:rsid w:val="00954A3E"/>
    <w:rsid w:val="00955255"/>
    <w:rsid w:val="00962231"/>
    <w:rsid w:val="00981658"/>
    <w:rsid w:val="00994247"/>
    <w:rsid w:val="00994CBB"/>
    <w:rsid w:val="009971AF"/>
    <w:rsid w:val="009A31D4"/>
    <w:rsid w:val="009A5986"/>
    <w:rsid w:val="009B0306"/>
    <w:rsid w:val="009B1C4C"/>
    <w:rsid w:val="009B38F6"/>
    <w:rsid w:val="009B3E77"/>
    <w:rsid w:val="009B6AC0"/>
    <w:rsid w:val="009C1597"/>
    <w:rsid w:val="009C1C0D"/>
    <w:rsid w:val="009C1FFF"/>
    <w:rsid w:val="009C3D68"/>
    <w:rsid w:val="009C55D1"/>
    <w:rsid w:val="009C6792"/>
    <w:rsid w:val="009D1346"/>
    <w:rsid w:val="009D1775"/>
    <w:rsid w:val="009D5024"/>
    <w:rsid w:val="009D665E"/>
    <w:rsid w:val="009D734C"/>
    <w:rsid w:val="009E6D41"/>
    <w:rsid w:val="009F42DD"/>
    <w:rsid w:val="009F48DE"/>
    <w:rsid w:val="00A03F37"/>
    <w:rsid w:val="00A05050"/>
    <w:rsid w:val="00A07E56"/>
    <w:rsid w:val="00A113E9"/>
    <w:rsid w:val="00A12C92"/>
    <w:rsid w:val="00A20282"/>
    <w:rsid w:val="00A20901"/>
    <w:rsid w:val="00A25C5C"/>
    <w:rsid w:val="00A3512C"/>
    <w:rsid w:val="00A444DB"/>
    <w:rsid w:val="00A50519"/>
    <w:rsid w:val="00A52741"/>
    <w:rsid w:val="00A56130"/>
    <w:rsid w:val="00A57A8D"/>
    <w:rsid w:val="00A63650"/>
    <w:rsid w:val="00A64A1A"/>
    <w:rsid w:val="00A65495"/>
    <w:rsid w:val="00A75C31"/>
    <w:rsid w:val="00A772C2"/>
    <w:rsid w:val="00A81C8B"/>
    <w:rsid w:val="00A82D2F"/>
    <w:rsid w:val="00A834FB"/>
    <w:rsid w:val="00A83EF0"/>
    <w:rsid w:val="00A85370"/>
    <w:rsid w:val="00A865F1"/>
    <w:rsid w:val="00A91E4B"/>
    <w:rsid w:val="00A94642"/>
    <w:rsid w:val="00AA1FC3"/>
    <w:rsid w:val="00AA2549"/>
    <w:rsid w:val="00AB57FD"/>
    <w:rsid w:val="00AB670B"/>
    <w:rsid w:val="00AB70D2"/>
    <w:rsid w:val="00AC1F1B"/>
    <w:rsid w:val="00AC3405"/>
    <w:rsid w:val="00AC4318"/>
    <w:rsid w:val="00AC44EE"/>
    <w:rsid w:val="00AC6BD7"/>
    <w:rsid w:val="00AD269C"/>
    <w:rsid w:val="00AD4D38"/>
    <w:rsid w:val="00AD5193"/>
    <w:rsid w:val="00AD6DAD"/>
    <w:rsid w:val="00AE1338"/>
    <w:rsid w:val="00AE333B"/>
    <w:rsid w:val="00AE5E1F"/>
    <w:rsid w:val="00AF3874"/>
    <w:rsid w:val="00AF613A"/>
    <w:rsid w:val="00AF6F3B"/>
    <w:rsid w:val="00AF7635"/>
    <w:rsid w:val="00B00EAE"/>
    <w:rsid w:val="00B2237B"/>
    <w:rsid w:val="00B231EE"/>
    <w:rsid w:val="00B32BAB"/>
    <w:rsid w:val="00B43DC5"/>
    <w:rsid w:val="00B4506A"/>
    <w:rsid w:val="00B46149"/>
    <w:rsid w:val="00B50A9E"/>
    <w:rsid w:val="00B50C9C"/>
    <w:rsid w:val="00B54B76"/>
    <w:rsid w:val="00B631F8"/>
    <w:rsid w:val="00B648D5"/>
    <w:rsid w:val="00B64E1E"/>
    <w:rsid w:val="00B71FDA"/>
    <w:rsid w:val="00B76979"/>
    <w:rsid w:val="00B82CB9"/>
    <w:rsid w:val="00B83F91"/>
    <w:rsid w:val="00B84AB7"/>
    <w:rsid w:val="00B9747A"/>
    <w:rsid w:val="00BA38AB"/>
    <w:rsid w:val="00BA576C"/>
    <w:rsid w:val="00BA7F6F"/>
    <w:rsid w:val="00BB2DA2"/>
    <w:rsid w:val="00BB6164"/>
    <w:rsid w:val="00BC25C7"/>
    <w:rsid w:val="00BC659D"/>
    <w:rsid w:val="00BC6711"/>
    <w:rsid w:val="00BD4B44"/>
    <w:rsid w:val="00BD52F3"/>
    <w:rsid w:val="00BE2284"/>
    <w:rsid w:val="00BE3136"/>
    <w:rsid w:val="00BE3CD3"/>
    <w:rsid w:val="00BE6671"/>
    <w:rsid w:val="00BF0E49"/>
    <w:rsid w:val="00BF69E4"/>
    <w:rsid w:val="00C000B4"/>
    <w:rsid w:val="00C01435"/>
    <w:rsid w:val="00C0153D"/>
    <w:rsid w:val="00C02918"/>
    <w:rsid w:val="00C060A6"/>
    <w:rsid w:val="00C10BA1"/>
    <w:rsid w:val="00C1338B"/>
    <w:rsid w:val="00C158B6"/>
    <w:rsid w:val="00C22142"/>
    <w:rsid w:val="00C22E32"/>
    <w:rsid w:val="00C236CA"/>
    <w:rsid w:val="00C306F0"/>
    <w:rsid w:val="00C355B3"/>
    <w:rsid w:val="00C3720C"/>
    <w:rsid w:val="00C37236"/>
    <w:rsid w:val="00C3793A"/>
    <w:rsid w:val="00C42510"/>
    <w:rsid w:val="00C45B1A"/>
    <w:rsid w:val="00C45C35"/>
    <w:rsid w:val="00C50544"/>
    <w:rsid w:val="00C53959"/>
    <w:rsid w:val="00C5775E"/>
    <w:rsid w:val="00C5792C"/>
    <w:rsid w:val="00C63F6C"/>
    <w:rsid w:val="00C71BC6"/>
    <w:rsid w:val="00C76038"/>
    <w:rsid w:val="00C80811"/>
    <w:rsid w:val="00C83F7D"/>
    <w:rsid w:val="00C96599"/>
    <w:rsid w:val="00CA08D4"/>
    <w:rsid w:val="00CA257A"/>
    <w:rsid w:val="00CB05C8"/>
    <w:rsid w:val="00CC02C1"/>
    <w:rsid w:val="00CC51E7"/>
    <w:rsid w:val="00CC66A0"/>
    <w:rsid w:val="00CC6A0E"/>
    <w:rsid w:val="00CD2B1F"/>
    <w:rsid w:val="00CD2DED"/>
    <w:rsid w:val="00CD5F73"/>
    <w:rsid w:val="00CD7096"/>
    <w:rsid w:val="00CE0231"/>
    <w:rsid w:val="00CE0EFF"/>
    <w:rsid w:val="00CE30CA"/>
    <w:rsid w:val="00CE3A96"/>
    <w:rsid w:val="00CE7A9E"/>
    <w:rsid w:val="00CF04F7"/>
    <w:rsid w:val="00CF4322"/>
    <w:rsid w:val="00D00C89"/>
    <w:rsid w:val="00D04B64"/>
    <w:rsid w:val="00D06026"/>
    <w:rsid w:val="00D1247B"/>
    <w:rsid w:val="00D1556F"/>
    <w:rsid w:val="00D15796"/>
    <w:rsid w:val="00D210A5"/>
    <w:rsid w:val="00D22B97"/>
    <w:rsid w:val="00D24045"/>
    <w:rsid w:val="00D26D40"/>
    <w:rsid w:val="00D3010B"/>
    <w:rsid w:val="00D304C7"/>
    <w:rsid w:val="00D40EF5"/>
    <w:rsid w:val="00D41824"/>
    <w:rsid w:val="00D43DF7"/>
    <w:rsid w:val="00D44B17"/>
    <w:rsid w:val="00D573DD"/>
    <w:rsid w:val="00D62C4A"/>
    <w:rsid w:val="00D6421B"/>
    <w:rsid w:val="00D6480D"/>
    <w:rsid w:val="00D71445"/>
    <w:rsid w:val="00D722C1"/>
    <w:rsid w:val="00D74F3C"/>
    <w:rsid w:val="00D813BD"/>
    <w:rsid w:val="00D81D62"/>
    <w:rsid w:val="00D87D5F"/>
    <w:rsid w:val="00D90D4B"/>
    <w:rsid w:val="00D90E46"/>
    <w:rsid w:val="00D96667"/>
    <w:rsid w:val="00DA0FB5"/>
    <w:rsid w:val="00DA6B06"/>
    <w:rsid w:val="00DB2B33"/>
    <w:rsid w:val="00DB3EA2"/>
    <w:rsid w:val="00DB71B9"/>
    <w:rsid w:val="00DB7BB4"/>
    <w:rsid w:val="00DC1D5C"/>
    <w:rsid w:val="00DC1E05"/>
    <w:rsid w:val="00DC3E67"/>
    <w:rsid w:val="00DC4A3F"/>
    <w:rsid w:val="00DC5995"/>
    <w:rsid w:val="00DD23E1"/>
    <w:rsid w:val="00DD2C8A"/>
    <w:rsid w:val="00DD736F"/>
    <w:rsid w:val="00DE1A92"/>
    <w:rsid w:val="00DE20A5"/>
    <w:rsid w:val="00DE7E86"/>
    <w:rsid w:val="00DF09BD"/>
    <w:rsid w:val="00DF2D0B"/>
    <w:rsid w:val="00DF56DB"/>
    <w:rsid w:val="00E013C7"/>
    <w:rsid w:val="00E07342"/>
    <w:rsid w:val="00E20DFB"/>
    <w:rsid w:val="00E22D65"/>
    <w:rsid w:val="00E37364"/>
    <w:rsid w:val="00E41C35"/>
    <w:rsid w:val="00E4272B"/>
    <w:rsid w:val="00E47E7F"/>
    <w:rsid w:val="00E51CD0"/>
    <w:rsid w:val="00E520A2"/>
    <w:rsid w:val="00E5494D"/>
    <w:rsid w:val="00E629B1"/>
    <w:rsid w:val="00E63A62"/>
    <w:rsid w:val="00E718A4"/>
    <w:rsid w:val="00E71AE3"/>
    <w:rsid w:val="00E7517E"/>
    <w:rsid w:val="00E80577"/>
    <w:rsid w:val="00E8377E"/>
    <w:rsid w:val="00E83905"/>
    <w:rsid w:val="00E87F0D"/>
    <w:rsid w:val="00E9170F"/>
    <w:rsid w:val="00E917C2"/>
    <w:rsid w:val="00E92E9B"/>
    <w:rsid w:val="00E932E3"/>
    <w:rsid w:val="00E93D1D"/>
    <w:rsid w:val="00E943E4"/>
    <w:rsid w:val="00E97AC6"/>
    <w:rsid w:val="00EA2101"/>
    <w:rsid w:val="00EA6995"/>
    <w:rsid w:val="00EB065D"/>
    <w:rsid w:val="00EC67B1"/>
    <w:rsid w:val="00ED0ACC"/>
    <w:rsid w:val="00ED2FBC"/>
    <w:rsid w:val="00ED5029"/>
    <w:rsid w:val="00ED56FD"/>
    <w:rsid w:val="00ED6404"/>
    <w:rsid w:val="00ED7063"/>
    <w:rsid w:val="00EE04DE"/>
    <w:rsid w:val="00EE2F23"/>
    <w:rsid w:val="00EE36E1"/>
    <w:rsid w:val="00EE4736"/>
    <w:rsid w:val="00EE53C5"/>
    <w:rsid w:val="00EE67A8"/>
    <w:rsid w:val="00EF0C3B"/>
    <w:rsid w:val="00EF1C33"/>
    <w:rsid w:val="00EF248E"/>
    <w:rsid w:val="00EF30E5"/>
    <w:rsid w:val="00F017CC"/>
    <w:rsid w:val="00F03420"/>
    <w:rsid w:val="00F109A3"/>
    <w:rsid w:val="00F11A77"/>
    <w:rsid w:val="00F13508"/>
    <w:rsid w:val="00F13E28"/>
    <w:rsid w:val="00F15E6E"/>
    <w:rsid w:val="00F17638"/>
    <w:rsid w:val="00F17C0C"/>
    <w:rsid w:val="00F20DFE"/>
    <w:rsid w:val="00F23848"/>
    <w:rsid w:val="00F26D24"/>
    <w:rsid w:val="00F412A6"/>
    <w:rsid w:val="00F41BFA"/>
    <w:rsid w:val="00F54D49"/>
    <w:rsid w:val="00F56D6B"/>
    <w:rsid w:val="00F61D86"/>
    <w:rsid w:val="00F723DC"/>
    <w:rsid w:val="00F7259D"/>
    <w:rsid w:val="00F75CDD"/>
    <w:rsid w:val="00F7750E"/>
    <w:rsid w:val="00F81D53"/>
    <w:rsid w:val="00F86155"/>
    <w:rsid w:val="00F86F99"/>
    <w:rsid w:val="00F87E75"/>
    <w:rsid w:val="00F87E85"/>
    <w:rsid w:val="00F907DE"/>
    <w:rsid w:val="00F91664"/>
    <w:rsid w:val="00F9736C"/>
    <w:rsid w:val="00FA12C8"/>
    <w:rsid w:val="00FA529F"/>
    <w:rsid w:val="00FB1753"/>
    <w:rsid w:val="00FC7698"/>
    <w:rsid w:val="00FD4FF4"/>
    <w:rsid w:val="00FE1B5D"/>
    <w:rsid w:val="00FE4119"/>
    <w:rsid w:val="00FF5F0C"/>
    <w:rsid w:val="0111668F"/>
    <w:rsid w:val="013711A5"/>
    <w:rsid w:val="01FF669C"/>
    <w:rsid w:val="022E1A88"/>
    <w:rsid w:val="023446DE"/>
    <w:rsid w:val="029F2344"/>
    <w:rsid w:val="03227499"/>
    <w:rsid w:val="03F87147"/>
    <w:rsid w:val="041EC2AC"/>
    <w:rsid w:val="04540970"/>
    <w:rsid w:val="045647E6"/>
    <w:rsid w:val="04570668"/>
    <w:rsid w:val="049E0ED3"/>
    <w:rsid w:val="05163CC8"/>
    <w:rsid w:val="055E7E35"/>
    <w:rsid w:val="058215D7"/>
    <w:rsid w:val="05CE3646"/>
    <w:rsid w:val="05F869FF"/>
    <w:rsid w:val="06050C62"/>
    <w:rsid w:val="065C7166"/>
    <w:rsid w:val="0660452D"/>
    <w:rsid w:val="068307AA"/>
    <w:rsid w:val="06B70CD4"/>
    <w:rsid w:val="07183CB9"/>
    <w:rsid w:val="077321B1"/>
    <w:rsid w:val="07793217"/>
    <w:rsid w:val="07A54D12"/>
    <w:rsid w:val="082448B1"/>
    <w:rsid w:val="085D478C"/>
    <w:rsid w:val="08F803CB"/>
    <w:rsid w:val="091624A4"/>
    <w:rsid w:val="091A0C95"/>
    <w:rsid w:val="0925195C"/>
    <w:rsid w:val="09293CD7"/>
    <w:rsid w:val="09A51DD3"/>
    <w:rsid w:val="0A50578E"/>
    <w:rsid w:val="0A6B35F9"/>
    <w:rsid w:val="0ABF44BF"/>
    <w:rsid w:val="0B3A71BF"/>
    <w:rsid w:val="0B4F53AF"/>
    <w:rsid w:val="0B503DBF"/>
    <w:rsid w:val="0B767FBC"/>
    <w:rsid w:val="0BBB4D60"/>
    <w:rsid w:val="0BDD6950"/>
    <w:rsid w:val="0BE37A72"/>
    <w:rsid w:val="0C084341"/>
    <w:rsid w:val="0C3235C7"/>
    <w:rsid w:val="0C5977DB"/>
    <w:rsid w:val="0C8A36FF"/>
    <w:rsid w:val="0D266C90"/>
    <w:rsid w:val="0D274753"/>
    <w:rsid w:val="0D6541C6"/>
    <w:rsid w:val="0D665C35"/>
    <w:rsid w:val="0DBD671C"/>
    <w:rsid w:val="0E0011C6"/>
    <w:rsid w:val="0E686750"/>
    <w:rsid w:val="0E6F383A"/>
    <w:rsid w:val="0ED62CF9"/>
    <w:rsid w:val="0F357B2E"/>
    <w:rsid w:val="0FAF5C59"/>
    <w:rsid w:val="100606CD"/>
    <w:rsid w:val="100E3F2C"/>
    <w:rsid w:val="1060573B"/>
    <w:rsid w:val="1074414F"/>
    <w:rsid w:val="10776F58"/>
    <w:rsid w:val="108117B2"/>
    <w:rsid w:val="10DF6850"/>
    <w:rsid w:val="10F80C30"/>
    <w:rsid w:val="113F1EE5"/>
    <w:rsid w:val="115079E5"/>
    <w:rsid w:val="11811997"/>
    <w:rsid w:val="11B5644F"/>
    <w:rsid w:val="11C21648"/>
    <w:rsid w:val="12000579"/>
    <w:rsid w:val="120E6026"/>
    <w:rsid w:val="12292D55"/>
    <w:rsid w:val="12A94F2B"/>
    <w:rsid w:val="13163584"/>
    <w:rsid w:val="132823F7"/>
    <w:rsid w:val="132B4331"/>
    <w:rsid w:val="13347D41"/>
    <w:rsid w:val="136B7B4E"/>
    <w:rsid w:val="13B16155"/>
    <w:rsid w:val="13B91CAE"/>
    <w:rsid w:val="13E460AD"/>
    <w:rsid w:val="14277929"/>
    <w:rsid w:val="145A2722"/>
    <w:rsid w:val="14CE54F8"/>
    <w:rsid w:val="14F43160"/>
    <w:rsid w:val="155B128E"/>
    <w:rsid w:val="156B05E1"/>
    <w:rsid w:val="157B1367"/>
    <w:rsid w:val="15BD30E6"/>
    <w:rsid w:val="15DB4932"/>
    <w:rsid w:val="15DF3764"/>
    <w:rsid w:val="160436A1"/>
    <w:rsid w:val="168A7EC7"/>
    <w:rsid w:val="17007FC5"/>
    <w:rsid w:val="17231D33"/>
    <w:rsid w:val="1764392C"/>
    <w:rsid w:val="178E7F56"/>
    <w:rsid w:val="1790366E"/>
    <w:rsid w:val="179907BB"/>
    <w:rsid w:val="18120DA6"/>
    <w:rsid w:val="181A1ECB"/>
    <w:rsid w:val="18425174"/>
    <w:rsid w:val="18491C30"/>
    <w:rsid w:val="188910BE"/>
    <w:rsid w:val="188E236F"/>
    <w:rsid w:val="18AE3D61"/>
    <w:rsid w:val="18AF4F1D"/>
    <w:rsid w:val="18FDAA5E"/>
    <w:rsid w:val="195D4517"/>
    <w:rsid w:val="19B9056E"/>
    <w:rsid w:val="19F85EB4"/>
    <w:rsid w:val="1A0B4E57"/>
    <w:rsid w:val="1A0D0FB7"/>
    <w:rsid w:val="1A2F459B"/>
    <w:rsid w:val="1AAD2F4F"/>
    <w:rsid w:val="1AAE432B"/>
    <w:rsid w:val="1AF463EF"/>
    <w:rsid w:val="1B1F69DC"/>
    <w:rsid w:val="1B343EC3"/>
    <w:rsid w:val="1B80268C"/>
    <w:rsid w:val="1BC54453"/>
    <w:rsid w:val="1C02577A"/>
    <w:rsid w:val="1C463AFB"/>
    <w:rsid w:val="1C57075E"/>
    <w:rsid w:val="1C6CA4D6"/>
    <w:rsid w:val="1CE3217F"/>
    <w:rsid w:val="1CFB381C"/>
    <w:rsid w:val="1D995B0D"/>
    <w:rsid w:val="1DE8475B"/>
    <w:rsid w:val="1E0A69B0"/>
    <w:rsid w:val="1E131710"/>
    <w:rsid w:val="1E2D4CE8"/>
    <w:rsid w:val="1EF238DD"/>
    <w:rsid w:val="1EF469D5"/>
    <w:rsid w:val="1F254C19"/>
    <w:rsid w:val="1F2A683D"/>
    <w:rsid w:val="1F3C38BB"/>
    <w:rsid w:val="1F537D58"/>
    <w:rsid w:val="1F574909"/>
    <w:rsid w:val="1F8F513E"/>
    <w:rsid w:val="1FBD73AD"/>
    <w:rsid w:val="201436BD"/>
    <w:rsid w:val="201A88F7"/>
    <w:rsid w:val="2027665F"/>
    <w:rsid w:val="205F4217"/>
    <w:rsid w:val="20601EA5"/>
    <w:rsid w:val="20CA024F"/>
    <w:rsid w:val="20EE4CBB"/>
    <w:rsid w:val="21330530"/>
    <w:rsid w:val="21470FD5"/>
    <w:rsid w:val="217C2821"/>
    <w:rsid w:val="21B923A8"/>
    <w:rsid w:val="21E67C30"/>
    <w:rsid w:val="22A4EF74"/>
    <w:rsid w:val="22BB63F2"/>
    <w:rsid w:val="230F16D0"/>
    <w:rsid w:val="232E6C3E"/>
    <w:rsid w:val="24B62002"/>
    <w:rsid w:val="24C27D98"/>
    <w:rsid w:val="251D287F"/>
    <w:rsid w:val="2536D399"/>
    <w:rsid w:val="255D2AA0"/>
    <w:rsid w:val="256333C4"/>
    <w:rsid w:val="25865DF5"/>
    <w:rsid w:val="25D825C5"/>
    <w:rsid w:val="25E06636"/>
    <w:rsid w:val="26170261"/>
    <w:rsid w:val="26435250"/>
    <w:rsid w:val="26451972"/>
    <w:rsid w:val="266C7C5F"/>
    <w:rsid w:val="26716387"/>
    <w:rsid w:val="27207D5A"/>
    <w:rsid w:val="275047F6"/>
    <w:rsid w:val="2770D8B3"/>
    <w:rsid w:val="27770231"/>
    <w:rsid w:val="27A603D5"/>
    <w:rsid w:val="27CE65DC"/>
    <w:rsid w:val="280A1F20"/>
    <w:rsid w:val="280F4ECD"/>
    <w:rsid w:val="28655E0B"/>
    <w:rsid w:val="28765258"/>
    <w:rsid w:val="288A3D88"/>
    <w:rsid w:val="28E3148C"/>
    <w:rsid w:val="28E940AE"/>
    <w:rsid w:val="293245C0"/>
    <w:rsid w:val="299C6B47"/>
    <w:rsid w:val="2A121CBD"/>
    <w:rsid w:val="2A1B397E"/>
    <w:rsid w:val="2A28155F"/>
    <w:rsid w:val="2ADF7B05"/>
    <w:rsid w:val="2B70105C"/>
    <w:rsid w:val="2B983977"/>
    <w:rsid w:val="2BB8408B"/>
    <w:rsid w:val="2BB9212E"/>
    <w:rsid w:val="2C542152"/>
    <w:rsid w:val="2C991358"/>
    <w:rsid w:val="2CA13714"/>
    <w:rsid w:val="2CCA3785"/>
    <w:rsid w:val="2CDB58B4"/>
    <w:rsid w:val="2CDF2A15"/>
    <w:rsid w:val="2D1B002F"/>
    <w:rsid w:val="2D354BAD"/>
    <w:rsid w:val="2D61067D"/>
    <w:rsid w:val="2DF57B0B"/>
    <w:rsid w:val="2E036EEF"/>
    <w:rsid w:val="2E0E04DE"/>
    <w:rsid w:val="2E212506"/>
    <w:rsid w:val="2E617DF6"/>
    <w:rsid w:val="2E9B04FC"/>
    <w:rsid w:val="2EC1079F"/>
    <w:rsid w:val="2ECC2C32"/>
    <w:rsid w:val="2EE60E5F"/>
    <w:rsid w:val="2F745C16"/>
    <w:rsid w:val="2F9321E0"/>
    <w:rsid w:val="300B5BC2"/>
    <w:rsid w:val="304C5726"/>
    <w:rsid w:val="30F01C58"/>
    <w:rsid w:val="30FD4330"/>
    <w:rsid w:val="31862054"/>
    <w:rsid w:val="31CD0F9D"/>
    <w:rsid w:val="31D12E18"/>
    <w:rsid w:val="31D314EB"/>
    <w:rsid w:val="32100F0E"/>
    <w:rsid w:val="32176A3C"/>
    <w:rsid w:val="322E4EAF"/>
    <w:rsid w:val="32378E1D"/>
    <w:rsid w:val="32A472A0"/>
    <w:rsid w:val="32BE5254"/>
    <w:rsid w:val="32CA26D5"/>
    <w:rsid w:val="332F40F7"/>
    <w:rsid w:val="33526E22"/>
    <w:rsid w:val="3397672D"/>
    <w:rsid w:val="34610DCE"/>
    <w:rsid w:val="349C2188"/>
    <w:rsid w:val="34B01019"/>
    <w:rsid w:val="34B544AC"/>
    <w:rsid w:val="34CA331B"/>
    <w:rsid w:val="34E4DC5A"/>
    <w:rsid w:val="36105234"/>
    <w:rsid w:val="3615455E"/>
    <w:rsid w:val="36311913"/>
    <w:rsid w:val="363C3812"/>
    <w:rsid w:val="365B45EF"/>
    <w:rsid w:val="3666645F"/>
    <w:rsid w:val="36856098"/>
    <w:rsid w:val="36D550A5"/>
    <w:rsid w:val="3718390F"/>
    <w:rsid w:val="374D40B6"/>
    <w:rsid w:val="38A725FD"/>
    <w:rsid w:val="38BC10A1"/>
    <w:rsid w:val="38CD3B1E"/>
    <w:rsid w:val="38D12825"/>
    <w:rsid w:val="39074B64"/>
    <w:rsid w:val="393B6FA7"/>
    <w:rsid w:val="3948009B"/>
    <w:rsid w:val="39E16FF0"/>
    <w:rsid w:val="3A507A24"/>
    <w:rsid w:val="3A564D36"/>
    <w:rsid w:val="3A888442"/>
    <w:rsid w:val="3B951243"/>
    <w:rsid w:val="3BCB5088"/>
    <w:rsid w:val="3C0A47DA"/>
    <w:rsid w:val="3C855B53"/>
    <w:rsid w:val="3CE57CE8"/>
    <w:rsid w:val="3CF00D01"/>
    <w:rsid w:val="3D1D3026"/>
    <w:rsid w:val="3D3B77E8"/>
    <w:rsid w:val="3D591892"/>
    <w:rsid w:val="3D674F44"/>
    <w:rsid w:val="3D6961D8"/>
    <w:rsid w:val="3D805D2E"/>
    <w:rsid w:val="3D897BA2"/>
    <w:rsid w:val="3D8F0F3B"/>
    <w:rsid w:val="3DAD0890"/>
    <w:rsid w:val="3DBD107E"/>
    <w:rsid w:val="3E2611E5"/>
    <w:rsid w:val="3E3908BA"/>
    <w:rsid w:val="3E5873EE"/>
    <w:rsid w:val="3E605C4C"/>
    <w:rsid w:val="3E8B7462"/>
    <w:rsid w:val="3F2F2AA0"/>
    <w:rsid w:val="3F4E0E06"/>
    <w:rsid w:val="3F520B89"/>
    <w:rsid w:val="3F546D81"/>
    <w:rsid w:val="3F6F40B3"/>
    <w:rsid w:val="3F81564D"/>
    <w:rsid w:val="40022115"/>
    <w:rsid w:val="400C7AC2"/>
    <w:rsid w:val="4016553B"/>
    <w:rsid w:val="4031C1AC"/>
    <w:rsid w:val="405E6296"/>
    <w:rsid w:val="40A2598C"/>
    <w:rsid w:val="40D870BD"/>
    <w:rsid w:val="416F4122"/>
    <w:rsid w:val="417743F8"/>
    <w:rsid w:val="417E4147"/>
    <w:rsid w:val="41B463C1"/>
    <w:rsid w:val="41B91C38"/>
    <w:rsid w:val="41C30FF7"/>
    <w:rsid w:val="42364A19"/>
    <w:rsid w:val="42467FDC"/>
    <w:rsid w:val="425162B7"/>
    <w:rsid w:val="42B134CA"/>
    <w:rsid w:val="42E546AA"/>
    <w:rsid w:val="430C7E87"/>
    <w:rsid w:val="43175FDD"/>
    <w:rsid w:val="435C1CCF"/>
    <w:rsid w:val="43E31AE0"/>
    <w:rsid w:val="43F910F9"/>
    <w:rsid w:val="44C40069"/>
    <w:rsid w:val="44EE0D9E"/>
    <w:rsid w:val="451F3969"/>
    <w:rsid w:val="45389237"/>
    <w:rsid w:val="454721BD"/>
    <w:rsid w:val="45640AF0"/>
    <w:rsid w:val="45704394"/>
    <w:rsid w:val="461D6B0A"/>
    <w:rsid w:val="46491CE2"/>
    <w:rsid w:val="46DF24AD"/>
    <w:rsid w:val="46EC3F21"/>
    <w:rsid w:val="46F93B99"/>
    <w:rsid w:val="47125C02"/>
    <w:rsid w:val="47687925"/>
    <w:rsid w:val="477869DF"/>
    <w:rsid w:val="47BE0C48"/>
    <w:rsid w:val="480877B9"/>
    <w:rsid w:val="48357958"/>
    <w:rsid w:val="48CB2355"/>
    <w:rsid w:val="48E212D2"/>
    <w:rsid w:val="48E917D6"/>
    <w:rsid w:val="493277C4"/>
    <w:rsid w:val="4969252B"/>
    <w:rsid w:val="496E106A"/>
    <w:rsid w:val="49A95F09"/>
    <w:rsid w:val="49C929DF"/>
    <w:rsid w:val="49D91063"/>
    <w:rsid w:val="4A7B4E65"/>
    <w:rsid w:val="4A9D5931"/>
    <w:rsid w:val="4AA52745"/>
    <w:rsid w:val="4AC40446"/>
    <w:rsid w:val="4AC719EC"/>
    <w:rsid w:val="4B8F224B"/>
    <w:rsid w:val="4C10113C"/>
    <w:rsid w:val="4C8C7F34"/>
    <w:rsid w:val="4CB307CE"/>
    <w:rsid w:val="4D1A7332"/>
    <w:rsid w:val="4D394484"/>
    <w:rsid w:val="4D4E4E1B"/>
    <w:rsid w:val="4D565B90"/>
    <w:rsid w:val="4D7D2966"/>
    <w:rsid w:val="4D7E7A83"/>
    <w:rsid w:val="4D935633"/>
    <w:rsid w:val="4DB50115"/>
    <w:rsid w:val="4DDA717D"/>
    <w:rsid w:val="4DF7740A"/>
    <w:rsid w:val="4DFD2F8A"/>
    <w:rsid w:val="4E043F3A"/>
    <w:rsid w:val="4E8430D1"/>
    <w:rsid w:val="4EA76CD6"/>
    <w:rsid w:val="4EC347B3"/>
    <w:rsid w:val="4F054B30"/>
    <w:rsid w:val="4F712E9B"/>
    <w:rsid w:val="4F7F1CE3"/>
    <w:rsid w:val="4FB377C5"/>
    <w:rsid w:val="4FED55C7"/>
    <w:rsid w:val="5009A900"/>
    <w:rsid w:val="504D0707"/>
    <w:rsid w:val="50594FD8"/>
    <w:rsid w:val="50B12313"/>
    <w:rsid w:val="50B75234"/>
    <w:rsid w:val="50D32569"/>
    <w:rsid w:val="5105587E"/>
    <w:rsid w:val="51287F7B"/>
    <w:rsid w:val="51C25B72"/>
    <w:rsid w:val="51F078F0"/>
    <w:rsid w:val="52276D4B"/>
    <w:rsid w:val="52B62818"/>
    <w:rsid w:val="52F611D9"/>
    <w:rsid w:val="53685B16"/>
    <w:rsid w:val="53A834C7"/>
    <w:rsid w:val="54042584"/>
    <w:rsid w:val="54313159"/>
    <w:rsid w:val="543D1333"/>
    <w:rsid w:val="546E0A00"/>
    <w:rsid w:val="54B413AF"/>
    <w:rsid w:val="54E4174D"/>
    <w:rsid w:val="55432656"/>
    <w:rsid w:val="558B79DC"/>
    <w:rsid w:val="5596095B"/>
    <w:rsid w:val="55F2308A"/>
    <w:rsid w:val="55F75A60"/>
    <w:rsid w:val="563B7B79"/>
    <w:rsid w:val="56521002"/>
    <w:rsid w:val="566F4052"/>
    <w:rsid w:val="567C3B93"/>
    <w:rsid w:val="56CA3E70"/>
    <w:rsid w:val="56E74177"/>
    <w:rsid w:val="56FA583F"/>
    <w:rsid w:val="577B7ACA"/>
    <w:rsid w:val="57D12F2C"/>
    <w:rsid w:val="57F938CE"/>
    <w:rsid w:val="584E6204"/>
    <w:rsid w:val="58DF2E9D"/>
    <w:rsid w:val="594774C7"/>
    <w:rsid w:val="596D0217"/>
    <w:rsid w:val="59E3549E"/>
    <w:rsid w:val="5A195D90"/>
    <w:rsid w:val="5A943D2F"/>
    <w:rsid w:val="5A9F1902"/>
    <w:rsid w:val="5AED13A5"/>
    <w:rsid w:val="5AEF0AD5"/>
    <w:rsid w:val="5AFF2E0B"/>
    <w:rsid w:val="5B182543"/>
    <w:rsid w:val="5B6F2CF8"/>
    <w:rsid w:val="5BD45272"/>
    <w:rsid w:val="5BE5461D"/>
    <w:rsid w:val="5C2F3252"/>
    <w:rsid w:val="5C5D0E1C"/>
    <w:rsid w:val="5C73D9B7"/>
    <w:rsid w:val="5C9B14BB"/>
    <w:rsid w:val="5CACCA18"/>
    <w:rsid w:val="5CE104CF"/>
    <w:rsid w:val="5CE6294A"/>
    <w:rsid w:val="5D2636A8"/>
    <w:rsid w:val="5D436DBC"/>
    <w:rsid w:val="5D479FBE"/>
    <w:rsid w:val="5E471A4C"/>
    <w:rsid w:val="5E9A5E23"/>
    <w:rsid w:val="5F025C57"/>
    <w:rsid w:val="5F155F37"/>
    <w:rsid w:val="5F65EC12"/>
    <w:rsid w:val="5FB563AD"/>
    <w:rsid w:val="60686F12"/>
    <w:rsid w:val="608C332D"/>
    <w:rsid w:val="60ED2035"/>
    <w:rsid w:val="60F35132"/>
    <w:rsid w:val="61C57886"/>
    <w:rsid w:val="62066DD7"/>
    <w:rsid w:val="628D3823"/>
    <w:rsid w:val="633F075A"/>
    <w:rsid w:val="63456F71"/>
    <w:rsid w:val="634959B7"/>
    <w:rsid w:val="6370FD62"/>
    <w:rsid w:val="63902C16"/>
    <w:rsid w:val="63FB09CE"/>
    <w:rsid w:val="64F61D79"/>
    <w:rsid w:val="64FC4DB6"/>
    <w:rsid w:val="650C7F70"/>
    <w:rsid w:val="65B44B48"/>
    <w:rsid w:val="65FC6DB9"/>
    <w:rsid w:val="6615042E"/>
    <w:rsid w:val="663D4821"/>
    <w:rsid w:val="66570927"/>
    <w:rsid w:val="66C63634"/>
    <w:rsid w:val="672A4DF8"/>
    <w:rsid w:val="67FE3705"/>
    <w:rsid w:val="6815237C"/>
    <w:rsid w:val="6846536B"/>
    <w:rsid w:val="684A2A06"/>
    <w:rsid w:val="688AA83E"/>
    <w:rsid w:val="69044122"/>
    <w:rsid w:val="69446E53"/>
    <w:rsid w:val="69491B82"/>
    <w:rsid w:val="69749038"/>
    <w:rsid w:val="698152DA"/>
    <w:rsid w:val="69925BE1"/>
    <w:rsid w:val="69A375C2"/>
    <w:rsid w:val="69FB4AF0"/>
    <w:rsid w:val="6A3D094A"/>
    <w:rsid w:val="6A540DC0"/>
    <w:rsid w:val="6AB666DC"/>
    <w:rsid w:val="6AC07882"/>
    <w:rsid w:val="6AF93DA9"/>
    <w:rsid w:val="6B711992"/>
    <w:rsid w:val="6BC976D6"/>
    <w:rsid w:val="6BD801FD"/>
    <w:rsid w:val="6BDA3811"/>
    <w:rsid w:val="6C12124D"/>
    <w:rsid w:val="6C64BF36"/>
    <w:rsid w:val="6C94616E"/>
    <w:rsid w:val="6CE475F5"/>
    <w:rsid w:val="6D0F11FC"/>
    <w:rsid w:val="6D1427D7"/>
    <w:rsid w:val="6D4172DD"/>
    <w:rsid w:val="6D466BB0"/>
    <w:rsid w:val="6D674CFD"/>
    <w:rsid w:val="6DBF20C8"/>
    <w:rsid w:val="6DDA5D08"/>
    <w:rsid w:val="6E1715DF"/>
    <w:rsid w:val="6E3E2BE0"/>
    <w:rsid w:val="6E751B6B"/>
    <w:rsid w:val="6E892704"/>
    <w:rsid w:val="6ECC7148"/>
    <w:rsid w:val="6ECD1202"/>
    <w:rsid w:val="6ECF1126"/>
    <w:rsid w:val="6F0539E3"/>
    <w:rsid w:val="6F1D77E2"/>
    <w:rsid w:val="704855C1"/>
    <w:rsid w:val="704931F3"/>
    <w:rsid w:val="704C6E71"/>
    <w:rsid w:val="70C2DD67"/>
    <w:rsid w:val="715E333F"/>
    <w:rsid w:val="71BA262C"/>
    <w:rsid w:val="71FD39A8"/>
    <w:rsid w:val="720F7C8C"/>
    <w:rsid w:val="728632A9"/>
    <w:rsid w:val="72B91A69"/>
    <w:rsid w:val="730C2D3A"/>
    <w:rsid w:val="735C60B9"/>
    <w:rsid w:val="738E7591"/>
    <w:rsid w:val="74277E77"/>
    <w:rsid w:val="745D0C15"/>
    <w:rsid w:val="74975334"/>
    <w:rsid w:val="74AA26D9"/>
    <w:rsid w:val="752B348C"/>
    <w:rsid w:val="753B38D5"/>
    <w:rsid w:val="755960EA"/>
    <w:rsid w:val="75ED531F"/>
    <w:rsid w:val="75EF4D05"/>
    <w:rsid w:val="760C5CCA"/>
    <w:rsid w:val="762C3E70"/>
    <w:rsid w:val="765D6CFB"/>
    <w:rsid w:val="76CD6B26"/>
    <w:rsid w:val="7756610C"/>
    <w:rsid w:val="77754FC3"/>
    <w:rsid w:val="781E3F3A"/>
    <w:rsid w:val="78390578"/>
    <w:rsid w:val="7873597F"/>
    <w:rsid w:val="78943D2E"/>
    <w:rsid w:val="7896F60D"/>
    <w:rsid w:val="78BE6476"/>
    <w:rsid w:val="78D636B9"/>
    <w:rsid w:val="78F23FBB"/>
    <w:rsid w:val="792C09DA"/>
    <w:rsid w:val="79500B45"/>
    <w:rsid w:val="79A04290"/>
    <w:rsid w:val="79FB35E8"/>
    <w:rsid w:val="7A872128"/>
    <w:rsid w:val="7A9B4F1C"/>
    <w:rsid w:val="7AA238EA"/>
    <w:rsid w:val="7AC47C9F"/>
    <w:rsid w:val="7AE9510B"/>
    <w:rsid w:val="7B821D99"/>
    <w:rsid w:val="7BA010DA"/>
    <w:rsid w:val="7BACDC3D"/>
    <w:rsid w:val="7BD556B8"/>
    <w:rsid w:val="7C153BCC"/>
    <w:rsid w:val="7C174DC7"/>
    <w:rsid w:val="7C686495"/>
    <w:rsid w:val="7CA85A9F"/>
    <w:rsid w:val="7CAC4679"/>
    <w:rsid w:val="7CB6799F"/>
    <w:rsid w:val="7D2E6217"/>
    <w:rsid w:val="7DCA57B3"/>
    <w:rsid w:val="7DDC6AC7"/>
    <w:rsid w:val="7E821DA9"/>
    <w:rsid w:val="7E8237C0"/>
    <w:rsid w:val="7EA655BD"/>
    <w:rsid w:val="7F187E99"/>
    <w:rsid w:val="7F1C0B34"/>
    <w:rsid w:val="7F446C78"/>
    <w:rsid w:val="7F52307E"/>
    <w:rsid w:val="7FA62FD2"/>
    <w:rsid w:val="7FD512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8"/>
    <w:unhideWhenUsed/>
    <w:qFormat/>
    <w:uiPriority w:val="9"/>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99"/>
    <w:pPr>
      <w:jc w:val="left"/>
    </w:pPr>
  </w:style>
  <w:style w:type="paragraph" w:styleId="5">
    <w:name w:val="Balloon Text"/>
    <w:basedOn w:val="1"/>
    <w:link w:val="21"/>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sz w:val="24"/>
    </w:rPr>
  </w:style>
  <w:style w:type="paragraph" w:styleId="9">
    <w:name w:val="annotation subject"/>
    <w:basedOn w:val="4"/>
    <w:next w:val="4"/>
    <w:link w:val="20"/>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FollowedHyperlink"/>
    <w:basedOn w:val="12"/>
    <w:semiHidden/>
    <w:unhideWhenUsed/>
    <w:qFormat/>
    <w:uiPriority w:val="99"/>
    <w:rPr>
      <w:color w:val="954F72" w:themeColor="followedHyperlink"/>
      <w:u w:val="single"/>
      <w14:textFill>
        <w14:solidFill>
          <w14:schemeClr w14:val="folHlink"/>
        </w14:solidFill>
      </w14:textFill>
    </w:rPr>
  </w:style>
  <w:style w:type="character" w:styleId="15">
    <w:name w:val="Hyperlink"/>
    <w:basedOn w:val="12"/>
    <w:unhideWhenUsed/>
    <w:qFormat/>
    <w:uiPriority w:val="99"/>
    <w:rPr>
      <w:color w:val="0563C1" w:themeColor="hyperlink"/>
      <w:u w:val="single"/>
      <w14:textFill>
        <w14:solidFill>
          <w14:schemeClr w14:val="hlink"/>
        </w14:solidFill>
      </w14:textFill>
    </w:rPr>
  </w:style>
  <w:style w:type="character" w:styleId="16">
    <w:name w:val="annotation reference"/>
    <w:basedOn w:val="12"/>
    <w:semiHidden/>
    <w:unhideWhenUsed/>
    <w:qFormat/>
    <w:uiPriority w:val="99"/>
    <w:rPr>
      <w:sz w:val="21"/>
      <w:szCs w:val="21"/>
    </w:r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 w:type="character" w:customStyle="1" w:styleId="19">
    <w:name w:val="批注文字 字符"/>
    <w:basedOn w:val="12"/>
    <w:link w:val="4"/>
    <w:qFormat/>
    <w:uiPriority w:val="99"/>
    <w:rPr>
      <w:rFonts w:ascii="Times New Roman" w:hAnsi="Times New Roman" w:eastAsia="宋体" w:cs="Times New Roman"/>
      <w:szCs w:val="24"/>
    </w:rPr>
  </w:style>
  <w:style w:type="character" w:customStyle="1" w:styleId="20">
    <w:name w:val="批注主题 字符"/>
    <w:basedOn w:val="19"/>
    <w:link w:val="9"/>
    <w:semiHidden/>
    <w:qFormat/>
    <w:uiPriority w:val="99"/>
    <w:rPr>
      <w:rFonts w:ascii="Times New Roman" w:hAnsi="Times New Roman" w:eastAsia="宋体" w:cs="Times New Roman"/>
      <w:b/>
      <w:bCs/>
      <w:szCs w:val="24"/>
    </w:rPr>
  </w:style>
  <w:style w:type="character" w:customStyle="1" w:styleId="21">
    <w:name w:val="批注框文本 字符"/>
    <w:basedOn w:val="12"/>
    <w:link w:val="5"/>
    <w:semiHidden/>
    <w:qFormat/>
    <w:uiPriority w:val="99"/>
    <w:rPr>
      <w:rFonts w:ascii="Times New Roman" w:hAnsi="Times New Roman" w:eastAsia="宋体" w:cs="Times New Roman"/>
      <w:sz w:val="18"/>
      <w:szCs w:val="18"/>
    </w:rPr>
  </w:style>
  <w:style w:type="character" w:customStyle="1" w:styleId="22">
    <w:name w:val="未处理的提及1"/>
    <w:basedOn w:val="12"/>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24">
    <w:name w:val="List Paragraph"/>
    <w:basedOn w:val="1"/>
    <w:qFormat/>
    <w:uiPriority w:val="34"/>
    <w:pPr>
      <w:ind w:firstLine="420" w:firstLineChars="200"/>
    </w:pPr>
  </w:style>
  <w:style w:type="paragraph" w:customStyle="1" w:styleId="25">
    <w:name w:val="王奕，内文"/>
    <w:basedOn w:val="8"/>
    <w:link w:val="26"/>
    <w:qFormat/>
    <w:uiPriority w:val="0"/>
    <w:pPr>
      <w:widowControl/>
      <w:spacing w:line="360" w:lineRule="auto"/>
      <w:ind w:firstLine="200" w:firstLineChars="200"/>
    </w:pPr>
    <w:rPr>
      <w:rFonts w:cs="MS Shell Dlg"/>
      <w:color w:val="000000"/>
      <w:kern w:val="0"/>
    </w:rPr>
  </w:style>
  <w:style w:type="character" w:customStyle="1" w:styleId="26">
    <w:name w:val="王奕，内文 Char"/>
    <w:link w:val="25"/>
    <w:qFormat/>
    <w:uiPriority w:val="0"/>
    <w:rPr>
      <w:rFonts w:ascii="Times New Roman" w:hAnsi="Times New Roman" w:eastAsia="宋体" w:cs="MS Shell Dlg"/>
      <w:color w:val="000000"/>
      <w:kern w:val="0"/>
      <w:sz w:val="24"/>
      <w:szCs w:val="24"/>
    </w:rPr>
  </w:style>
  <w:style w:type="paragraph" w:customStyle="1" w:styleId="27">
    <w:name w:val="_Style 22"/>
    <w:basedOn w:val="1"/>
    <w:next w:val="24"/>
    <w:qFormat/>
    <w:uiPriority w:val="99"/>
    <w:pPr>
      <w:ind w:firstLine="420" w:firstLineChars="200"/>
    </w:pPr>
    <w:rPr>
      <w:color w:val="000000"/>
      <w:sz w:val="28"/>
    </w:rPr>
  </w:style>
  <w:style w:type="character" w:customStyle="1" w:styleId="28">
    <w:name w:val="标题 2 字符"/>
    <w:basedOn w:val="12"/>
    <w:link w:val="2"/>
    <w:qFormat/>
    <w:uiPriority w:val="9"/>
    <w:rPr>
      <w:rFonts w:ascii="Cambria" w:hAnsi="Cambria" w:eastAsia="宋体" w:cs="Times New Roman"/>
      <w:b/>
      <w:bCs/>
      <w:kern w:val="0"/>
      <w:sz w:val="32"/>
      <w:szCs w:val="32"/>
    </w:rPr>
  </w:style>
  <w:style w:type="paragraph" w:customStyle="1" w:styleId="2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0">
    <w:name w:val="f101"/>
    <w:qFormat/>
    <w:uiPriority w:val="0"/>
    <w:rPr>
      <w:sz w:val="24"/>
      <w:szCs w:val="24"/>
    </w:rPr>
  </w:style>
  <w:style w:type="character" w:customStyle="1" w:styleId="31">
    <w:name w:val="未处理的提及2"/>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9B6CC-F669-4D5E-A30C-CEFA4322D9F4}">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2174</Words>
  <Characters>12393</Characters>
  <Lines>103</Lines>
  <Paragraphs>29</Paragraphs>
  <TotalTime>1</TotalTime>
  <ScaleCrop>false</ScaleCrop>
  <LinksUpToDate>false</LinksUpToDate>
  <CharactersWithSpaces>14538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2021-09-08T13:39:00Z</dcterms:created>
  <dc:creator>Ren.Jia(任 佳)</dc:creator>
  <cp:lastModifiedBy>叶朝付</cp:lastModifiedBy>
  <cp:lastPrinted>2021-07-26T16:39:00Z</cp:lastPrinted>
  <dcterms:modified xsi:type="dcterms:W3CDTF">2021-10-08T08:00:41Z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9F5F67D93FCE4062AF3020D365795203</vt:lpwstr>
  </property>
</Properties>
</file>