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12C" w:rsidRDefault="0062212C" w:rsidP="0062212C">
      <w:pPr>
        <w:spacing w:line="360" w:lineRule="auto"/>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5</w:t>
      </w:r>
      <w:r>
        <w:rPr>
          <w:rFonts w:ascii="黑体" w:eastAsia="黑体" w:hAnsi="黑体" w:hint="eastAsia"/>
          <w:sz w:val="32"/>
          <w:szCs w:val="32"/>
        </w:rPr>
        <w:t>：</w:t>
      </w:r>
    </w:p>
    <w:p w:rsidR="009A2B95" w:rsidRPr="0062212C" w:rsidRDefault="00EB693B">
      <w:pPr>
        <w:adjustRightInd w:val="0"/>
        <w:snapToGrid w:val="0"/>
        <w:jc w:val="center"/>
        <w:rPr>
          <w:rFonts w:ascii="黑体" w:eastAsia="黑体" w:hAnsi="黑体"/>
          <w:kern w:val="0"/>
          <w:sz w:val="32"/>
          <w:szCs w:val="32"/>
        </w:rPr>
      </w:pPr>
      <w:r w:rsidRPr="0062212C">
        <w:rPr>
          <w:rFonts w:ascii="黑体" w:eastAsia="黑体" w:hAnsi="黑体" w:hint="eastAsia"/>
          <w:kern w:val="0"/>
          <w:sz w:val="32"/>
          <w:szCs w:val="32"/>
        </w:rPr>
        <w:t>上市许可持有人</w:t>
      </w:r>
      <w:proofErr w:type="gramStart"/>
      <w:r w:rsidRPr="0062212C">
        <w:rPr>
          <w:rFonts w:ascii="黑体" w:eastAsia="黑体" w:hAnsi="黑体" w:hint="eastAsia"/>
          <w:kern w:val="0"/>
          <w:sz w:val="32"/>
          <w:szCs w:val="32"/>
        </w:rPr>
        <w:t>个例医疗</w:t>
      </w:r>
      <w:proofErr w:type="gramEnd"/>
      <w:r w:rsidRPr="0062212C">
        <w:rPr>
          <w:rFonts w:ascii="黑体" w:eastAsia="黑体" w:hAnsi="黑体" w:hint="eastAsia"/>
          <w:kern w:val="0"/>
          <w:sz w:val="32"/>
          <w:szCs w:val="32"/>
        </w:rPr>
        <w:t>器械不良事件收集和报告</w:t>
      </w:r>
    </w:p>
    <w:p w:rsidR="00C825F9" w:rsidRPr="0062212C" w:rsidRDefault="00EB693B" w:rsidP="00C825F9">
      <w:pPr>
        <w:adjustRightInd w:val="0"/>
        <w:snapToGrid w:val="0"/>
        <w:jc w:val="center"/>
        <w:rPr>
          <w:rFonts w:ascii="黑体" w:eastAsia="黑体" w:hAnsi="黑体"/>
          <w:sz w:val="32"/>
          <w:szCs w:val="32"/>
        </w:rPr>
      </w:pPr>
      <w:r w:rsidRPr="0062212C">
        <w:rPr>
          <w:rFonts w:ascii="黑体" w:eastAsia="黑体" w:hAnsi="黑体" w:hint="eastAsia"/>
          <w:kern w:val="0"/>
          <w:sz w:val="32"/>
          <w:szCs w:val="32"/>
        </w:rPr>
        <w:t>指导原则（征求意见稿）</w:t>
      </w:r>
    </w:p>
    <w:p w:rsidR="000463B9" w:rsidRDefault="000463B9">
      <w:pPr>
        <w:numPr>
          <w:ilvl w:val="255"/>
          <w:numId w:val="0"/>
        </w:numPr>
        <w:overflowPunct w:val="0"/>
        <w:adjustRightInd w:val="0"/>
        <w:snapToGrid w:val="0"/>
        <w:spacing w:line="360" w:lineRule="auto"/>
        <w:ind w:firstLineChars="200" w:firstLine="640"/>
        <w:outlineLvl w:val="0"/>
        <w:rPr>
          <w:rFonts w:ascii="黑体" w:eastAsia="黑体" w:hAnsi="黑体" w:cs="黑体"/>
          <w:sz w:val="32"/>
          <w:szCs w:val="32"/>
        </w:rPr>
      </w:pPr>
      <w:bookmarkStart w:id="0" w:name="_Toc12816"/>
      <w:bookmarkStart w:id="1" w:name="_Toc5469"/>
      <w:bookmarkStart w:id="2" w:name="_Toc29294"/>
    </w:p>
    <w:p w:rsidR="009A2B95" w:rsidRDefault="0062212C">
      <w:pPr>
        <w:numPr>
          <w:ilvl w:val="255"/>
          <w:numId w:val="0"/>
        </w:numPr>
        <w:overflowPunct w:val="0"/>
        <w:adjustRightInd w:val="0"/>
        <w:snapToGrid w:val="0"/>
        <w:spacing w:line="360" w:lineRule="auto"/>
        <w:ind w:firstLineChars="200" w:firstLine="640"/>
        <w:outlineLvl w:val="0"/>
        <w:rPr>
          <w:rFonts w:ascii="黑体" w:eastAsia="黑体" w:hAnsi="黑体" w:cs="黑体"/>
          <w:sz w:val="32"/>
          <w:szCs w:val="32"/>
        </w:rPr>
      </w:pPr>
      <w:r>
        <w:rPr>
          <w:rFonts w:ascii="黑体" w:eastAsia="黑体" w:hAnsi="黑体" w:cs="黑体" w:hint="eastAsia"/>
          <w:sz w:val="32"/>
          <w:szCs w:val="32"/>
        </w:rPr>
        <w:t>一、</w:t>
      </w:r>
      <w:r w:rsidR="00EB693B">
        <w:rPr>
          <w:rFonts w:ascii="黑体" w:eastAsia="黑体" w:hAnsi="黑体" w:cs="黑体" w:hint="eastAsia"/>
          <w:sz w:val="32"/>
          <w:szCs w:val="32"/>
        </w:rPr>
        <w:t>目的</w:t>
      </w:r>
      <w:bookmarkEnd w:id="0"/>
      <w:bookmarkEnd w:id="1"/>
      <w:bookmarkEnd w:id="2"/>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为规范医疗器械上市许可持有人（以下简称“持有人”）开展个</w:t>
      </w:r>
      <w:proofErr w:type="gramStart"/>
      <w:r>
        <w:rPr>
          <w:rFonts w:eastAsia="仿宋_GB2312" w:hint="eastAsia"/>
          <w:sz w:val="32"/>
          <w:szCs w:val="32"/>
        </w:rPr>
        <w:t>例医疗</w:t>
      </w:r>
      <w:proofErr w:type="gramEnd"/>
      <w:r>
        <w:rPr>
          <w:rFonts w:eastAsia="仿宋_GB2312" w:hint="eastAsia"/>
          <w:sz w:val="32"/>
          <w:szCs w:val="32"/>
        </w:rPr>
        <w:t>器械不良事件的</w:t>
      </w:r>
      <w:bookmarkStart w:id="3" w:name="_GoBack"/>
      <w:bookmarkEnd w:id="3"/>
      <w:r>
        <w:rPr>
          <w:rFonts w:eastAsia="仿宋_GB2312" w:hint="eastAsia"/>
          <w:sz w:val="32"/>
          <w:szCs w:val="32"/>
        </w:rPr>
        <w:t>收集和报告工作，依据《医疗器械不良事件监测和再评价管理办法》（国家市场监督管理总局令第</w:t>
      </w:r>
      <w:r>
        <w:rPr>
          <w:rFonts w:eastAsia="仿宋_GB2312" w:hint="eastAsia"/>
          <w:sz w:val="32"/>
          <w:szCs w:val="32"/>
        </w:rPr>
        <w:t>1</w:t>
      </w:r>
      <w:r>
        <w:rPr>
          <w:rFonts w:eastAsia="仿宋_GB2312" w:hint="eastAsia"/>
          <w:sz w:val="32"/>
          <w:szCs w:val="32"/>
        </w:rPr>
        <w:t>号）的规定，制定本指导原则。</w:t>
      </w:r>
    </w:p>
    <w:p w:rsidR="009A2B95" w:rsidRDefault="00EB693B" w:rsidP="008F10E1">
      <w:pPr>
        <w:numPr>
          <w:ilvl w:val="255"/>
          <w:numId w:val="0"/>
        </w:numPr>
        <w:overflowPunct w:val="0"/>
        <w:adjustRightInd w:val="0"/>
        <w:snapToGrid w:val="0"/>
        <w:spacing w:line="360" w:lineRule="auto"/>
        <w:ind w:firstLineChars="200" w:firstLine="640"/>
        <w:outlineLvl w:val="0"/>
        <w:rPr>
          <w:rFonts w:ascii="黑体" w:eastAsia="黑体" w:hAnsi="黑体" w:cs="黑体"/>
          <w:sz w:val="32"/>
          <w:szCs w:val="32"/>
        </w:rPr>
      </w:pPr>
      <w:bookmarkStart w:id="4" w:name="_Toc8510"/>
      <w:bookmarkStart w:id="5" w:name="_Toc31015"/>
      <w:bookmarkStart w:id="6" w:name="_Toc11923"/>
      <w:r>
        <w:rPr>
          <w:rFonts w:ascii="黑体" w:eastAsia="黑体" w:hAnsi="黑体" w:cs="黑体" w:hint="eastAsia"/>
          <w:sz w:val="32"/>
          <w:szCs w:val="32"/>
        </w:rPr>
        <w:t>二、</w:t>
      </w:r>
      <w:bookmarkStart w:id="7" w:name="_Toc6218"/>
      <w:bookmarkStart w:id="8" w:name="_Toc16510"/>
      <w:bookmarkStart w:id="9" w:name="_Toc21811"/>
      <w:bookmarkStart w:id="10" w:name="_Toc30939"/>
      <w:bookmarkStart w:id="11" w:name="_Toc29558"/>
      <w:bookmarkStart w:id="12" w:name="_Toc12332"/>
      <w:bookmarkStart w:id="13" w:name="_Toc28361"/>
      <w:bookmarkEnd w:id="4"/>
      <w:bookmarkEnd w:id="5"/>
      <w:bookmarkEnd w:id="6"/>
      <w:r>
        <w:rPr>
          <w:rFonts w:ascii="黑体" w:eastAsia="黑体" w:hAnsi="黑体" w:cs="黑体" w:hint="eastAsia"/>
          <w:sz w:val="32"/>
          <w:szCs w:val="32"/>
        </w:rPr>
        <w:t>不良事件</w:t>
      </w:r>
      <w:bookmarkEnd w:id="7"/>
      <w:bookmarkEnd w:id="8"/>
      <w:bookmarkEnd w:id="9"/>
      <w:bookmarkEnd w:id="10"/>
      <w:bookmarkEnd w:id="11"/>
      <w:bookmarkEnd w:id="12"/>
      <w:r>
        <w:rPr>
          <w:rFonts w:ascii="黑体" w:eastAsia="黑体" w:hAnsi="黑体" w:cs="黑体" w:hint="eastAsia"/>
          <w:sz w:val="32"/>
          <w:szCs w:val="32"/>
        </w:rPr>
        <w:t>的收集</w:t>
      </w:r>
      <w:bookmarkEnd w:id="13"/>
    </w:p>
    <w:p w:rsidR="008F10E1" w:rsidRDefault="008F10E1" w:rsidP="008F10E1">
      <w:pPr>
        <w:numPr>
          <w:ilvl w:val="255"/>
          <w:numId w:val="0"/>
        </w:numPr>
        <w:overflowPunct w:val="0"/>
        <w:adjustRightInd w:val="0"/>
        <w:snapToGrid w:val="0"/>
        <w:spacing w:line="360" w:lineRule="auto"/>
        <w:ind w:firstLineChars="200" w:firstLine="640"/>
        <w:outlineLvl w:val="0"/>
        <w:rPr>
          <w:rFonts w:ascii="仿宋" w:eastAsia="仿宋" w:hAnsi="仿宋" w:cs="仿宋"/>
          <w:b/>
          <w:bCs/>
          <w:sz w:val="32"/>
          <w:szCs w:val="32"/>
        </w:rPr>
      </w:pPr>
      <w:proofErr w:type="gramStart"/>
      <w:r>
        <w:rPr>
          <w:rFonts w:eastAsia="仿宋_GB2312" w:hint="eastAsia"/>
          <w:sz w:val="32"/>
          <w:szCs w:val="32"/>
        </w:rPr>
        <w:t>个例医疗</w:t>
      </w:r>
      <w:proofErr w:type="gramEnd"/>
      <w:r>
        <w:rPr>
          <w:rFonts w:eastAsia="仿宋_GB2312" w:hint="eastAsia"/>
          <w:sz w:val="32"/>
          <w:szCs w:val="32"/>
        </w:rPr>
        <w:t>器械不良事件是指，涉及</w:t>
      </w:r>
      <w:r w:rsidR="00E10F76">
        <w:rPr>
          <w:rFonts w:eastAsia="仿宋_GB2312" w:hint="eastAsia"/>
          <w:sz w:val="32"/>
          <w:szCs w:val="32"/>
        </w:rPr>
        <w:t>可能与医疗器械相关的</w:t>
      </w:r>
      <w:r>
        <w:rPr>
          <w:rFonts w:eastAsia="仿宋_GB2312" w:hint="eastAsia"/>
          <w:sz w:val="32"/>
          <w:szCs w:val="32"/>
        </w:rPr>
        <w:t>单个患者或操作者</w:t>
      </w:r>
      <w:r w:rsidR="00CB3D82">
        <w:rPr>
          <w:rFonts w:eastAsia="仿宋_GB2312" w:hint="eastAsia"/>
          <w:sz w:val="32"/>
          <w:szCs w:val="32"/>
        </w:rPr>
        <w:t>的</w:t>
      </w:r>
      <w:r w:rsidR="00AB6D00">
        <w:rPr>
          <w:rFonts w:eastAsia="仿宋_GB2312" w:hint="eastAsia"/>
          <w:sz w:val="32"/>
          <w:szCs w:val="32"/>
        </w:rPr>
        <w:t>死亡及严重伤害</w:t>
      </w:r>
      <w:r w:rsidR="00CB3D82">
        <w:rPr>
          <w:rFonts w:eastAsia="仿宋_GB2312" w:hint="eastAsia"/>
          <w:sz w:val="32"/>
          <w:szCs w:val="32"/>
        </w:rPr>
        <w:t>事件，</w:t>
      </w:r>
      <w:r>
        <w:rPr>
          <w:rFonts w:eastAsia="仿宋_GB2312" w:hint="eastAsia"/>
          <w:sz w:val="32"/>
          <w:szCs w:val="32"/>
        </w:rPr>
        <w:t>以下简称“</w:t>
      </w:r>
      <w:r w:rsidR="00FC14F8">
        <w:rPr>
          <w:rFonts w:eastAsia="仿宋_GB2312" w:hint="eastAsia"/>
          <w:sz w:val="32"/>
          <w:szCs w:val="32"/>
        </w:rPr>
        <w:t>不良</w:t>
      </w:r>
      <w:r>
        <w:rPr>
          <w:rFonts w:eastAsia="仿宋_GB2312" w:hint="eastAsia"/>
          <w:sz w:val="32"/>
          <w:szCs w:val="32"/>
        </w:rPr>
        <w:t>事件”。</w:t>
      </w:r>
      <w:proofErr w:type="gramStart"/>
      <w:r>
        <w:rPr>
          <w:rFonts w:eastAsia="仿宋_GB2312" w:hint="eastAsia"/>
          <w:sz w:val="32"/>
          <w:szCs w:val="32"/>
        </w:rPr>
        <w:t>个例医疗</w:t>
      </w:r>
      <w:proofErr w:type="gramEnd"/>
      <w:r>
        <w:rPr>
          <w:rFonts w:eastAsia="仿宋_GB2312" w:hint="eastAsia"/>
          <w:sz w:val="32"/>
          <w:szCs w:val="32"/>
        </w:rPr>
        <w:t>器械不良事件报告</w:t>
      </w:r>
      <w:r w:rsidR="00CB3D82">
        <w:rPr>
          <w:rFonts w:eastAsia="仿宋_GB2312" w:hint="eastAsia"/>
          <w:sz w:val="32"/>
          <w:szCs w:val="32"/>
        </w:rPr>
        <w:t>是指</w:t>
      </w:r>
      <w:r w:rsidR="00364ED1">
        <w:rPr>
          <w:rFonts w:eastAsia="仿宋_GB2312" w:hint="eastAsia"/>
          <w:sz w:val="32"/>
          <w:szCs w:val="32"/>
        </w:rPr>
        <w:t>持有人</w:t>
      </w:r>
      <w:r w:rsidR="00CB3D82">
        <w:rPr>
          <w:rFonts w:eastAsia="仿宋_GB2312" w:hint="eastAsia"/>
          <w:sz w:val="32"/>
          <w:szCs w:val="32"/>
        </w:rPr>
        <w:t>填写</w:t>
      </w:r>
      <w:r>
        <w:rPr>
          <w:rFonts w:eastAsia="仿宋_GB2312" w:hint="eastAsia"/>
          <w:sz w:val="32"/>
          <w:szCs w:val="32"/>
        </w:rPr>
        <w:t>个</w:t>
      </w:r>
      <w:proofErr w:type="gramStart"/>
      <w:r w:rsidR="00CB3D82">
        <w:rPr>
          <w:rFonts w:eastAsia="仿宋_GB2312" w:hint="eastAsia"/>
          <w:sz w:val="32"/>
          <w:szCs w:val="32"/>
        </w:rPr>
        <w:t>例医疗</w:t>
      </w:r>
      <w:proofErr w:type="gramEnd"/>
      <w:r w:rsidR="00CB3D82">
        <w:rPr>
          <w:rFonts w:eastAsia="仿宋_GB2312" w:hint="eastAsia"/>
          <w:sz w:val="32"/>
          <w:szCs w:val="32"/>
        </w:rPr>
        <w:t>器械不良事件相关信息，</w:t>
      </w:r>
      <w:r w:rsidR="00E10F76">
        <w:rPr>
          <w:rFonts w:eastAsia="仿宋_GB2312" w:hint="eastAsia"/>
          <w:sz w:val="32"/>
          <w:szCs w:val="32"/>
        </w:rPr>
        <w:t>并</w:t>
      </w:r>
      <w:r w:rsidR="00BB7CE9">
        <w:rPr>
          <w:rFonts w:eastAsia="仿宋_GB2312" w:hint="eastAsia"/>
          <w:sz w:val="32"/>
          <w:szCs w:val="32"/>
        </w:rPr>
        <w:t>通过国家医疗器械不良事件监测信息系统</w:t>
      </w:r>
      <w:r w:rsidR="00364ED1">
        <w:rPr>
          <w:rFonts w:eastAsia="仿宋_GB2312" w:hint="eastAsia"/>
          <w:sz w:val="32"/>
          <w:szCs w:val="32"/>
        </w:rPr>
        <w:t>进行报告的过程，以下简称“不良事件</w:t>
      </w:r>
      <w:r>
        <w:rPr>
          <w:rFonts w:eastAsia="仿宋_GB2312" w:hint="eastAsia"/>
          <w:sz w:val="32"/>
          <w:szCs w:val="32"/>
        </w:rPr>
        <w:t>报告”。</w:t>
      </w:r>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持有人应建立面向医疗器械</w:t>
      </w:r>
      <w:r w:rsidR="00AB6D00">
        <w:rPr>
          <w:rFonts w:eastAsia="仿宋_GB2312" w:hint="eastAsia"/>
          <w:sz w:val="32"/>
          <w:szCs w:val="32"/>
        </w:rPr>
        <w:t>经营企业、使用单位（医疗机构）和患者的不良事件信息收集途径，</w:t>
      </w:r>
      <w:r>
        <w:rPr>
          <w:rFonts w:eastAsia="仿宋_GB2312" w:hint="eastAsia"/>
          <w:sz w:val="32"/>
          <w:szCs w:val="32"/>
        </w:rPr>
        <w:t>主动收集学术文献、上市后研究中的不良事件，拓展网络、数字媒体以及社交平台等信息收集途径。</w:t>
      </w:r>
    </w:p>
    <w:p w:rsidR="009A2B95" w:rsidRDefault="00EB693B">
      <w:pPr>
        <w:numPr>
          <w:ilvl w:val="0"/>
          <w:numId w:val="3"/>
        </w:numPr>
        <w:overflowPunct w:val="0"/>
        <w:adjustRightInd w:val="0"/>
        <w:snapToGrid w:val="0"/>
        <w:spacing w:line="360" w:lineRule="auto"/>
        <w:outlineLvl w:val="1"/>
        <w:rPr>
          <w:rFonts w:eastAsia="仿宋_GB2312"/>
          <w:b/>
          <w:bCs/>
          <w:sz w:val="32"/>
          <w:szCs w:val="32"/>
        </w:rPr>
      </w:pPr>
      <w:bookmarkStart w:id="14" w:name="_Toc23386"/>
      <w:bookmarkStart w:id="15" w:name="_Toc20998"/>
      <w:bookmarkStart w:id="16" w:name="_Toc26416"/>
      <w:bookmarkStart w:id="17" w:name="_Toc10517"/>
      <w:bookmarkStart w:id="18" w:name="_Toc19506"/>
      <w:bookmarkStart w:id="19" w:name="_Toc25565"/>
      <w:bookmarkStart w:id="20" w:name="_Toc17962"/>
      <w:r>
        <w:rPr>
          <w:rFonts w:eastAsia="仿宋_GB2312" w:hint="eastAsia"/>
          <w:b/>
          <w:bCs/>
          <w:sz w:val="32"/>
          <w:szCs w:val="32"/>
        </w:rPr>
        <w:t>经营企业</w:t>
      </w:r>
      <w:bookmarkEnd w:id="14"/>
      <w:bookmarkEnd w:id="15"/>
      <w:bookmarkEnd w:id="16"/>
      <w:bookmarkEnd w:id="17"/>
      <w:bookmarkEnd w:id="18"/>
      <w:bookmarkEnd w:id="19"/>
      <w:bookmarkEnd w:id="20"/>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持有人应主动收集来自医疗器械经营企业的不良事件信息，并确保经营企业知晓向其报告不良事件的有效方式。</w:t>
      </w:r>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持有人应以签订委托合同等形式明确经营企业报告不良事件</w:t>
      </w:r>
      <w:r>
        <w:rPr>
          <w:rFonts w:eastAsia="仿宋_GB2312" w:hint="eastAsia"/>
          <w:sz w:val="32"/>
          <w:szCs w:val="32"/>
        </w:rPr>
        <w:lastRenderedPageBreak/>
        <w:t>的责任，对经营企业相关人员进行培训，使其了解不良事件信息收集的目标、方式、内容、存储要求等。持有人应定期评估经营企业履行信息收集责任的能力，采取必要措施确保信息收集质量。</w:t>
      </w:r>
    </w:p>
    <w:p w:rsidR="009A2B95" w:rsidRDefault="00EB693B">
      <w:pPr>
        <w:numPr>
          <w:ilvl w:val="0"/>
          <w:numId w:val="3"/>
        </w:numPr>
        <w:overflowPunct w:val="0"/>
        <w:adjustRightInd w:val="0"/>
        <w:snapToGrid w:val="0"/>
        <w:spacing w:line="360" w:lineRule="auto"/>
        <w:outlineLvl w:val="1"/>
        <w:rPr>
          <w:rFonts w:eastAsia="仿宋_GB2312"/>
          <w:b/>
          <w:bCs/>
          <w:sz w:val="32"/>
          <w:szCs w:val="32"/>
        </w:rPr>
      </w:pPr>
      <w:bookmarkStart w:id="21" w:name="_Toc19764"/>
      <w:bookmarkStart w:id="22" w:name="_Toc11000"/>
      <w:bookmarkStart w:id="23" w:name="_Toc27366"/>
      <w:bookmarkStart w:id="24" w:name="_Toc20364"/>
      <w:bookmarkStart w:id="25" w:name="_Toc9398"/>
      <w:bookmarkStart w:id="26" w:name="_Toc23694"/>
      <w:bookmarkStart w:id="27" w:name="_Toc22065"/>
      <w:r>
        <w:rPr>
          <w:rFonts w:eastAsia="仿宋_GB2312" w:hint="eastAsia"/>
          <w:b/>
          <w:bCs/>
          <w:sz w:val="32"/>
          <w:szCs w:val="32"/>
        </w:rPr>
        <w:t>使用单位（医疗机构）</w:t>
      </w:r>
      <w:bookmarkEnd w:id="21"/>
      <w:bookmarkEnd w:id="22"/>
      <w:bookmarkEnd w:id="23"/>
      <w:bookmarkEnd w:id="24"/>
      <w:bookmarkEnd w:id="25"/>
      <w:bookmarkEnd w:id="26"/>
      <w:bookmarkEnd w:id="27"/>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持有人应指定人员，通过日常拜访使用单位的使用者、维修人员，或通过电子邮件、传真等方式，收集在使用单位发生的不良事件信息。上述沟通应定期开展，进行准确记录并保存。持有人或其经销商与使用单位签订医疗器械购销合同时，应让使用单位充分知晓持有人的不良事件报告责任，鼓励使用单位向其报告不良事件，共同制定不良事件信息在使用单位的收集方案。</w:t>
      </w:r>
    </w:p>
    <w:p w:rsidR="009A2B95" w:rsidRDefault="00EB693B">
      <w:pPr>
        <w:numPr>
          <w:ilvl w:val="0"/>
          <w:numId w:val="3"/>
        </w:numPr>
        <w:overflowPunct w:val="0"/>
        <w:adjustRightInd w:val="0"/>
        <w:snapToGrid w:val="0"/>
        <w:spacing w:line="360" w:lineRule="auto"/>
        <w:outlineLvl w:val="1"/>
        <w:rPr>
          <w:rFonts w:eastAsia="仿宋_GB2312"/>
          <w:b/>
          <w:bCs/>
          <w:sz w:val="32"/>
          <w:szCs w:val="32"/>
        </w:rPr>
      </w:pPr>
      <w:bookmarkStart w:id="28" w:name="_Toc6897"/>
      <w:bookmarkStart w:id="29" w:name="_Toc27282"/>
      <w:bookmarkStart w:id="30" w:name="_Toc9557"/>
      <w:bookmarkStart w:id="31" w:name="_Toc13222"/>
      <w:bookmarkStart w:id="32" w:name="_Toc1267"/>
      <w:bookmarkStart w:id="33" w:name="_Toc24667"/>
      <w:bookmarkStart w:id="34" w:name="_Toc2314"/>
      <w:r>
        <w:rPr>
          <w:rFonts w:eastAsia="仿宋_GB2312" w:hint="eastAsia"/>
          <w:b/>
          <w:bCs/>
          <w:sz w:val="32"/>
          <w:szCs w:val="32"/>
        </w:rPr>
        <w:t>患者</w:t>
      </w:r>
      <w:bookmarkEnd w:id="28"/>
      <w:bookmarkEnd w:id="29"/>
      <w:bookmarkEnd w:id="30"/>
      <w:bookmarkEnd w:id="31"/>
      <w:bookmarkEnd w:id="32"/>
      <w:bookmarkEnd w:id="33"/>
      <w:bookmarkEnd w:id="34"/>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持有人在医疗器械说明书、标签中公布的联系电话是患者报告不良事件、进行投诉或咨询的重要途径，电话应保持畅通。鼓励持有人设立专门的不良事件报告电话（如</w:t>
      </w:r>
      <w:r>
        <w:rPr>
          <w:rFonts w:eastAsia="仿宋_GB2312" w:hint="eastAsia"/>
          <w:sz w:val="32"/>
          <w:szCs w:val="32"/>
        </w:rPr>
        <w:t>400</w:t>
      </w:r>
      <w:r>
        <w:rPr>
          <w:rFonts w:eastAsia="仿宋_GB2312" w:hint="eastAsia"/>
          <w:sz w:val="32"/>
          <w:szCs w:val="32"/>
        </w:rPr>
        <w:t>热线电话），持有人应以有效方式将此电话及其功能告之公众，电话号码如有变更应在说明书和标签中及时更新。持有人应指定人员负责电话的接听，收集记录患者或其他个人（如医生、使用者、律师）报告的不良事件信息。</w:t>
      </w:r>
    </w:p>
    <w:p w:rsidR="009A2B95" w:rsidRDefault="00EB693B">
      <w:pPr>
        <w:numPr>
          <w:ilvl w:val="0"/>
          <w:numId w:val="3"/>
        </w:numPr>
        <w:overflowPunct w:val="0"/>
        <w:adjustRightInd w:val="0"/>
        <w:snapToGrid w:val="0"/>
        <w:spacing w:line="360" w:lineRule="auto"/>
        <w:outlineLvl w:val="1"/>
        <w:rPr>
          <w:rFonts w:eastAsia="仿宋_GB2312"/>
          <w:b/>
          <w:bCs/>
          <w:sz w:val="32"/>
          <w:szCs w:val="32"/>
        </w:rPr>
      </w:pPr>
      <w:bookmarkStart w:id="35" w:name="_Toc6798"/>
      <w:bookmarkStart w:id="36" w:name="_Toc28613"/>
      <w:bookmarkStart w:id="37" w:name="_Toc17686"/>
      <w:bookmarkStart w:id="38" w:name="_Toc31559"/>
      <w:bookmarkStart w:id="39" w:name="_Toc20174"/>
      <w:bookmarkStart w:id="40" w:name="_Toc5843"/>
      <w:bookmarkStart w:id="41" w:name="_Toc5983"/>
      <w:r>
        <w:rPr>
          <w:rFonts w:eastAsia="仿宋_GB2312" w:hint="eastAsia"/>
          <w:b/>
          <w:bCs/>
          <w:sz w:val="32"/>
          <w:szCs w:val="32"/>
        </w:rPr>
        <w:t>学术文献</w:t>
      </w:r>
      <w:bookmarkEnd w:id="35"/>
      <w:bookmarkEnd w:id="36"/>
      <w:bookmarkEnd w:id="37"/>
      <w:bookmarkEnd w:id="38"/>
      <w:bookmarkEnd w:id="39"/>
      <w:bookmarkEnd w:id="40"/>
      <w:bookmarkEnd w:id="41"/>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科学或医学文献也是不良事件信息的来源之一，持有人应报告文献检索发现的不良事件。持有人应制定文献检索规范或程序，对检索频率、时间范围、文献来源、文献类型、检索策略等进行</w:t>
      </w:r>
      <w:r>
        <w:rPr>
          <w:rFonts w:eastAsia="仿宋_GB2312" w:hint="eastAsia"/>
          <w:sz w:val="32"/>
          <w:szCs w:val="32"/>
        </w:rPr>
        <w:lastRenderedPageBreak/>
        <w:t>规定。</w:t>
      </w:r>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持有人应对广泛使用的文献检索数据库进行系统回顾。国内常用数据库包括中国知网、维普网、万方数据库等，国外数据库可使用</w:t>
      </w:r>
      <w:r>
        <w:rPr>
          <w:rFonts w:eastAsia="仿宋_GB2312" w:hint="eastAsia"/>
          <w:sz w:val="32"/>
          <w:szCs w:val="32"/>
        </w:rPr>
        <w:t>PubMed</w:t>
      </w:r>
      <w:r>
        <w:rPr>
          <w:rFonts w:eastAsia="仿宋_GB2312" w:hint="eastAsia"/>
          <w:sz w:val="32"/>
          <w:szCs w:val="32"/>
        </w:rPr>
        <w:t>、</w:t>
      </w:r>
      <w:proofErr w:type="spellStart"/>
      <w:r>
        <w:rPr>
          <w:rFonts w:eastAsia="仿宋_GB2312" w:hint="eastAsia"/>
          <w:sz w:val="32"/>
          <w:szCs w:val="32"/>
        </w:rPr>
        <w:t>Embase</w:t>
      </w:r>
      <w:proofErr w:type="spellEnd"/>
      <w:r>
        <w:rPr>
          <w:rFonts w:eastAsia="仿宋_GB2312" w:hint="eastAsia"/>
          <w:sz w:val="32"/>
          <w:szCs w:val="32"/>
        </w:rPr>
        <w:t>、</w:t>
      </w:r>
      <w:r>
        <w:rPr>
          <w:rFonts w:eastAsia="仿宋_GB2312" w:hint="eastAsia"/>
          <w:sz w:val="32"/>
          <w:szCs w:val="32"/>
        </w:rPr>
        <w:t>Ovid</w:t>
      </w:r>
      <w:r>
        <w:rPr>
          <w:rFonts w:eastAsia="仿宋_GB2312" w:hint="eastAsia"/>
          <w:sz w:val="32"/>
          <w:szCs w:val="32"/>
        </w:rPr>
        <w:t>等。涉及不良事件的文献类型主要包括：个案报道、病例系列、不良事件综述等，此外临床有效性和安全性研究、荟萃分析等也可能包含不良事件信息。</w:t>
      </w:r>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持有人应制定合理的检索策略，确保检索结果的全面性、准确性，检索的时间范围应具有连续性。对于首次上市、创新、高风险以及</w:t>
      </w:r>
      <w:proofErr w:type="gramStart"/>
      <w:r>
        <w:rPr>
          <w:rFonts w:eastAsia="仿宋_GB2312" w:hint="eastAsia"/>
          <w:sz w:val="32"/>
          <w:szCs w:val="32"/>
        </w:rPr>
        <w:t>其他关注</w:t>
      </w:r>
      <w:proofErr w:type="gramEnd"/>
      <w:r>
        <w:rPr>
          <w:rFonts w:eastAsia="仿宋_GB2312" w:hint="eastAsia"/>
          <w:sz w:val="32"/>
          <w:szCs w:val="32"/>
        </w:rPr>
        <w:t>的医疗器械，持有人应增加检索频率以及检索的数据库范围。</w:t>
      </w:r>
    </w:p>
    <w:p w:rsidR="009A2B95" w:rsidRDefault="00EB693B">
      <w:pPr>
        <w:numPr>
          <w:ilvl w:val="0"/>
          <w:numId w:val="3"/>
        </w:numPr>
        <w:overflowPunct w:val="0"/>
        <w:adjustRightInd w:val="0"/>
        <w:snapToGrid w:val="0"/>
        <w:spacing w:line="360" w:lineRule="auto"/>
        <w:outlineLvl w:val="1"/>
        <w:rPr>
          <w:rFonts w:eastAsia="仿宋_GB2312"/>
          <w:b/>
          <w:bCs/>
          <w:sz w:val="32"/>
          <w:szCs w:val="32"/>
        </w:rPr>
      </w:pPr>
      <w:bookmarkStart w:id="42" w:name="_Toc10542"/>
      <w:bookmarkStart w:id="43" w:name="_Toc16817"/>
      <w:bookmarkStart w:id="44" w:name="_Toc21322"/>
      <w:bookmarkStart w:id="45" w:name="_Toc29879"/>
      <w:bookmarkStart w:id="46" w:name="_Toc15710"/>
      <w:bookmarkStart w:id="47" w:name="_Toc19774"/>
      <w:bookmarkStart w:id="48" w:name="_Toc18610"/>
      <w:r>
        <w:rPr>
          <w:rFonts w:eastAsia="仿宋_GB2312" w:hint="eastAsia"/>
          <w:b/>
          <w:bCs/>
          <w:sz w:val="32"/>
          <w:szCs w:val="32"/>
        </w:rPr>
        <w:t>上市后研究</w:t>
      </w:r>
      <w:bookmarkEnd w:id="42"/>
      <w:bookmarkEnd w:id="43"/>
      <w:bookmarkEnd w:id="44"/>
      <w:bookmarkEnd w:id="45"/>
      <w:bookmarkEnd w:id="46"/>
      <w:bookmarkEnd w:id="47"/>
      <w:bookmarkEnd w:id="48"/>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由持有人发起的上市后研究或项目包括：以了解医疗器械安全性、有效性为主要目的</w:t>
      </w:r>
      <w:proofErr w:type="gramStart"/>
      <w:r>
        <w:rPr>
          <w:rFonts w:eastAsia="仿宋_GB2312" w:hint="eastAsia"/>
          <w:sz w:val="32"/>
          <w:szCs w:val="32"/>
        </w:rPr>
        <w:t>的</w:t>
      </w:r>
      <w:proofErr w:type="gramEnd"/>
      <w:r>
        <w:rPr>
          <w:rFonts w:eastAsia="仿宋_GB2312" w:hint="eastAsia"/>
          <w:sz w:val="32"/>
          <w:szCs w:val="32"/>
        </w:rPr>
        <w:t>上市后研究，以及以市场推广为主要目的</w:t>
      </w:r>
      <w:proofErr w:type="gramStart"/>
      <w:r>
        <w:rPr>
          <w:rFonts w:eastAsia="仿宋_GB2312" w:hint="eastAsia"/>
          <w:sz w:val="32"/>
          <w:szCs w:val="32"/>
        </w:rPr>
        <w:t>的</w:t>
      </w:r>
      <w:proofErr w:type="gramEnd"/>
      <w:r>
        <w:rPr>
          <w:rFonts w:eastAsia="仿宋_GB2312" w:hint="eastAsia"/>
          <w:sz w:val="32"/>
          <w:szCs w:val="32"/>
        </w:rPr>
        <w:t>患者支持项目、市场调研、患者教育活动等。这些活动中发现的不良事件均应收集并按要求报告。</w:t>
      </w:r>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持有人及合同研究单位均可报告不良事件，为避免重复报告持有人应与研究单位在相关协议中</w:t>
      </w:r>
      <w:proofErr w:type="gramStart"/>
      <w:r>
        <w:rPr>
          <w:rFonts w:eastAsia="仿宋_GB2312" w:hint="eastAsia"/>
          <w:sz w:val="32"/>
          <w:szCs w:val="32"/>
        </w:rPr>
        <w:t>明确报告</w:t>
      </w:r>
      <w:proofErr w:type="gramEnd"/>
      <w:r>
        <w:rPr>
          <w:rFonts w:eastAsia="仿宋_GB2312" w:hint="eastAsia"/>
          <w:sz w:val="32"/>
          <w:szCs w:val="32"/>
        </w:rPr>
        <w:t>主体。原则上报告主体为持有人，但持有人不得以任何理由和手段干涉研究单位（者）的报告行为。</w:t>
      </w:r>
    </w:p>
    <w:p w:rsidR="009A2B95" w:rsidRDefault="00EB693B">
      <w:pPr>
        <w:numPr>
          <w:ilvl w:val="0"/>
          <w:numId w:val="3"/>
        </w:numPr>
        <w:overflowPunct w:val="0"/>
        <w:adjustRightInd w:val="0"/>
        <w:snapToGrid w:val="0"/>
        <w:spacing w:line="360" w:lineRule="auto"/>
        <w:outlineLvl w:val="1"/>
        <w:rPr>
          <w:rFonts w:eastAsia="仿宋_GB2312"/>
          <w:b/>
          <w:bCs/>
          <w:sz w:val="32"/>
          <w:szCs w:val="32"/>
        </w:rPr>
      </w:pPr>
      <w:bookmarkStart w:id="49" w:name="_Toc19471"/>
      <w:bookmarkStart w:id="50" w:name="_Toc9053"/>
      <w:bookmarkStart w:id="51" w:name="_Toc26276"/>
      <w:bookmarkStart w:id="52" w:name="_Toc23891"/>
      <w:bookmarkStart w:id="53" w:name="_Toc1197"/>
      <w:bookmarkStart w:id="54" w:name="_Toc15640"/>
      <w:bookmarkStart w:id="55" w:name="_Toc27893"/>
      <w:r>
        <w:rPr>
          <w:rFonts w:eastAsia="仿宋_GB2312" w:hint="eastAsia"/>
          <w:b/>
          <w:bCs/>
          <w:sz w:val="32"/>
          <w:szCs w:val="32"/>
        </w:rPr>
        <w:t>其他途径</w:t>
      </w:r>
      <w:bookmarkEnd w:id="49"/>
      <w:bookmarkEnd w:id="50"/>
      <w:bookmarkEnd w:id="51"/>
      <w:bookmarkEnd w:id="52"/>
      <w:bookmarkEnd w:id="53"/>
      <w:bookmarkEnd w:id="54"/>
      <w:bookmarkEnd w:id="55"/>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除以上途径外，持有人还需对通过其他途径发现或获知的不良事件进行收集报告，如</w:t>
      </w:r>
      <w:bookmarkStart w:id="56" w:name="_Toc7384"/>
      <w:bookmarkStart w:id="57" w:name="_Toc6029"/>
      <w:bookmarkStart w:id="58" w:name="_Toc5968"/>
      <w:bookmarkStart w:id="59" w:name="_Toc9657"/>
      <w:bookmarkStart w:id="60" w:name="_Toc22112"/>
      <w:bookmarkStart w:id="61" w:name="_Toc25588"/>
      <w:r>
        <w:rPr>
          <w:rFonts w:eastAsia="仿宋_GB2312" w:hint="eastAsia"/>
          <w:sz w:val="32"/>
          <w:szCs w:val="32"/>
        </w:rPr>
        <w:t>互联网及相关途径</w:t>
      </w:r>
      <w:bookmarkEnd w:id="56"/>
      <w:bookmarkEnd w:id="57"/>
      <w:bookmarkEnd w:id="58"/>
      <w:bookmarkEnd w:id="59"/>
      <w:bookmarkEnd w:id="60"/>
      <w:bookmarkEnd w:id="61"/>
      <w:r>
        <w:rPr>
          <w:rFonts w:eastAsia="仿宋_GB2312" w:hint="eastAsia"/>
          <w:sz w:val="32"/>
          <w:szCs w:val="32"/>
        </w:rPr>
        <w:t>。</w:t>
      </w:r>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lastRenderedPageBreak/>
        <w:t>持有人应在其发起或资助的网站中收集不良事件信息，对于从其他网站获知的不良事件，持有人应酌情考虑是否报告。持有人应利用公司网站收集不良事件信息，如在网站建立报告不良事件的专门路径，提供报告方式、报告表和报告指导等。持有人发起或承办的平面媒体、数字媒体、社交媒体</w:t>
      </w:r>
      <w:r>
        <w:rPr>
          <w:rFonts w:eastAsia="仿宋_GB2312" w:hint="eastAsia"/>
          <w:sz w:val="32"/>
          <w:szCs w:val="32"/>
        </w:rPr>
        <w:t>/</w:t>
      </w:r>
      <w:r>
        <w:rPr>
          <w:rFonts w:eastAsia="仿宋_GB2312" w:hint="eastAsia"/>
          <w:sz w:val="32"/>
          <w:szCs w:val="32"/>
        </w:rPr>
        <w:t>平台，如企业公众</w:t>
      </w:r>
      <w:proofErr w:type="gramStart"/>
      <w:r>
        <w:rPr>
          <w:rFonts w:eastAsia="仿宋_GB2312" w:hint="eastAsia"/>
          <w:sz w:val="32"/>
          <w:szCs w:val="32"/>
        </w:rPr>
        <w:t>微信账号</w:t>
      </w:r>
      <w:proofErr w:type="gramEnd"/>
      <w:r>
        <w:rPr>
          <w:rFonts w:eastAsia="仿宋_GB2312" w:hint="eastAsia"/>
          <w:sz w:val="32"/>
          <w:szCs w:val="32"/>
        </w:rPr>
        <w:t>、微博、论坛、病例分享会等，也是收集不良事件信息的来源之一。</w:t>
      </w:r>
    </w:p>
    <w:p w:rsidR="009A2B95" w:rsidRDefault="00D41EF5">
      <w:pPr>
        <w:overflowPunct w:val="0"/>
        <w:adjustRightInd w:val="0"/>
        <w:snapToGrid w:val="0"/>
        <w:spacing w:line="360" w:lineRule="auto"/>
        <w:ind w:firstLineChars="200" w:firstLine="640"/>
        <w:outlineLvl w:val="0"/>
        <w:rPr>
          <w:rFonts w:ascii="黑体" w:eastAsia="黑体" w:hAnsi="黑体" w:cs="黑体"/>
          <w:sz w:val="32"/>
          <w:szCs w:val="32"/>
        </w:rPr>
      </w:pPr>
      <w:bookmarkStart w:id="62" w:name="_Toc30768"/>
      <w:bookmarkStart w:id="63" w:name="_Toc27140"/>
      <w:bookmarkStart w:id="64" w:name="_Toc6505"/>
      <w:bookmarkStart w:id="65" w:name="_Toc26463"/>
      <w:bookmarkStart w:id="66" w:name="_Toc28393"/>
      <w:bookmarkStart w:id="67" w:name="_Toc12530"/>
      <w:bookmarkStart w:id="68" w:name="_Toc12265"/>
      <w:r>
        <w:rPr>
          <w:rFonts w:ascii="黑体" w:eastAsia="黑体" w:hAnsi="黑体" w:cs="黑体" w:hint="eastAsia"/>
          <w:sz w:val="32"/>
          <w:szCs w:val="32"/>
        </w:rPr>
        <w:t>三</w:t>
      </w:r>
      <w:r w:rsidR="00EB693B">
        <w:rPr>
          <w:rFonts w:ascii="黑体" w:eastAsia="黑体" w:hAnsi="黑体" w:cs="黑体" w:hint="eastAsia"/>
          <w:sz w:val="32"/>
          <w:szCs w:val="32"/>
        </w:rPr>
        <w:t>、不良事件的</w:t>
      </w:r>
      <w:bookmarkEnd w:id="62"/>
      <w:bookmarkEnd w:id="63"/>
      <w:bookmarkEnd w:id="64"/>
      <w:bookmarkEnd w:id="65"/>
      <w:bookmarkEnd w:id="66"/>
      <w:bookmarkEnd w:id="67"/>
      <w:r w:rsidR="00EB693B">
        <w:rPr>
          <w:rFonts w:ascii="黑体" w:eastAsia="黑体" w:hAnsi="黑体" w:cs="黑体" w:hint="eastAsia"/>
          <w:sz w:val="32"/>
          <w:szCs w:val="32"/>
        </w:rPr>
        <w:t>处置</w:t>
      </w:r>
      <w:bookmarkEnd w:id="68"/>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为确保不良事件收集、传递、报告的准确性以及可追溯性，持有人应建立并保存不良事件信息收集、报告的记录文件，并对不良事件进行核实确认。</w:t>
      </w:r>
    </w:p>
    <w:p w:rsidR="009A2B95" w:rsidRDefault="00EB693B">
      <w:pPr>
        <w:numPr>
          <w:ilvl w:val="0"/>
          <w:numId w:val="4"/>
        </w:numPr>
        <w:overflowPunct w:val="0"/>
        <w:adjustRightInd w:val="0"/>
        <w:snapToGrid w:val="0"/>
        <w:spacing w:line="360" w:lineRule="auto"/>
        <w:outlineLvl w:val="1"/>
        <w:rPr>
          <w:rFonts w:eastAsia="仿宋_GB2312"/>
          <w:b/>
          <w:bCs/>
          <w:sz w:val="32"/>
          <w:szCs w:val="32"/>
        </w:rPr>
      </w:pPr>
      <w:bookmarkStart w:id="69" w:name="_Toc30848"/>
      <w:bookmarkStart w:id="70" w:name="_Toc31276"/>
      <w:bookmarkStart w:id="71" w:name="_Toc14591"/>
      <w:bookmarkStart w:id="72" w:name="_Toc27521"/>
      <w:bookmarkStart w:id="73" w:name="_Toc328"/>
      <w:bookmarkStart w:id="74" w:name="_Toc32317"/>
      <w:bookmarkStart w:id="75" w:name="_Toc3714"/>
      <w:r>
        <w:rPr>
          <w:rFonts w:eastAsia="仿宋_GB2312" w:hint="eastAsia"/>
          <w:b/>
          <w:bCs/>
          <w:sz w:val="32"/>
          <w:szCs w:val="32"/>
        </w:rPr>
        <w:t>记录</w:t>
      </w:r>
      <w:bookmarkEnd w:id="69"/>
      <w:bookmarkEnd w:id="70"/>
      <w:bookmarkEnd w:id="71"/>
      <w:bookmarkEnd w:id="72"/>
      <w:bookmarkEnd w:id="73"/>
      <w:bookmarkEnd w:id="74"/>
      <w:bookmarkEnd w:id="75"/>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对于直接发现的不良事件，持有人应全面获取相关信息，包括不良事件发生情况、器械使用情况、患者情况、怀疑及并用药械情况等，如果确实存在困难，则尽量获取对产品风险评价更为重要的信息，并进行详细记录。</w:t>
      </w:r>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对于通过电子邮件、信函、电话、医生面谈等途径间接获知的不良事件，持有人应进行原始记录，记录内容除不良事件信息外，还应包括记录日期、报告人、其他信息提供人等。原始记录可以是纸质纪录，也可以是电子文档、录音或网站截屏等。</w:t>
      </w:r>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对于文献检索获知的不良事件，则应记录检索日期、人员、检索策略等，保存检索获得的原始文献，如果未检索到相关信息</w:t>
      </w:r>
      <w:r>
        <w:rPr>
          <w:rFonts w:eastAsia="仿宋_GB2312" w:hint="eastAsia"/>
          <w:sz w:val="32"/>
          <w:szCs w:val="32"/>
        </w:rPr>
        <w:lastRenderedPageBreak/>
        <w:t>也应记录。</w:t>
      </w:r>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记录应真实、准确、客观并妥善保存。持有人应对不良事件记录进行编号，编号应有连续性，根据编号可追溯到记录。</w:t>
      </w:r>
    </w:p>
    <w:p w:rsidR="009A2B95" w:rsidRDefault="00EB693B">
      <w:pPr>
        <w:numPr>
          <w:ilvl w:val="0"/>
          <w:numId w:val="4"/>
        </w:numPr>
        <w:overflowPunct w:val="0"/>
        <w:adjustRightInd w:val="0"/>
        <w:snapToGrid w:val="0"/>
        <w:spacing w:line="360" w:lineRule="auto"/>
        <w:outlineLvl w:val="1"/>
        <w:rPr>
          <w:rFonts w:eastAsia="仿宋_GB2312"/>
          <w:b/>
          <w:bCs/>
          <w:sz w:val="32"/>
          <w:szCs w:val="32"/>
        </w:rPr>
      </w:pPr>
      <w:bookmarkStart w:id="76" w:name="_Toc5755"/>
      <w:bookmarkStart w:id="77" w:name="_Toc4097"/>
      <w:bookmarkStart w:id="78" w:name="_Toc26582"/>
      <w:bookmarkStart w:id="79" w:name="_Toc11735"/>
      <w:bookmarkStart w:id="80" w:name="_Toc25926"/>
      <w:bookmarkStart w:id="81" w:name="_Toc4949"/>
      <w:bookmarkStart w:id="82" w:name="_Toc6214"/>
      <w:r>
        <w:rPr>
          <w:rFonts w:eastAsia="仿宋_GB2312" w:hint="eastAsia"/>
          <w:b/>
          <w:bCs/>
          <w:sz w:val="32"/>
          <w:szCs w:val="32"/>
        </w:rPr>
        <w:t>传递</w:t>
      </w:r>
      <w:bookmarkEnd w:id="76"/>
      <w:bookmarkEnd w:id="77"/>
      <w:bookmarkEnd w:id="78"/>
      <w:bookmarkEnd w:id="79"/>
      <w:bookmarkEnd w:id="80"/>
      <w:bookmarkEnd w:id="81"/>
      <w:bookmarkEnd w:id="82"/>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持有人应明确不良事件的传递时限，确保报告的及时性。记录信息在相关部门及人员传递中，应保持真实性和完整性，所有缺失的信息及对原始数据的改动均应备注说明。</w:t>
      </w:r>
    </w:p>
    <w:p w:rsidR="009A2B95" w:rsidRDefault="00EB693B">
      <w:pPr>
        <w:numPr>
          <w:ilvl w:val="0"/>
          <w:numId w:val="4"/>
        </w:numPr>
        <w:overflowPunct w:val="0"/>
        <w:adjustRightInd w:val="0"/>
        <w:snapToGrid w:val="0"/>
        <w:spacing w:line="360" w:lineRule="auto"/>
        <w:outlineLvl w:val="1"/>
        <w:rPr>
          <w:rFonts w:eastAsia="仿宋_GB2312"/>
          <w:b/>
          <w:bCs/>
          <w:sz w:val="32"/>
          <w:szCs w:val="32"/>
        </w:rPr>
      </w:pPr>
      <w:bookmarkStart w:id="83" w:name="_Toc21947"/>
      <w:bookmarkStart w:id="84" w:name="_Toc2790"/>
      <w:bookmarkStart w:id="85" w:name="_Toc4503"/>
      <w:bookmarkStart w:id="86" w:name="_Toc24535"/>
      <w:bookmarkStart w:id="87" w:name="_Toc17870"/>
      <w:bookmarkStart w:id="88" w:name="_Toc427"/>
      <w:bookmarkStart w:id="89" w:name="_Toc30339"/>
      <w:r>
        <w:rPr>
          <w:rFonts w:eastAsia="仿宋_GB2312" w:hint="eastAsia"/>
          <w:b/>
          <w:bCs/>
          <w:sz w:val="32"/>
          <w:szCs w:val="32"/>
        </w:rPr>
        <w:t>核实</w:t>
      </w:r>
      <w:bookmarkEnd w:id="83"/>
      <w:bookmarkEnd w:id="84"/>
      <w:bookmarkEnd w:id="85"/>
      <w:bookmarkEnd w:id="86"/>
      <w:bookmarkEnd w:id="87"/>
      <w:bookmarkEnd w:id="88"/>
      <w:bookmarkEnd w:id="89"/>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持有人应对不良事件信息的真实性和准确性进行审核，如存在疑问需对相关信息进行核实。如果不良事件来自持有人外的合作单位，如经营企业、使用单位、文献检索机构、研究合作单位等，双方协议中应有约束规定，确保合作方收集的信息真实、准确。持有人有责任对合作方提供的不良事件信息进行检查或复核，并对提交给监管部门的不良事件报告质量负责。</w:t>
      </w:r>
    </w:p>
    <w:p w:rsidR="009A2B95" w:rsidRDefault="00EB693B">
      <w:pPr>
        <w:numPr>
          <w:ilvl w:val="0"/>
          <w:numId w:val="4"/>
        </w:numPr>
        <w:overflowPunct w:val="0"/>
        <w:adjustRightInd w:val="0"/>
        <w:snapToGrid w:val="0"/>
        <w:spacing w:line="360" w:lineRule="auto"/>
        <w:outlineLvl w:val="1"/>
        <w:rPr>
          <w:rFonts w:eastAsia="仿宋_GB2312"/>
          <w:b/>
          <w:bCs/>
          <w:sz w:val="32"/>
          <w:szCs w:val="32"/>
        </w:rPr>
      </w:pPr>
      <w:bookmarkStart w:id="90" w:name="_Toc28177"/>
      <w:bookmarkStart w:id="91" w:name="_Toc17996"/>
      <w:bookmarkStart w:id="92" w:name="_Toc656"/>
      <w:bookmarkStart w:id="93" w:name="_Toc25419"/>
      <w:bookmarkStart w:id="94" w:name="_Toc28459"/>
      <w:bookmarkStart w:id="95" w:name="_Toc16711"/>
      <w:bookmarkStart w:id="96" w:name="_Toc25763"/>
      <w:r>
        <w:rPr>
          <w:rFonts w:eastAsia="仿宋_GB2312" w:hint="eastAsia"/>
          <w:b/>
          <w:bCs/>
          <w:sz w:val="32"/>
          <w:szCs w:val="32"/>
        </w:rPr>
        <w:t>确认</w:t>
      </w:r>
      <w:bookmarkEnd w:id="90"/>
      <w:bookmarkEnd w:id="91"/>
      <w:bookmarkEnd w:id="92"/>
      <w:bookmarkEnd w:id="93"/>
      <w:bookmarkEnd w:id="94"/>
      <w:bookmarkEnd w:id="95"/>
      <w:bookmarkEnd w:id="96"/>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对收集到的不良事件，持有人应确认其是否需要报告至监管部门。确认的内容主要包括：是否为有效报告、是否在报告范围之内、是否为重复报告等。</w:t>
      </w:r>
    </w:p>
    <w:p w:rsidR="009A2B95" w:rsidRDefault="00EB693B">
      <w:pPr>
        <w:numPr>
          <w:ilvl w:val="0"/>
          <w:numId w:val="5"/>
        </w:numPr>
        <w:overflowPunct w:val="0"/>
        <w:adjustRightInd w:val="0"/>
        <w:snapToGrid w:val="0"/>
        <w:spacing w:line="360" w:lineRule="auto"/>
        <w:ind w:firstLineChars="200" w:firstLine="643"/>
        <w:outlineLvl w:val="2"/>
        <w:rPr>
          <w:rFonts w:eastAsia="仿宋_GB2312"/>
          <w:b/>
          <w:bCs/>
          <w:sz w:val="32"/>
          <w:szCs w:val="32"/>
        </w:rPr>
      </w:pPr>
      <w:bookmarkStart w:id="97" w:name="_Toc8385"/>
      <w:bookmarkStart w:id="98" w:name="_Toc21508"/>
      <w:bookmarkStart w:id="99" w:name="_Toc20434"/>
      <w:bookmarkStart w:id="100" w:name="_Toc3168"/>
      <w:bookmarkStart w:id="101" w:name="_Toc4651"/>
      <w:bookmarkStart w:id="102" w:name="_Toc14200"/>
      <w:bookmarkStart w:id="103" w:name="_Toc19819"/>
      <w:r>
        <w:rPr>
          <w:rFonts w:eastAsia="仿宋_GB2312" w:hint="eastAsia"/>
          <w:b/>
          <w:bCs/>
          <w:sz w:val="32"/>
          <w:szCs w:val="32"/>
        </w:rPr>
        <w:t>有效报告</w:t>
      </w:r>
      <w:bookmarkEnd w:id="97"/>
      <w:bookmarkEnd w:id="98"/>
      <w:bookmarkEnd w:id="99"/>
      <w:bookmarkEnd w:id="100"/>
      <w:bookmarkEnd w:id="101"/>
      <w:bookmarkEnd w:id="102"/>
      <w:bookmarkEnd w:id="103"/>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有效的不良事件报告应包括以下要素：可识别的患者（医疗器械故障相关不良事件除外）、可识别的报告者、怀疑医疗器械产品、不良事件情况。如果四要素不全，视为无效报告，应补充</w:t>
      </w:r>
      <w:r>
        <w:rPr>
          <w:rFonts w:eastAsia="仿宋_GB2312" w:hint="eastAsia"/>
          <w:sz w:val="32"/>
          <w:szCs w:val="32"/>
        </w:rPr>
        <w:lastRenderedPageBreak/>
        <w:t>信息后报告。</w:t>
      </w:r>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可识别”是指能够确认患者和报告者存在。当患者的下列至少一项信息可获得，即认为患者可识别：年龄、出生日期、性别、姓名或姓名缩写、患者的其他识别代码。提供不良事件信息的其他人员也应是可识别。</w:t>
      </w:r>
    </w:p>
    <w:p w:rsidR="009A2B95" w:rsidRDefault="00EB693B">
      <w:pPr>
        <w:numPr>
          <w:ilvl w:val="0"/>
          <w:numId w:val="5"/>
        </w:numPr>
        <w:overflowPunct w:val="0"/>
        <w:adjustRightInd w:val="0"/>
        <w:snapToGrid w:val="0"/>
        <w:spacing w:line="360" w:lineRule="auto"/>
        <w:ind w:firstLineChars="200" w:firstLine="643"/>
        <w:outlineLvl w:val="2"/>
        <w:rPr>
          <w:rFonts w:eastAsia="仿宋_GB2312"/>
          <w:b/>
          <w:bCs/>
          <w:sz w:val="32"/>
          <w:szCs w:val="32"/>
        </w:rPr>
      </w:pPr>
      <w:bookmarkStart w:id="104" w:name="_Toc11915"/>
      <w:bookmarkStart w:id="105" w:name="_Toc11253"/>
      <w:bookmarkStart w:id="106" w:name="_Toc27582"/>
      <w:bookmarkStart w:id="107" w:name="_Toc23186"/>
      <w:bookmarkStart w:id="108" w:name="_Toc24991"/>
      <w:bookmarkStart w:id="109" w:name="_Toc15007"/>
      <w:bookmarkStart w:id="110" w:name="_Toc20616"/>
      <w:r>
        <w:rPr>
          <w:rFonts w:eastAsia="仿宋_GB2312" w:hint="eastAsia"/>
          <w:b/>
          <w:bCs/>
          <w:sz w:val="32"/>
          <w:szCs w:val="32"/>
        </w:rPr>
        <w:t>报告范围</w:t>
      </w:r>
      <w:bookmarkEnd w:id="104"/>
      <w:bookmarkEnd w:id="105"/>
      <w:bookmarkEnd w:id="106"/>
      <w:bookmarkEnd w:id="107"/>
      <w:bookmarkEnd w:id="108"/>
      <w:bookmarkEnd w:id="109"/>
      <w:bookmarkEnd w:id="110"/>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持有人报告不良事件应遵循可疑即报的原则，即怀疑某事件为医疗器械不良事件时，均可以作为医疗器械不良事件进行报告。报告范围包括：导致或者可能导致严重伤害或者死亡的医疗器械不良事件应报告；创新医疗器械在首个注册周期内，应报告该医疗器械产品的所有不良事件。</w:t>
      </w:r>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进口医疗器械的境外持有人和在境外销售国产医疗器械的持有人，其产品在境外发生的导致或者可能导致严重伤害或者死亡的医疗器械不良事件，也属于向监管部门报告的范围。（详见《医疗器械不良事件报告范围指导原则》）</w:t>
      </w:r>
    </w:p>
    <w:p w:rsidR="009A2B95" w:rsidRDefault="00EB693B">
      <w:pPr>
        <w:numPr>
          <w:ilvl w:val="0"/>
          <w:numId w:val="5"/>
        </w:numPr>
        <w:overflowPunct w:val="0"/>
        <w:adjustRightInd w:val="0"/>
        <w:snapToGrid w:val="0"/>
        <w:spacing w:line="360" w:lineRule="auto"/>
        <w:ind w:firstLineChars="200" w:firstLine="643"/>
        <w:outlineLvl w:val="2"/>
        <w:rPr>
          <w:rFonts w:eastAsia="仿宋_GB2312"/>
          <w:b/>
          <w:bCs/>
          <w:sz w:val="32"/>
          <w:szCs w:val="32"/>
        </w:rPr>
      </w:pPr>
      <w:bookmarkStart w:id="111" w:name="_Toc28172"/>
      <w:bookmarkStart w:id="112" w:name="_Toc22527"/>
      <w:bookmarkStart w:id="113" w:name="_Toc10651"/>
      <w:bookmarkStart w:id="114" w:name="_Toc28666"/>
      <w:bookmarkStart w:id="115" w:name="_Toc18466"/>
      <w:bookmarkStart w:id="116" w:name="_Toc12933"/>
      <w:bookmarkStart w:id="117" w:name="_Toc18945"/>
      <w:r>
        <w:rPr>
          <w:rFonts w:eastAsia="仿宋_GB2312" w:hint="eastAsia"/>
          <w:b/>
          <w:bCs/>
          <w:sz w:val="32"/>
          <w:szCs w:val="32"/>
        </w:rPr>
        <w:t>重复报告</w:t>
      </w:r>
      <w:bookmarkEnd w:id="111"/>
      <w:bookmarkEnd w:id="112"/>
      <w:bookmarkEnd w:id="113"/>
      <w:bookmarkEnd w:id="114"/>
      <w:bookmarkEnd w:id="115"/>
      <w:bookmarkEnd w:id="116"/>
      <w:bookmarkEnd w:id="117"/>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为避免因收集途径不同而导致的重复报告，持有人应对收集到的不良事件进行查重，剔除重复信息后上报。如果不能确定是否重复则应报告。</w:t>
      </w:r>
    </w:p>
    <w:p w:rsidR="009A2B95" w:rsidRDefault="00EB693B">
      <w:pPr>
        <w:numPr>
          <w:ilvl w:val="0"/>
          <w:numId w:val="5"/>
        </w:numPr>
        <w:overflowPunct w:val="0"/>
        <w:adjustRightInd w:val="0"/>
        <w:snapToGrid w:val="0"/>
        <w:spacing w:line="360" w:lineRule="auto"/>
        <w:ind w:firstLineChars="200" w:firstLine="643"/>
        <w:outlineLvl w:val="2"/>
        <w:rPr>
          <w:rFonts w:eastAsia="仿宋_GB2312"/>
          <w:b/>
          <w:bCs/>
          <w:sz w:val="32"/>
          <w:szCs w:val="32"/>
        </w:rPr>
      </w:pPr>
      <w:bookmarkStart w:id="118" w:name="_Toc696"/>
      <w:bookmarkStart w:id="119" w:name="_Toc14113"/>
      <w:bookmarkStart w:id="120" w:name="_Toc30546"/>
      <w:bookmarkStart w:id="121" w:name="_Toc7313"/>
      <w:bookmarkStart w:id="122" w:name="_Toc21900"/>
      <w:bookmarkStart w:id="123" w:name="_Toc12008"/>
      <w:bookmarkStart w:id="124" w:name="_Toc25493"/>
      <w:r>
        <w:rPr>
          <w:rFonts w:eastAsia="仿宋_GB2312" w:hint="eastAsia"/>
          <w:b/>
          <w:bCs/>
          <w:sz w:val="32"/>
          <w:szCs w:val="32"/>
        </w:rPr>
        <w:t>未提交报告的处理</w:t>
      </w:r>
      <w:bookmarkEnd w:id="118"/>
      <w:bookmarkEnd w:id="119"/>
      <w:bookmarkEnd w:id="120"/>
      <w:bookmarkEnd w:id="121"/>
      <w:bookmarkEnd w:id="122"/>
      <w:bookmarkEnd w:id="123"/>
      <w:bookmarkEnd w:id="124"/>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经确认无需向监管部门提交的不良事件，持有人应记录不提交的原因，并保存原始记录。</w:t>
      </w:r>
    </w:p>
    <w:p w:rsidR="009A2B95" w:rsidRDefault="00D41EF5">
      <w:pPr>
        <w:overflowPunct w:val="0"/>
        <w:adjustRightInd w:val="0"/>
        <w:snapToGrid w:val="0"/>
        <w:spacing w:line="360" w:lineRule="auto"/>
        <w:ind w:firstLineChars="200" w:firstLine="640"/>
        <w:outlineLvl w:val="0"/>
        <w:rPr>
          <w:rFonts w:ascii="黑体" w:eastAsia="黑体" w:hAnsi="黑体" w:cs="黑体"/>
          <w:sz w:val="32"/>
          <w:szCs w:val="32"/>
        </w:rPr>
      </w:pPr>
      <w:bookmarkStart w:id="125" w:name="_Toc19308"/>
      <w:bookmarkStart w:id="126" w:name="_Toc18901"/>
      <w:bookmarkStart w:id="127" w:name="_Toc939"/>
      <w:bookmarkStart w:id="128" w:name="_Toc18947"/>
      <w:bookmarkStart w:id="129" w:name="_Toc27585"/>
      <w:bookmarkStart w:id="130" w:name="_Toc27180"/>
      <w:bookmarkStart w:id="131" w:name="_Toc6546"/>
      <w:r>
        <w:rPr>
          <w:rFonts w:ascii="黑体" w:eastAsia="黑体" w:hAnsi="黑体" w:cs="黑体" w:hint="eastAsia"/>
          <w:sz w:val="32"/>
          <w:szCs w:val="32"/>
        </w:rPr>
        <w:lastRenderedPageBreak/>
        <w:t>四</w:t>
      </w:r>
      <w:r w:rsidR="00EB693B">
        <w:rPr>
          <w:rFonts w:ascii="黑体" w:eastAsia="黑体" w:hAnsi="黑体" w:cs="黑体" w:hint="eastAsia"/>
          <w:sz w:val="32"/>
          <w:szCs w:val="32"/>
        </w:rPr>
        <w:t>、不良事件的原因分析及评价</w:t>
      </w:r>
      <w:bookmarkEnd w:id="125"/>
      <w:bookmarkEnd w:id="126"/>
      <w:bookmarkEnd w:id="127"/>
      <w:bookmarkEnd w:id="128"/>
      <w:bookmarkEnd w:id="129"/>
      <w:bookmarkEnd w:id="130"/>
      <w:bookmarkEnd w:id="131"/>
    </w:p>
    <w:p w:rsidR="009A2B95" w:rsidRDefault="00EB693B">
      <w:pPr>
        <w:overflowPunct w:val="0"/>
        <w:adjustRightInd w:val="0"/>
        <w:snapToGrid w:val="0"/>
        <w:spacing w:line="360" w:lineRule="auto"/>
        <w:ind w:firstLineChars="200" w:firstLine="640"/>
        <w:rPr>
          <w:rFonts w:eastAsia="仿宋_GB2312"/>
          <w:b/>
          <w:bCs/>
          <w:sz w:val="32"/>
          <w:szCs w:val="32"/>
        </w:rPr>
      </w:pPr>
      <w:r>
        <w:rPr>
          <w:rFonts w:eastAsia="仿宋_GB2312" w:hint="eastAsia"/>
          <w:sz w:val="32"/>
          <w:szCs w:val="32"/>
        </w:rPr>
        <w:t>持有人收到不良事件后，应对不良事件的严重程度进行判定，对不良事件发生原因进行分析，并对医疗器械与不良事件关联性，以及不良事件中产品可能存在的相关风险做出评价。</w:t>
      </w:r>
    </w:p>
    <w:p w:rsidR="009A2B95" w:rsidRDefault="00EB693B">
      <w:pPr>
        <w:numPr>
          <w:ilvl w:val="0"/>
          <w:numId w:val="6"/>
        </w:numPr>
        <w:overflowPunct w:val="0"/>
        <w:adjustRightInd w:val="0"/>
        <w:snapToGrid w:val="0"/>
        <w:spacing w:line="360" w:lineRule="auto"/>
        <w:outlineLvl w:val="1"/>
        <w:rPr>
          <w:rFonts w:eastAsia="仿宋_GB2312"/>
          <w:b/>
          <w:bCs/>
          <w:sz w:val="32"/>
          <w:szCs w:val="32"/>
        </w:rPr>
      </w:pPr>
      <w:bookmarkStart w:id="132" w:name="_Toc10511"/>
      <w:bookmarkStart w:id="133" w:name="_Toc10027"/>
      <w:bookmarkStart w:id="134" w:name="_Toc19542"/>
      <w:bookmarkStart w:id="135" w:name="_Toc14717"/>
      <w:bookmarkStart w:id="136" w:name="_Toc15156"/>
      <w:bookmarkStart w:id="137" w:name="_Toc25672"/>
      <w:bookmarkStart w:id="138" w:name="_Toc29027"/>
      <w:r>
        <w:rPr>
          <w:rFonts w:eastAsia="仿宋_GB2312" w:hint="eastAsia"/>
          <w:b/>
          <w:bCs/>
          <w:sz w:val="32"/>
          <w:szCs w:val="32"/>
        </w:rPr>
        <w:t>严重程度判定</w:t>
      </w:r>
      <w:bookmarkEnd w:id="132"/>
      <w:bookmarkEnd w:id="133"/>
      <w:bookmarkEnd w:id="134"/>
      <w:bookmarkEnd w:id="135"/>
      <w:bookmarkEnd w:id="136"/>
      <w:bookmarkEnd w:id="137"/>
      <w:bookmarkEnd w:id="138"/>
    </w:p>
    <w:p w:rsidR="009A2B95" w:rsidRDefault="00EB693B">
      <w:pPr>
        <w:pStyle w:val="a9"/>
        <w:numPr>
          <w:ilvl w:val="0"/>
          <w:numId w:val="7"/>
        </w:numPr>
        <w:overflowPunct w:val="0"/>
        <w:adjustRightInd w:val="0"/>
        <w:snapToGrid w:val="0"/>
        <w:spacing w:line="360" w:lineRule="auto"/>
        <w:ind w:firstLineChars="0"/>
        <w:rPr>
          <w:rFonts w:eastAsia="仿宋_GB2312"/>
          <w:sz w:val="32"/>
          <w:szCs w:val="32"/>
        </w:rPr>
      </w:pPr>
      <w:r>
        <w:rPr>
          <w:rFonts w:eastAsia="仿宋_GB2312" w:hint="eastAsia"/>
          <w:sz w:val="32"/>
          <w:szCs w:val="32"/>
        </w:rPr>
        <w:t>死亡；</w:t>
      </w:r>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 xml:space="preserve">2. </w:t>
      </w:r>
      <w:r>
        <w:rPr>
          <w:rFonts w:eastAsia="仿宋_GB2312" w:hint="eastAsia"/>
          <w:sz w:val="32"/>
          <w:szCs w:val="32"/>
        </w:rPr>
        <w:t>严重伤害：（</w:t>
      </w:r>
      <w:r>
        <w:rPr>
          <w:rFonts w:eastAsia="仿宋_GB2312" w:hint="eastAsia"/>
          <w:sz w:val="32"/>
          <w:szCs w:val="32"/>
        </w:rPr>
        <w:t>1</w:t>
      </w:r>
      <w:r>
        <w:rPr>
          <w:rFonts w:eastAsia="仿宋_GB2312" w:hint="eastAsia"/>
          <w:sz w:val="32"/>
          <w:szCs w:val="32"/>
        </w:rPr>
        <w:t>）危及生命；（</w:t>
      </w:r>
      <w:r>
        <w:rPr>
          <w:rFonts w:eastAsia="仿宋_GB2312" w:hint="eastAsia"/>
          <w:sz w:val="32"/>
          <w:szCs w:val="32"/>
        </w:rPr>
        <w:t>2</w:t>
      </w:r>
      <w:r>
        <w:rPr>
          <w:rFonts w:eastAsia="仿宋_GB2312" w:hint="eastAsia"/>
          <w:sz w:val="32"/>
          <w:szCs w:val="32"/>
        </w:rPr>
        <w:t>）导致机体功能的永久性伤害或者机体结构的永久性损伤；（</w:t>
      </w:r>
      <w:r>
        <w:rPr>
          <w:rFonts w:eastAsia="仿宋_GB2312" w:hint="eastAsia"/>
          <w:sz w:val="32"/>
          <w:szCs w:val="32"/>
        </w:rPr>
        <w:t>3</w:t>
      </w:r>
      <w:r>
        <w:rPr>
          <w:rFonts w:eastAsia="仿宋_GB2312" w:hint="eastAsia"/>
          <w:sz w:val="32"/>
          <w:szCs w:val="32"/>
        </w:rPr>
        <w:t>）必须采取医疗措施才能避免上述永久性伤害或者损伤。</w:t>
      </w:r>
    </w:p>
    <w:p w:rsidR="009A2B95" w:rsidRDefault="00EB693B">
      <w:pPr>
        <w:numPr>
          <w:ilvl w:val="0"/>
          <w:numId w:val="6"/>
        </w:numPr>
        <w:overflowPunct w:val="0"/>
        <w:adjustRightInd w:val="0"/>
        <w:snapToGrid w:val="0"/>
        <w:spacing w:line="360" w:lineRule="auto"/>
        <w:outlineLvl w:val="1"/>
        <w:rPr>
          <w:rFonts w:eastAsia="仿宋_GB2312"/>
          <w:b/>
          <w:bCs/>
          <w:sz w:val="32"/>
          <w:szCs w:val="32"/>
        </w:rPr>
      </w:pPr>
      <w:bookmarkStart w:id="139" w:name="_Toc28245"/>
      <w:bookmarkStart w:id="140" w:name="_Toc32418"/>
      <w:bookmarkStart w:id="141" w:name="_Toc3919"/>
      <w:bookmarkStart w:id="142" w:name="_Toc251"/>
      <w:bookmarkStart w:id="143" w:name="_Toc25059"/>
      <w:bookmarkStart w:id="144" w:name="_Toc31405"/>
      <w:bookmarkStart w:id="145" w:name="_Toc14022"/>
      <w:r>
        <w:rPr>
          <w:rFonts w:eastAsia="仿宋_GB2312" w:hint="eastAsia"/>
          <w:b/>
          <w:bCs/>
          <w:sz w:val="32"/>
          <w:szCs w:val="32"/>
        </w:rPr>
        <w:t>事件原因分析</w:t>
      </w:r>
      <w:bookmarkEnd w:id="139"/>
      <w:bookmarkEnd w:id="140"/>
      <w:bookmarkEnd w:id="141"/>
      <w:bookmarkEnd w:id="142"/>
      <w:bookmarkEnd w:id="143"/>
      <w:bookmarkEnd w:id="144"/>
      <w:bookmarkEnd w:id="145"/>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持有人应对不良事件的发生原因进行分析判定。不良事件的发生原因可能与以下因素有关：产品设计、原材料、生产工艺、产品质量、运输储存、临床使用、患者疾病进展、并用药械等。</w:t>
      </w:r>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持有人应广泛收集不良事件信息，如现有信息无法完成原因分析，持有人可先行填写初步分析结论或说明，待完成相关调查跟踪及资料汇总后，提交最终结论。</w:t>
      </w:r>
    </w:p>
    <w:p w:rsidR="009A2B95" w:rsidRDefault="00EB693B">
      <w:pPr>
        <w:numPr>
          <w:ilvl w:val="0"/>
          <w:numId w:val="6"/>
        </w:numPr>
        <w:overflowPunct w:val="0"/>
        <w:adjustRightInd w:val="0"/>
        <w:snapToGrid w:val="0"/>
        <w:spacing w:line="360" w:lineRule="auto"/>
        <w:outlineLvl w:val="1"/>
        <w:rPr>
          <w:rFonts w:eastAsia="仿宋_GB2312"/>
          <w:b/>
          <w:bCs/>
          <w:sz w:val="32"/>
          <w:szCs w:val="32"/>
        </w:rPr>
      </w:pPr>
      <w:bookmarkStart w:id="146" w:name="_Toc15874"/>
      <w:bookmarkStart w:id="147" w:name="_Toc18323"/>
      <w:bookmarkStart w:id="148" w:name="_Toc647"/>
      <w:bookmarkStart w:id="149" w:name="_Toc20479"/>
      <w:bookmarkStart w:id="150" w:name="_Toc10613"/>
      <w:bookmarkStart w:id="151" w:name="_Toc5969"/>
      <w:bookmarkStart w:id="152" w:name="_Toc4490"/>
      <w:r>
        <w:rPr>
          <w:rFonts w:eastAsia="仿宋_GB2312" w:hint="eastAsia"/>
          <w:b/>
          <w:bCs/>
          <w:sz w:val="32"/>
          <w:szCs w:val="32"/>
        </w:rPr>
        <w:t>关联性评价</w:t>
      </w:r>
      <w:bookmarkEnd w:id="146"/>
      <w:bookmarkEnd w:id="147"/>
      <w:bookmarkEnd w:id="148"/>
      <w:bookmarkEnd w:id="149"/>
      <w:bookmarkEnd w:id="150"/>
      <w:bookmarkEnd w:id="151"/>
      <w:bookmarkEnd w:id="152"/>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关联性评价也是因果关系评价，即评价医疗器械与发生的不良事件之间的相关性。关联性评价结论包括与产品有关、与产品无关以及无法确定三种。</w:t>
      </w:r>
    </w:p>
    <w:p w:rsidR="009A2B95" w:rsidRDefault="00EB693B">
      <w:pPr>
        <w:numPr>
          <w:ilvl w:val="0"/>
          <w:numId w:val="8"/>
        </w:numPr>
        <w:overflowPunct w:val="0"/>
        <w:adjustRightInd w:val="0"/>
        <w:snapToGrid w:val="0"/>
        <w:spacing w:line="360" w:lineRule="auto"/>
        <w:ind w:firstLineChars="200" w:firstLine="643"/>
        <w:outlineLvl w:val="2"/>
        <w:rPr>
          <w:rFonts w:eastAsia="仿宋_GB2312"/>
          <w:b/>
          <w:bCs/>
          <w:sz w:val="32"/>
          <w:szCs w:val="32"/>
        </w:rPr>
      </w:pPr>
      <w:bookmarkStart w:id="153" w:name="_Toc4027"/>
      <w:bookmarkStart w:id="154" w:name="_Toc21107"/>
      <w:bookmarkStart w:id="155" w:name="_Toc10086"/>
      <w:bookmarkStart w:id="156" w:name="_Toc2720"/>
      <w:bookmarkStart w:id="157" w:name="_Toc26145"/>
      <w:bookmarkStart w:id="158" w:name="_Toc27897"/>
      <w:bookmarkStart w:id="159" w:name="_Toc3105"/>
      <w:r>
        <w:rPr>
          <w:rFonts w:eastAsia="仿宋_GB2312" w:hint="eastAsia"/>
          <w:b/>
          <w:bCs/>
          <w:sz w:val="32"/>
          <w:szCs w:val="32"/>
        </w:rPr>
        <w:t>与产品有关</w:t>
      </w:r>
      <w:bookmarkEnd w:id="153"/>
      <w:bookmarkEnd w:id="154"/>
      <w:bookmarkEnd w:id="155"/>
      <w:bookmarkEnd w:id="156"/>
      <w:bookmarkEnd w:id="157"/>
      <w:bookmarkEnd w:id="158"/>
      <w:bookmarkEnd w:id="159"/>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医疗器械的使用与不良事件的发生存在合理的时间关系，从</w:t>
      </w:r>
      <w:r>
        <w:rPr>
          <w:rFonts w:eastAsia="仿宋_GB2312" w:hint="eastAsia"/>
          <w:sz w:val="32"/>
          <w:szCs w:val="32"/>
        </w:rPr>
        <w:lastRenderedPageBreak/>
        <w:t>产品的机理、使用过程等进行综合分析，初步确认事件与产品存在联系。</w:t>
      </w:r>
    </w:p>
    <w:p w:rsidR="009A2B95" w:rsidRDefault="00EB693B">
      <w:pPr>
        <w:numPr>
          <w:ilvl w:val="0"/>
          <w:numId w:val="8"/>
        </w:numPr>
        <w:overflowPunct w:val="0"/>
        <w:adjustRightInd w:val="0"/>
        <w:snapToGrid w:val="0"/>
        <w:spacing w:line="360" w:lineRule="auto"/>
        <w:ind w:firstLineChars="200" w:firstLine="643"/>
        <w:outlineLvl w:val="2"/>
        <w:rPr>
          <w:rFonts w:eastAsia="仿宋_GB2312"/>
          <w:b/>
          <w:bCs/>
          <w:sz w:val="32"/>
          <w:szCs w:val="32"/>
        </w:rPr>
      </w:pPr>
      <w:bookmarkStart w:id="160" w:name="_Toc25680"/>
      <w:bookmarkStart w:id="161" w:name="_Toc10279"/>
      <w:bookmarkStart w:id="162" w:name="_Toc2329"/>
      <w:bookmarkStart w:id="163" w:name="_Toc8205"/>
      <w:bookmarkStart w:id="164" w:name="_Toc7954"/>
      <w:bookmarkStart w:id="165" w:name="_Toc5735"/>
      <w:bookmarkStart w:id="166" w:name="_Toc6310"/>
      <w:r>
        <w:rPr>
          <w:rFonts w:eastAsia="仿宋_GB2312" w:hint="eastAsia"/>
          <w:b/>
          <w:bCs/>
          <w:sz w:val="32"/>
          <w:szCs w:val="32"/>
        </w:rPr>
        <w:t>与产品无关</w:t>
      </w:r>
      <w:bookmarkEnd w:id="160"/>
      <w:bookmarkEnd w:id="161"/>
      <w:bookmarkEnd w:id="162"/>
      <w:bookmarkEnd w:id="163"/>
      <w:bookmarkEnd w:id="164"/>
      <w:bookmarkEnd w:id="165"/>
      <w:bookmarkEnd w:id="166"/>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医疗器械的使用与不良事件的时间相关性不密切，不良事件表现与医疗器械预期用途不相吻合。</w:t>
      </w:r>
    </w:p>
    <w:p w:rsidR="009A2B95" w:rsidRDefault="00EB693B">
      <w:pPr>
        <w:numPr>
          <w:ilvl w:val="0"/>
          <w:numId w:val="8"/>
        </w:numPr>
        <w:overflowPunct w:val="0"/>
        <w:adjustRightInd w:val="0"/>
        <w:snapToGrid w:val="0"/>
        <w:spacing w:line="360" w:lineRule="auto"/>
        <w:ind w:firstLineChars="200" w:firstLine="643"/>
        <w:outlineLvl w:val="2"/>
        <w:rPr>
          <w:rFonts w:eastAsia="仿宋_GB2312"/>
          <w:b/>
          <w:bCs/>
          <w:sz w:val="32"/>
          <w:szCs w:val="32"/>
        </w:rPr>
      </w:pPr>
      <w:bookmarkStart w:id="167" w:name="_Toc25552"/>
      <w:bookmarkStart w:id="168" w:name="_Toc8354"/>
      <w:bookmarkStart w:id="169" w:name="_Toc5268"/>
      <w:bookmarkStart w:id="170" w:name="_Toc9607"/>
      <w:bookmarkStart w:id="171" w:name="_Toc13164"/>
      <w:bookmarkStart w:id="172" w:name="_Toc27381"/>
      <w:bookmarkStart w:id="173" w:name="_Toc26477"/>
      <w:r>
        <w:rPr>
          <w:rFonts w:eastAsia="仿宋_GB2312" w:hint="eastAsia"/>
          <w:b/>
          <w:bCs/>
          <w:sz w:val="32"/>
          <w:szCs w:val="32"/>
        </w:rPr>
        <w:t>无法确定</w:t>
      </w:r>
      <w:bookmarkEnd w:id="167"/>
      <w:bookmarkEnd w:id="168"/>
      <w:bookmarkEnd w:id="169"/>
      <w:bookmarkEnd w:id="170"/>
      <w:bookmarkEnd w:id="171"/>
      <w:bookmarkEnd w:id="172"/>
      <w:bookmarkEnd w:id="173"/>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不良事件重要信息不齐全或无法获得，不能判断医疗器械与不良事件的相关性，或医疗器械与事件因果关系难以根据填报内容予以明确，无文献资料佐证等。</w:t>
      </w:r>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不良事件初始报告人（如报告不良事件的医生、维修人员等）可能会做出关联性评价。如果持有人的评价结果与初始报告人不一致，应以最严格的评价结果（严格程度：与产品有关</w:t>
      </w:r>
      <w:r>
        <w:rPr>
          <w:rFonts w:eastAsia="仿宋_GB2312" w:hint="eastAsia"/>
          <w:sz w:val="32"/>
          <w:szCs w:val="32"/>
        </w:rPr>
        <w:t>&gt;</w:t>
      </w:r>
      <w:r>
        <w:rPr>
          <w:rFonts w:eastAsia="仿宋_GB2312" w:hint="eastAsia"/>
          <w:sz w:val="32"/>
          <w:szCs w:val="32"/>
        </w:rPr>
        <w:t>无法确定</w:t>
      </w:r>
      <w:r>
        <w:rPr>
          <w:rFonts w:eastAsia="仿宋_GB2312" w:hint="eastAsia"/>
          <w:sz w:val="32"/>
          <w:szCs w:val="32"/>
        </w:rPr>
        <w:t>&gt;</w:t>
      </w:r>
      <w:r>
        <w:rPr>
          <w:rFonts w:eastAsia="仿宋_GB2312" w:hint="eastAsia"/>
          <w:sz w:val="32"/>
          <w:szCs w:val="32"/>
        </w:rPr>
        <w:t>与产品无关）作为关联性评价结果，持有人的不一致意见可在报告中备注说明。</w:t>
      </w:r>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关联性的</w:t>
      </w:r>
      <w:proofErr w:type="gramStart"/>
      <w:r>
        <w:rPr>
          <w:rFonts w:eastAsia="仿宋_GB2312" w:hint="eastAsia"/>
          <w:sz w:val="32"/>
          <w:szCs w:val="32"/>
        </w:rPr>
        <w:t>判断受</w:t>
      </w:r>
      <w:proofErr w:type="gramEnd"/>
      <w:r>
        <w:rPr>
          <w:rFonts w:eastAsia="仿宋_GB2312" w:hint="eastAsia"/>
          <w:sz w:val="32"/>
          <w:szCs w:val="32"/>
        </w:rPr>
        <w:t>多因素影响如原患疾病、并用医疗器械、临床操作因素等，持有人应科学、客观的进行评价，不能盲目将这些因素作为排除医疗器械与不良事件关联性的理由。</w:t>
      </w:r>
    </w:p>
    <w:p w:rsidR="009A2B95" w:rsidRDefault="00EB693B">
      <w:pPr>
        <w:numPr>
          <w:ilvl w:val="0"/>
          <w:numId w:val="6"/>
        </w:numPr>
        <w:overflowPunct w:val="0"/>
        <w:adjustRightInd w:val="0"/>
        <w:snapToGrid w:val="0"/>
        <w:spacing w:line="360" w:lineRule="auto"/>
        <w:outlineLvl w:val="1"/>
        <w:rPr>
          <w:rFonts w:eastAsia="仿宋_GB2312"/>
          <w:b/>
          <w:bCs/>
          <w:sz w:val="32"/>
          <w:szCs w:val="32"/>
        </w:rPr>
      </w:pPr>
      <w:bookmarkStart w:id="174" w:name="_Toc8729"/>
      <w:bookmarkStart w:id="175" w:name="_Toc3257"/>
      <w:bookmarkStart w:id="176" w:name="_Toc20604"/>
      <w:bookmarkStart w:id="177" w:name="_Toc26478"/>
      <w:bookmarkStart w:id="178" w:name="_Toc28349"/>
      <w:bookmarkStart w:id="179" w:name="_Toc23354"/>
      <w:bookmarkStart w:id="180" w:name="_Toc8836"/>
      <w:r>
        <w:rPr>
          <w:rFonts w:eastAsia="仿宋_GB2312" w:hint="eastAsia"/>
          <w:b/>
          <w:bCs/>
          <w:sz w:val="32"/>
          <w:szCs w:val="32"/>
        </w:rPr>
        <w:t>产品风险评价</w:t>
      </w:r>
      <w:bookmarkEnd w:id="174"/>
      <w:bookmarkEnd w:id="175"/>
      <w:bookmarkEnd w:id="176"/>
      <w:bookmarkEnd w:id="177"/>
      <w:bookmarkEnd w:id="178"/>
      <w:bookmarkEnd w:id="179"/>
      <w:bookmarkEnd w:id="180"/>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通过不良事件原因分析及关联性评价，提示医疗器械产品存在风险的，持有人还应对该风险是否合理，开展产品风险评价。（详见《上市许可持有人医疗器械产品风险评价指导原则》）</w:t>
      </w:r>
    </w:p>
    <w:p w:rsidR="009A2B95" w:rsidRDefault="00D41EF5">
      <w:pPr>
        <w:overflowPunct w:val="0"/>
        <w:adjustRightInd w:val="0"/>
        <w:snapToGrid w:val="0"/>
        <w:spacing w:line="360" w:lineRule="auto"/>
        <w:ind w:firstLineChars="200" w:firstLine="640"/>
        <w:outlineLvl w:val="0"/>
        <w:rPr>
          <w:rFonts w:ascii="黑体" w:eastAsia="黑体" w:hAnsi="黑体" w:cs="黑体"/>
          <w:sz w:val="32"/>
          <w:szCs w:val="32"/>
        </w:rPr>
      </w:pPr>
      <w:bookmarkStart w:id="181" w:name="_Toc27018"/>
      <w:bookmarkStart w:id="182" w:name="_Toc15089"/>
      <w:bookmarkStart w:id="183" w:name="_Toc17805"/>
      <w:bookmarkStart w:id="184" w:name="_Toc28761"/>
      <w:bookmarkStart w:id="185" w:name="_Toc28533"/>
      <w:bookmarkStart w:id="186" w:name="_Toc3350"/>
      <w:bookmarkStart w:id="187" w:name="_Toc11688"/>
      <w:r>
        <w:rPr>
          <w:rFonts w:ascii="黑体" w:eastAsia="黑体" w:hAnsi="黑体" w:cs="黑体" w:hint="eastAsia"/>
          <w:sz w:val="32"/>
          <w:szCs w:val="32"/>
        </w:rPr>
        <w:t>五</w:t>
      </w:r>
      <w:r w:rsidR="00EB693B">
        <w:rPr>
          <w:rFonts w:ascii="黑体" w:eastAsia="黑体" w:hAnsi="黑体" w:cs="黑体" w:hint="eastAsia"/>
          <w:sz w:val="32"/>
          <w:szCs w:val="32"/>
        </w:rPr>
        <w:t>、不良事件的报告</w:t>
      </w:r>
      <w:bookmarkEnd w:id="181"/>
      <w:bookmarkEnd w:id="182"/>
      <w:bookmarkEnd w:id="183"/>
      <w:bookmarkEnd w:id="184"/>
      <w:bookmarkEnd w:id="185"/>
      <w:bookmarkEnd w:id="186"/>
      <w:bookmarkEnd w:id="187"/>
    </w:p>
    <w:p w:rsidR="009A2B95" w:rsidRDefault="00EB693B">
      <w:pPr>
        <w:numPr>
          <w:ilvl w:val="0"/>
          <w:numId w:val="9"/>
        </w:numPr>
        <w:overflowPunct w:val="0"/>
        <w:adjustRightInd w:val="0"/>
        <w:snapToGrid w:val="0"/>
        <w:spacing w:line="360" w:lineRule="auto"/>
        <w:outlineLvl w:val="1"/>
        <w:rPr>
          <w:rFonts w:eastAsia="仿宋_GB2312"/>
          <w:b/>
          <w:bCs/>
          <w:sz w:val="32"/>
          <w:szCs w:val="32"/>
        </w:rPr>
      </w:pPr>
      <w:bookmarkStart w:id="188" w:name="_Toc11356"/>
      <w:bookmarkStart w:id="189" w:name="_Toc26513"/>
      <w:bookmarkStart w:id="190" w:name="_Toc6844"/>
      <w:bookmarkStart w:id="191" w:name="_Toc32673"/>
      <w:bookmarkStart w:id="192" w:name="_Toc4404"/>
      <w:bookmarkStart w:id="193" w:name="_Toc26633"/>
      <w:bookmarkStart w:id="194" w:name="_Toc32497"/>
      <w:r>
        <w:rPr>
          <w:rFonts w:eastAsia="仿宋_GB2312" w:hint="eastAsia"/>
          <w:b/>
          <w:bCs/>
          <w:sz w:val="32"/>
          <w:szCs w:val="32"/>
        </w:rPr>
        <w:lastRenderedPageBreak/>
        <w:t>报告途径</w:t>
      </w:r>
      <w:bookmarkEnd w:id="188"/>
      <w:bookmarkEnd w:id="189"/>
      <w:bookmarkEnd w:id="190"/>
      <w:bookmarkEnd w:id="191"/>
      <w:bookmarkEnd w:id="192"/>
      <w:bookmarkEnd w:id="193"/>
      <w:bookmarkEnd w:id="194"/>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对于符合报告范围的不良事件，持有人应通过监管部门指定的国家医疗器械不良事件监测信息系统予以报告（以下简称“信息系统”）。</w:t>
      </w:r>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持有人需在该信息系统中注册，准确填写注册信息，获取</w:t>
      </w:r>
      <w:proofErr w:type="gramStart"/>
      <w:r>
        <w:rPr>
          <w:rFonts w:eastAsia="仿宋_GB2312" w:hint="eastAsia"/>
          <w:sz w:val="32"/>
          <w:szCs w:val="32"/>
        </w:rPr>
        <w:t>帐号</w:t>
      </w:r>
      <w:proofErr w:type="gramEnd"/>
      <w:r>
        <w:rPr>
          <w:rFonts w:eastAsia="仿宋_GB2312" w:hint="eastAsia"/>
          <w:sz w:val="32"/>
          <w:szCs w:val="32"/>
        </w:rPr>
        <w:t>并由监测机构审核通过后，即可在信息系统内报告不良事件。持有人应对</w:t>
      </w:r>
      <w:proofErr w:type="gramStart"/>
      <w:r>
        <w:rPr>
          <w:rFonts w:eastAsia="仿宋_GB2312" w:hint="eastAsia"/>
          <w:sz w:val="32"/>
          <w:szCs w:val="32"/>
        </w:rPr>
        <w:t>帐号</w:t>
      </w:r>
      <w:proofErr w:type="gramEnd"/>
      <w:r>
        <w:rPr>
          <w:rFonts w:eastAsia="仿宋_GB2312" w:hint="eastAsia"/>
          <w:sz w:val="32"/>
          <w:szCs w:val="32"/>
        </w:rPr>
        <w:t>及关联信息进行维护，注册信息如有变更，应及时向</w:t>
      </w:r>
      <w:proofErr w:type="gramStart"/>
      <w:r>
        <w:rPr>
          <w:rFonts w:eastAsia="仿宋_GB2312" w:hint="eastAsia"/>
          <w:sz w:val="32"/>
          <w:szCs w:val="32"/>
        </w:rPr>
        <w:t>帐号</w:t>
      </w:r>
      <w:proofErr w:type="gramEnd"/>
      <w:r>
        <w:rPr>
          <w:rFonts w:eastAsia="仿宋_GB2312" w:hint="eastAsia"/>
          <w:sz w:val="32"/>
          <w:szCs w:val="32"/>
        </w:rPr>
        <w:t>注册部门提交变更申请。</w:t>
      </w:r>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持有人应按要求在线填写《上市许可持有人医疗器械不良事件报告表》（以下简称《报告表》，见附件）并提交。</w:t>
      </w:r>
    </w:p>
    <w:p w:rsidR="009A2B95" w:rsidRDefault="00EB693B">
      <w:pPr>
        <w:numPr>
          <w:ilvl w:val="0"/>
          <w:numId w:val="9"/>
        </w:numPr>
        <w:overflowPunct w:val="0"/>
        <w:adjustRightInd w:val="0"/>
        <w:snapToGrid w:val="0"/>
        <w:spacing w:line="360" w:lineRule="auto"/>
        <w:outlineLvl w:val="1"/>
        <w:rPr>
          <w:rFonts w:eastAsia="仿宋_GB2312"/>
          <w:b/>
          <w:bCs/>
          <w:sz w:val="32"/>
          <w:szCs w:val="32"/>
        </w:rPr>
      </w:pPr>
      <w:bookmarkStart w:id="195" w:name="_Toc30816"/>
      <w:bookmarkStart w:id="196" w:name="_Toc18837"/>
      <w:bookmarkStart w:id="197" w:name="_Toc18347"/>
      <w:bookmarkStart w:id="198" w:name="_Toc2463"/>
      <w:bookmarkStart w:id="199" w:name="_Toc23495"/>
      <w:bookmarkStart w:id="200" w:name="_Toc1342"/>
      <w:bookmarkStart w:id="201" w:name="_Toc31528"/>
      <w:r>
        <w:rPr>
          <w:rFonts w:eastAsia="仿宋_GB2312" w:hint="eastAsia"/>
          <w:b/>
          <w:bCs/>
          <w:sz w:val="32"/>
          <w:szCs w:val="32"/>
        </w:rPr>
        <w:t>报告时限</w:t>
      </w:r>
      <w:bookmarkEnd w:id="195"/>
      <w:bookmarkEnd w:id="196"/>
      <w:bookmarkEnd w:id="197"/>
      <w:bookmarkEnd w:id="198"/>
      <w:bookmarkEnd w:id="199"/>
      <w:bookmarkEnd w:id="200"/>
      <w:bookmarkEnd w:id="201"/>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报告时限的开始日期，为持有人首次发现或获知不良事件（且达到有效报告标准）的日期，记为第</w:t>
      </w:r>
      <w:r>
        <w:rPr>
          <w:rFonts w:eastAsia="仿宋_GB2312" w:hint="eastAsia"/>
          <w:sz w:val="32"/>
          <w:szCs w:val="32"/>
        </w:rPr>
        <w:t>1</w:t>
      </w:r>
      <w:r>
        <w:rPr>
          <w:rFonts w:eastAsia="仿宋_GB2312" w:hint="eastAsia"/>
          <w:sz w:val="32"/>
          <w:szCs w:val="32"/>
        </w:rPr>
        <w:t>天。第</w:t>
      </w:r>
      <w:r>
        <w:rPr>
          <w:rFonts w:eastAsia="仿宋_GB2312" w:hint="eastAsia"/>
          <w:sz w:val="32"/>
          <w:szCs w:val="32"/>
        </w:rPr>
        <w:t>1</w:t>
      </w:r>
      <w:r>
        <w:rPr>
          <w:rFonts w:eastAsia="仿宋_GB2312" w:hint="eastAsia"/>
          <w:sz w:val="32"/>
          <w:szCs w:val="32"/>
        </w:rPr>
        <w:t>天的日期需要被记录，以评估不良事件是否按时限报告（见下表）。对于持有人委托相关机构开展不良事件收集的，委托方发现或获知即视为持有人发现或获知。</w:t>
      </w:r>
    </w:p>
    <w:tbl>
      <w:tblPr>
        <w:tblStyle w:val="a8"/>
        <w:tblpPr w:leftFromText="180" w:rightFromText="180" w:vertAnchor="text" w:horzAnchor="page" w:tblpXSpec="center" w:tblpY="393"/>
        <w:tblOverlap w:val="never"/>
        <w:tblW w:w="8749" w:type="dxa"/>
        <w:jc w:val="center"/>
        <w:tblInd w:w="-430" w:type="dxa"/>
        <w:tblLayout w:type="fixed"/>
        <w:tblLook w:val="04A0" w:firstRow="1" w:lastRow="0" w:firstColumn="1" w:lastColumn="0" w:noHBand="0" w:noVBand="1"/>
      </w:tblPr>
      <w:tblGrid>
        <w:gridCol w:w="4105"/>
        <w:gridCol w:w="2183"/>
        <w:gridCol w:w="2461"/>
      </w:tblGrid>
      <w:tr w:rsidR="009A2B95">
        <w:trPr>
          <w:trHeight w:val="607"/>
          <w:jc w:val="center"/>
        </w:trPr>
        <w:tc>
          <w:tcPr>
            <w:tcW w:w="4105" w:type="dxa"/>
            <w:vAlign w:val="center"/>
          </w:tcPr>
          <w:p w:rsidR="009A2B95" w:rsidRDefault="00EB693B">
            <w:pPr>
              <w:overflowPunct w:val="0"/>
              <w:adjustRightInd w:val="0"/>
              <w:snapToGrid w:val="0"/>
              <w:jc w:val="center"/>
              <w:rPr>
                <w:rFonts w:eastAsia="仿宋_GB2312"/>
                <w:b/>
                <w:bCs/>
                <w:sz w:val="32"/>
                <w:szCs w:val="32"/>
              </w:rPr>
            </w:pPr>
            <w:r>
              <w:rPr>
                <w:rFonts w:eastAsia="仿宋_GB2312" w:hint="eastAsia"/>
                <w:b/>
                <w:bCs/>
                <w:sz w:val="32"/>
                <w:szCs w:val="32"/>
              </w:rPr>
              <w:t>不良事件导致后果</w:t>
            </w:r>
          </w:p>
        </w:tc>
        <w:tc>
          <w:tcPr>
            <w:tcW w:w="2183" w:type="dxa"/>
            <w:vAlign w:val="center"/>
          </w:tcPr>
          <w:p w:rsidR="009A2B95" w:rsidRDefault="00EB693B">
            <w:pPr>
              <w:overflowPunct w:val="0"/>
              <w:adjustRightInd w:val="0"/>
              <w:snapToGrid w:val="0"/>
              <w:jc w:val="center"/>
              <w:rPr>
                <w:rFonts w:eastAsia="仿宋_GB2312"/>
                <w:b/>
                <w:bCs/>
                <w:sz w:val="32"/>
                <w:szCs w:val="32"/>
              </w:rPr>
            </w:pPr>
            <w:r>
              <w:rPr>
                <w:rFonts w:eastAsia="仿宋_GB2312" w:hint="eastAsia"/>
                <w:b/>
                <w:bCs/>
                <w:sz w:val="32"/>
                <w:szCs w:val="32"/>
              </w:rPr>
              <w:t>境内报告时限</w:t>
            </w:r>
          </w:p>
        </w:tc>
        <w:tc>
          <w:tcPr>
            <w:tcW w:w="2461" w:type="dxa"/>
            <w:vAlign w:val="center"/>
          </w:tcPr>
          <w:p w:rsidR="009A2B95" w:rsidRDefault="00EB693B">
            <w:pPr>
              <w:overflowPunct w:val="0"/>
              <w:adjustRightInd w:val="0"/>
              <w:snapToGrid w:val="0"/>
              <w:jc w:val="center"/>
              <w:rPr>
                <w:rFonts w:eastAsia="仿宋_GB2312"/>
                <w:b/>
                <w:bCs/>
                <w:sz w:val="32"/>
                <w:szCs w:val="32"/>
              </w:rPr>
            </w:pPr>
            <w:r>
              <w:rPr>
                <w:rFonts w:eastAsia="仿宋_GB2312" w:hint="eastAsia"/>
                <w:b/>
                <w:bCs/>
                <w:sz w:val="32"/>
                <w:szCs w:val="32"/>
              </w:rPr>
              <w:t>境外报告时限</w:t>
            </w:r>
          </w:p>
        </w:tc>
      </w:tr>
      <w:tr w:rsidR="009A2B95">
        <w:trPr>
          <w:trHeight w:val="516"/>
          <w:jc w:val="center"/>
        </w:trPr>
        <w:tc>
          <w:tcPr>
            <w:tcW w:w="4105" w:type="dxa"/>
            <w:vAlign w:val="center"/>
          </w:tcPr>
          <w:p w:rsidR="009A2B95" w:rsidRDefault="00EB693B">
            <w:pPr>
              <w:overflowPunct w:val="0"/>
              <w:adjustRightInd w:val="0"/>
              <w:snapToGrid w:val="0"/>
              <w:jc w:val="center"/>
              <w:rPr>
                <w:rFonts w:eastAsia="仿宋_GB2312"/>
                <w:sz w:val="32"/>
                <w:szCs w:val="32"/>
              </w:rPr>
            </w:pPr>
            <w:r>
              <w:rPr>
                <w:rFonts w:eastAsia="仿宋_GB2312" w:hint="eastAsia"/>
                <w:sz w:val="32"/>
                <w:szCs w:val="32"/>
              </w:rPr>
              <w:t>死亡</w:t>
            </w:r>
          </w:p>
        </w:tc>
        <w:tc>
          <w:tcPr>
            <w:tcW w:w="2183" w:type="dxa"/>
            <w:vAlign w:val="center"/>
          </w:tcPr>
          <w:p w:rsidR="009A2B95" w:rsidRDefault="00EB693B">
            <w:pPr>
              <w:overflowPunct w:val="0"/>
              <w:adjustRightInd w:val="0"/>
              <w:snapToGrid w:val="0"/>
              <w:jc w:val="center"/>
              <w:rPr>
                <w:rFonts w:eastAsia="仿宋_GB2312"/>
                <w:sz w:val="32"/>
                <w:szCs w:val="32"/>
              </w:rPr>
            </w:pPr>
            <w:r>
              <w:rPr>
                <w:rFonts w:eastAsia="仿宋_GB2312" w:hint="eastAsia"/>
                <w:sz w:val="32"/>
                <w:szCs w:val="32"/>
              </w:rPr>
              <w:t>7</w:t>
            </w:r>
            <w:r>
              <w:rPr>
                <w:rFonts w:eastAsia="仿宋_GB2312" w:hint="eastAsia"/>
                <w:sz w:val="32"/>
                <w:szCs w:val="32"/>
              </w:rPr>
              <w:t>日</w:t>
            </w:r>
          </w:p>
        </w:tc>
        <w:tc>
          <w:tcPr>
            <w:tcW w:w="2461" w:type="dxa"/>
            <w:vAlign w:val="center"/>
          </w:tcPr>
          <w:p w:rsidR="009A2B95" w:rsidRDefault="00EB693B">
            <w:pPr>
              <w:overflowPunct w:val="0"/>
              <w:adjustRightInd w:val="0"/>
              <w:snapToGrid w:val="0"/>
              <w:jc w:val="center"/>
              <w:rPr>
                <w:rFonts w:eastAsia="仿宋_GB2312"/>
                <w:sz w:val="32"/>
                <w:szCs w:val="32"/>
              </w:rPr>
            </w:pPr>
            <w:r>
              <w:rPr>
                <w:rFonts w:eastAsia="仿宋_GB2312" w:hint="eastAsia"/>
                <w:sz w:val="32"/>
                <w:szCs w:val="32"/>
              </w:rPr>
              <w:t>30</w:t>
            </w:r>
            <w:r>
              <w:rPr>
                <w:rFonts w:eastAsia="仿宋_GB2312" w:hint="eastAsia"/>
                <w:sz w:val="32"/>
                <w:szCs w:val="32"/>
              </w:rPr>
              <w:t>日</w:t>
            </w:r>
          </w:p>
        </w:tc>
      </w:tr>
      <w:tr w:rsidR="009A2B95">
        <w:trPr>
          <w:trHeight w:val="516"/>
          <w:jc w:val="center"/>
        </w:trPr>
        <w:tc>
          <w:tcPr>
            <w:tcW w:w="4105" w:type="dxa"/>
            <w:vAlign w:val="center"/>
          </w:tcPr>
          <w:p w:rsidR="009A2B95" w:rsidRDefault="00EB693B">
            <w:pPr>
              <w:overflowPunct w:val="0"/>
              <w:adjustRightInd w:val="0"/>
              <w:snapToGrid w:val="0"/>
              <w:jc w:val="center"/>
              <w:rPr>
                <w:rFonts w:eastAsia="仿宋_GB2312"/>
                <w:sz w:val="32"/>
                <w:szCs w:val="32"/>
              </w:rPr>
            </w:pPr>
            <w:r>
              <w:rPr>
                <w:rFonts w:eastAsia="仿宋_GB2312" w:hint="eastAsia"/>
                <w:sz w:val="32"/>
                <w:szCs w:val="32"/>
              </w:rPr>
              <w:t>严重伤害</w:t>
            </w:r>
          </w:p>
        </w:tc>
        <w:tc>
          <w:tcPr>
            <w:tcW w:w="2183" w:type="dxa"/>
            <w:vAlign w:val="center"/>
          </w:tcPr>
          <w:p w:rsidR="009A2B95" w:rsidRDefault="00EB693B">
            <w:pPr>
              <w:overflowPunct w:val="0"/>
              <w:adjustRightInd w:val="0"/>
              <w:snapToGrid w:val="0"/>
              <w:jc w:val="center"/>
              <w:rPr>
                <w:rFonts w:eastAsia="仿宋_GB2312"/>
                <w:sz w:val="32"/>
                <w:szCs w:val="32"/>
              </w:rPr>
            </w:pPr>
            <w:r>
              <w:rPr>
                <w:rFonts w:eastAsia="仿宋_GB2312" w:hint="eastAsia"/>
                <w:sz w:val="32"/>
                <w:szCs w:val="32"/>
              </w:rPr>
              <w:t>20</w:t>
            </w:r>
            <w:r>
              <w:rPr>
                <w:rFonts w:eastAsia="仿宋_GB2312" w:hint="eastAsia"/>
                <w:sz w:val="32"/>
                <w:szCs w:val="32"/>
              </w:rPr>
              <w:t>日</w:t>
            </w:r>
          </w:p>
        </w:tc>
        <w:tc>
          <w:tcPr>
            <w:tcW w:w="2461" w:type="dxa"/>
            <w:vAlign w:val="center"/>
          </w:tcPr>
          <w:p w:rsidR="009A2B95" w:rsidRDefault="00EB693B">
            <w:pPr>
              <w:overflowPunct w:val="0"/>
              <w:adjustRightInd w:val="0"/>
              <w:snapToGrid w:val="0"/>
              <w:jc w:val="center"/>
              <w:rPr>
                <w:rFonts w:eastAsia="仿宋_GB2312"/>
                <w:sz w:val="32"/>
                <w:szCs w:val="32"/>
              </w:rPr>
            </w:pPr>
            <w:r>
              <w:rPr>
                <w:rFonts w:eastAsia="仿宋_GB2312" w:hint="eastAsia"/>
                <w:sz w:val="32"/>
                <w:szCs w:val="32"/>
              </w:rPr>
              <w:t>30</w:t>
            </w:r>
            <w:r>
              <w:rPr>
                <w:rFonts w:eastAsia="仿宋_GB2312" w:hint="eastAsia"/>
                <w:sz w:val="32"/>
                <w:szCs w:val="32"/>
              </w:rPr>
              <w:t>日</w:t>
            </w:r>
          </w:p>
        </w:tc>
      </w:tr>
      <w:tr w:rsidR="009A2B95">
        <w:trPr>
          <w:trHeight w:val="540"/>
          <w:jc w:val="center"/>
        </w:trPr>
        <w:tc>
          <w:tcPr>
            <w:tcW w:w="4105" w:type="dxa"/>
            <w:vAlign w:val="center"/>
          </w:tcPr>
          <w:p w:rsidR="009A2B95" w:rsidRDefault="00EB693B">
            <w:pPr>
              <w:overflowPunct w:val="0"/>
              <w:adjustRightInd w:val="0"/>
              <w:snapToGrid w:val="0"/>
              <w:jc w:val="center"/>
              <w:rPr>
                <w:rFonts w:eastAsia="仿宋_GB2312"/>
                <w:sz w:val="32"/>
                <w:szCs w:val="32"/>
              </w:rPr>
            </w:pPr>
            <w:r>
              <w:rPr>
                <w:rFonts w:eastAsia="仿宋_GB2312" w:hint="eastAsia"/>
                <w:sz w:val="32"/>
                <w:szCs w:val="32"/>
              </w:rPr>
              <w:t>可能导致死亡或者严重伤害</w:t>
            </w:r>
          </w:p>
        </w:tc>
        <w:tc>
          <w:tcPr>
            <w:tcW w:w="2183" w:type="dxa"/>
            <w:vAlign w:val="center"/>
          </w:tcPr>
          <w:p w:rsidR="009A2B95" w:rsidRDefault="00EB693B">
            <w:pPr>
              <w:overflowPunct w:val="0"/>
              <w:adjustRightInd w:val="0"/>
              <w:snapToGrid w:val="0"/>
              <w:jc w:val="center"/>
              <w:rPr>
                <w:rFonts w:eastAsia="仿宋_GB2312"/>
                <w:sz w:val="32"/>
                <w:szCs w:val="32"/>
              </w:rPr>
            </w:pPr>
            <w:r>
              <w:rPr>
                <w:rFonts w:eastAsia="仿宋_GB2312" w:hint="eastAsia"/>
                <w:sz w:val="32"/>
                <w:szCs w:val="32"/>
              </w:rPr>
              <w:t>20</w:t>
            </w:r>
            <w:r>
              <w:rPr>
                <w:rFonts w:eastAsia="仿宋_GB2312" w:hint="eastAsia"/>
                <w:sz w:val="32"/>
                <w:szCs w:val="32"/>
              </w:rPr>
              <w:t>日</w:t>
            </w:r>
          </w:p>
        </w:tc>
        <w:tc>
          <w:tcPr>
            <w:tcW w:w="2461" w:type="dxa"/>
            <w:vAlign w:val="center"/>
          </w:tcPr>
          <w:p w:rsidR="009A2B95" w:rsidRDefault="00EB693B">
            <w:pPr>
              <w:overflowPunct w:val="0"/>
              <w:adjustRightInd w:val="0"/>
              <w:snapToGrid w:val="0"/>
              <w:jc w:val="center"/>
              <w:rPr>
                <w:rFonts w:eastAsia="仿宋_GB2312"/>
                <w:sz w:val="32"/>
                <w:szCs w:val="32"/>
              </w:rPr>
            </w:pPr>
            <w:r>
              <w:rPr>
                <w:rFonts w:eastAsia="仿宋_GB2312" w:hint="eastAsia"/>
                <w:sz w:val="32"/>
                <w:szCs w:val="32"/>
              </w:rPr>
              <w:t>30</w:t>
            </w:r>
            <w:r>
              <w:rPr>
                <w:rFonts w:eastAsia="仿宋_GB2312" w:hint="eastAsia"/>
                <w:sz w:val="32"/>
                <w:szCs w:val="32"/>
              </w:rPr>
              <w:t>日</w:t>
            </w:r>
          </w:p>
        </w:tc>
      </w:tr>
    </w:tbl>
    <w:p w:rsidR="009A2B95" w:rsidRDefault="009A2B95">
      <w:pPr>
        <w:overflowPunct w:val="0"/>
        <w:adjustRightInd w:val="0"/>
        <w:snapToGrid w:val="0"/>
        <w:spacing w:line="360" w:lineRule="auto"/>
        <w:rPr>
          <w:rFonts w:eastAsia="仿宋_GB2312"/>
          <w:sz w:val="32"/>
          <w:szCs w:val="32"/>
        </w:rPr>
      </w:pPr>
      <w:bookmarkStart w:id="202" w:name="_Toc483657498"/>
    </w:p>
    <w:p w:rsidR="009A2B95" w:rsidRDefault="00EB693B">
      <w:pPr>
        <w:numPr>
          <w:ilvl w:val="0"/>
          <w:numId w:val="9"/>
        </w:numPr>
        <w:overflowPunct w:val="0"/>
        <w:adjustRightInd w:val="0"/>
        <w:snapToGrid w:val="0"/>
        <w:spacing w:line="360" w:lineRule="auto"/>
        <w:outlineLvl w:val="1"/>
        <w:rPr>
          <w:rFonts w:eastAsia="仿宋_GB2312"/>
          <w:b/>
          <w:bCs/>
          <w:sz w:val="32"/>
          <w:szCs w:val="32"/>
        </w:rPr>
      </w:pPr>
      <w:bookmarkStart w:id="203" w:name="_Toc23450"/>
      <w:bookmarkStart w:id="204" w:name="_Toc25249"/>
      <w:bookmarkStart w:id="205" w:name="_Toc31475"/>
      <w:bookmarkStart w:id="206" w:name="_Toc18953"/>
      <w:bookmarkStart w:id="207" w:name="_Toc6453"/>
      <w:bookmarkStart w:id="208" w:name="_Toc7393"/>
      <w:bookmarkStart w:id="209" w:name="_Toc7610"/>
      <w:r>
        <w:rPr>
          <w:rFonts w:eastAsia="仿宋_GB2312" w:hint="eastAsia"/>
          <w:b/>
          <w:bCs/>
          <w:sz w:val="32"/>
          <w:szCs w:val="32"/>
        </w:rPr>
        <w:t>报告质量</w:t>
      </w:r>
      <w:bookmarkEnd w:id="202"/>
      <w:bookmarkEnd w:id="203"/>
      <w:bookmarkEnd w:id="204"/>
      <w:bookmarkEnd w:id="205"/>
      <w:bookmarkEnd w:id="206"/>
      <w:bookmarkEnd w:id="207"/>
      <w:bookmarkEnd w:id="208"/>
      <w:bookmarkEnd w:id="209"/>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lastRenderedPageBreak/>
        <w:t>持有人应确保报告内容真实、完整、准确。应真实记录所发现或获知的不良事件，不篡改、不主观臆断，严禁虚假报告。尽量获取不良事件的详细信息，《报告表》中的各项目均应填写。持有人对《报告表》的质量负责。</w:t>
      </w:r>
    </w:p>
    <w:p w:rsidR="009A2B95" w:rsidRDefault="00D41EF5">
      <w:pPr>
        <w:overflowPunct w:val="0"/>
        <w:adjustRightInd w:val="0"/>
        <w:snapToGrid w:val="0"/>
        <w:spacing w:line="360" w:lineRule="auto"/>
        <w:ind w:firstLineChars="200" w:firstLine="640"/>
        <w:outlineLvl w:val="0"/>
        <w:rPr>
          <w:rFonts w:ascii="黑体" w:eastAsia="黑体" w:hAnsi="黑体" w:cs="黑体"/>
          <w:sz w:val="32"/>
          <w:szCs w:val="32"/>
        </w:rPr>
      </w:pPr>
      <w:bookmarkStart w:id="210" w:name="_Toc3600"/>
      <w:bookmarkStart w:id="211" w:name="_Toc13815"/>
      <w:bookmarkStart w:id="212" w:name="_Toc13383"/>
      <w:bookmarkStart w:id="213" w:name="_Toc7164"/>
      <w:bookmarkStart w:id="214" w:name="_Toc17327"/>
      <w:bookmarkStart w:id="215" w:name="_Toc23524"/>
      <w:bookmarkStart w:id="216" w:name="_Toc31250"/>
      <w:r>
        <w:rPr>
          <w:rFonts w:ascii="黑体" w:eastAsia="黑体" w:hAnsi="黑体" w:cs="黑体" w:hint="eastAsia"/>
          <w:sz w:val="32"/>
          <w:szCs w:val="32"/>
        </w:rPr>
        <w:t>六</w:t>
      </w:r>
      <w:r w:rsidR="00EB693B">
        <w:rPr>
          <w:rFonts w:ascii="黑体" w:eastAsia="黑体" w:hAnsi="黑体" w:cs="黑体" w:hint="eastAsia"/>
          <w:sz w:val="32"/>
          <w:szCs w:val="32"/>
        </w:rPr>
        <w:t>、</w:t>
      </w:r>
      <w:bookmarkEnd w:id="210"/>
      <w:bookmarkEnd w:id="211"/>
      <w:bookmarkEnd w:id="212"/>
      <w:bookmarkEnd w:id="213"/>
      <w:bookmarkEnd w:id="214"/>
      <w:bookmarkEnd w:id="215"/>
      <w:r w:rsidR="00EB693B">
        <w:rPr>
          <w:rFonts w:ascii="黑体" w:eastAsia="黑体" w:hAnsi="黑体" w:cs="黑体" w:hint="eastAsia"/>
          <w:sz w:val="32"/>
          <w:szCs w:val="32"/>
        </w:rPr>
        <w:t>不良事件的调查随访</w:t>
      </w:r>
      <w:bookmarkEnd w:id="216"/>
    </w:p>
    <w:p w:rsidR="009A2B95" w:rsidRDefault="00EB693B">
      <w:pPr>
        <w:overflowPunct w:val="0"/>
        <w:adjustRightInd w:val="0"/>
        <w:snapToGrid w:val="0"/>
        <w:spacing w:line="360" w:lineRule="auto"/>
        <w:ind w:firstLineChars="200" w:firstLine="640"/>
        <w:rPr>
          <w:rFonts w:eastAsia="仿宋_GB2312"/>
          <w:b/>
          <w:bCs/>
          <w:sz w:val="32"/>
          <w:szCs w:val="32"/>
        </w:rPr>
      </w:pPr>
      <w:r>
        <w:rPr>
          <w:rFonts w:eastAsia="仿宋_GB2312" w:hint="eastAsia"/>
          <w:sz w:val="32"/>
          <w:szCs w:val="32"/>
        </w:rPr>
        <w:t>调查和随访的目的是获取更详细、更准确的不良事件信息资料，使持有人对不良事件做出更为科学、合理的评价，以及对医疗器械上市后风险进行深入分析。</w:t>
      </w:r>
    </w:p>
    <w:p w:rsidR="009A2B95" w:rsidRDefault="00EB693B">
      <w:pPr>
        <w:numPr>
          <w:ilvl w:val="0"/>
          <w:numId w:val="10"/>
        </w:numPr>
        <w:overflowPunct w:val="0"/>
        <w:adjustRightInd w:val="0"/>
        <w:snapToGrid w:val="0"/>
        <w:spacing w:line="360" w:lineRule="auto"/>
        <w:outlineLvl w:val="1"/>
        <w:rPr>
          <w:rFonts w:eastAsia="仿宋_GB2312"/>
          <w:b/>
          <w:bCs/>
          <w:sz w:val="32"/>
          <w:szCs w:val="32"/>
        </w:rPr>
      </w:pPr>
      <w:bookmarkStart w:id="217" w:name="_Toc483657501"/>
      <w:bookmarkStart w:id="218" w:name="_Toc4475"/>
      <w:bookmarkStart w:id="219" w:name="_Toc5876"/>
      <w:bookmarkStart w:id="220" w:name="_Toc18742"/>
      <w:bookmarkStart w:id="221" w:name="_Toc6081"/>
      <w:bookmarkStart w:id="222" w:name="_Toc11937"/>
      <w:bookmarkStart w:id="223" w:name="_Toc18256"/>
      <w:bookmarkStart w:id="224" w:name="_Toc15317"/>
      <w:bookmarkStart w:id="225" w:name="_Toc3184"/>
      <w:r>
        <w:rPr>
          <w:rFonts w:eastAsia="仿宋_GB2312" w:hint="eastAsia"/>
          <w:b/>
          <w:bCs/>
          <w:sz w:val="32"/>
          <w:szCs w:val="32"/>
        </w:rPr>
        <w:t>调查</w:t>
      </w:r>
      <w:bookmarkEnd w:id="217"/>
      <w:bookmarkEnd w:id="218"/>
      <w:bookmarkEnd w:id="219"/>
      <w:bookmarkEnd w:id="220"/>
      <w:bookmarkEnd w:id="221"/>
      <w:bookmarkEnd w:id="222"/>
      <w:bookmarkEnd w:id="223"/>
      <w:bookmarkEnd w:id="224"/>
    </w:p>
    <w:p w:rsidR="009A2B95" w:rsidRDefault="00EB693B">
      <w:pPr>
        <w:overflowPunct w:val="0"/>
        <w:adjustRightInd w:val="0"/>
        <w:snapToGrid w:val="0"/>
        <w:spacing w:line="360" w:lineRule="auto"/>
        <w:ind w:firstLineChars="200" w:firstLine="640"/>
        <w:rPr>
          <w:rFonts w:eastAsia="仿宋_GB2312"/>
          <w:sz w:val="32"/>
          <w:szCs w:val="32"/>
        </w:rPr>
      </w:pPr>
      <w:bookmarkStart w:id="226" w:name="_Toc32686"/>
      <w:r>
        <w:rPr>
          <w:rFonts w:eastAsia="仿宋_GB2312" w:hint="eastAsia"/>
          <w:sz w:val="32"/>
          <w:szCs w:val="32"/>
        </w:rPr>
        <w:t>调查内容包括：对不良事件的一般情况、医疗器械使用情况、不良事件发生及控制等信息进行核实、补充和完善；向使用单位了解医疗器械的存储和使用环境、类似不良事件发生情况等；如患者转院救治，应对转院治疗情况进行调查。此外，应根据实际情况收集患者的病历、尸检报告等资料。调查过程中还应对医疗器械的产品质量进行回顾，必要时进行质量检验。</w:t>
      </w:r>
      <w:bookmarkEnd w:id="226"/>
    </w:p>
    <w:p w:rsidR="009A2B95" w:rsidRDefault="00EB693B">
      <w:pPr>
        <w:numPr>
          <w:ilvl w:val="0"/>
          <w:numId w:val="10"/>
        </w:numPr>
        <w:overflowPunct w:val="0"/>
        <w:adjustRightInd w:val="0"/>
        <w:snapToGrid w:val="0"/>
        <w:spacing w:line="360" w:lineRule="auto"/>
        <w:outlineLvl w:val="1"/>
        <w:rPr>
          <w:rFonts w:eastAsia="仿宋_GB2312"/>
          <w:b/>
          <w:bCs/>
          <w:sz w:val="32"/>
          <w:szCs w:val="32"/>
        </w:rPr>
      </w:pPr>
      <w:bookmarkStart w:id="227" w:name="_Toc13975"/>
      <w:bookmarkStart w:id="228" w:name="_Toc3595"/>
      <w:bookmarkStart w:id="229" w:name="_Toc22613"/>
      <w:bookmarkStart w:id="230" w:name="_Toc5105"/>
      <w:bookmarkStart w:id="231" w:name="_Toc19665"/>
      <w:bookmarkStart w:id="232" w:name="_Toc18775"/>
      <w:r>
        <w:rPr>
          <w:rFonts w:eastAsia="仿宋_GB2312" w:hint="eastAsia"/>
          <w:b/>
          <w:bCs/>
          <w:sz w:val="32"/>
          <w:szCs w:val="32"/>
        </w:rPr>
        <w:t>随访</w:t>
      </w:r>
      <w:bookmarkEnd w:id="225"/>
      <w:bookmarkEnd w:id="227"/>
      <w:bookmarkEnd w:id="228"/>
      <w:bookmarkEnd w:id="229"/>
      <w:bookmarkEnd w:id="230"/>
      <w:bookmarkEnd w:id="231"/>
      <w:bookmarkEnd w:id="232"/>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首次获取的不良事件信息如不全面，持有人按照要求向监测部门报告不良事件的同时，应对缺失信息进行随访。随访应在不延误报告时限的前提下尽快完成。如随访结果无法在报告时限内获得，应先将不良事件（必须是有效报告）报告至监测部门，再补充随访信息。</w:t>
      </w:r>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持有人可通过信函、电子邮件、电话、探访等适宜的方式对</w:t>
      </w:r>
      <w:r>
        <w:rPr>
          <w:rFonts w:eastAsia="仿宋_GB2312" w:hint="eastAsia"/>
          <w:sz w:val="32"/>
          <w:szCs w:val="32"/>
        </w:rPr>
        <w:lastRenderedPageBreak/>
        <w:t>《报告表》中缺失的信息以及其他不良事件信息进行追踪访问，并完整记录。记录内容应包括随访人（随访和被随访者）、时间、地点、方式、内容、结果（例如随访获取的回函、电话或访谈记录等），随访失败还应记录失败原因。随访记录应妥善保存。对于文献中的不良事件，持有人认为有价值的也可进行随访，以获取更全面的信息。</w:t>
      </w:r>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有以下情形之一的，可终止随访：（</w:t>
      </w:r>
      <w:r>
        <w:rPr>
          <w:rFonts w:eastAsia="仿宋_GB2312" w:hint="eastAsia"/>
          <w:sz w:val="32"/>
          <w:szCs w:val="32"/>
        </w:rPr>
        <w:t>1</w:t>
      </w:r>
      <w:r>
        <w:rPr>
          <w:rFonts w:eastAsia="仿宋_GB2312" w:hint="eastAsia"/>
          <w:sz w:val="32"/>
          <w:szCs w:val="32"/>
        </w:rPr>
        <w:t>）获得信息已足够；（</w:t>
      </w:r>
      <w:r>
        <w:rPr>
          <w:rFonts w:eastAsia="仿宋_GB2312" w:hint="eastAsia"/>
          <w:sz w:val="32"/>
          <w:szCs w:val="32"/>
        </w:rPr>
        <w:t>2</w:t>
      </w:r>
      <w:r>
        <w:rPr>
          <w:rFonts w:eastAsia="仿宋_GB2312" w:hint="eastAsia"/>
          <w:sz w:val="32"/>
          <w:szCs w:val="32"/>
        </w:rPr>
        <w:t>）已明确无详细信息或拒绝随访；（</w:t>
      </w:r>
      <w:r>
        <w:rPr>
          <w:rFonts w:eastAsia="仿宋_GB2312" w:hint="eastAsia"/>
          <w:sz w:val="32"/>
          <w:szCs w:val="32"/>
        </w:rPr>
        <w:t>3</w:t>
      </w:r>
      <w:r>
        <w:rPr>
          <w:rFonts w:eastAsia="仿宋_GB2312" w:hint="eastAsia"/>
          <w:sz w:val="32"/>
          <w:szCs w:val="32"/>
        </w:rPr>
        <w:t>）两次随访之后没有新的信息，且继续随访也无法获得更多信息；（</w:t>
      </w:r>
      <w:r>
        <w:rPr>
          <w:rFonts w:eastAsia="仿宋_GB2312" w:hint="eastAsia"/>
          <w:sz w:val="32"/>
          <w:szCs w:val="32"/>
        </w:rPr>
        <w:t>4</w:t>
      </w:r>
      <w:r>
        <w:rPr>
          <w:rFonts w:eastAsia="仿宋_GB2312" w:hint="eastAsia"/>
          <w:sz w:val="32"/>
          <w:szCs w:val="32"/>
        </w:rPr>
        <w:t>）不同日期三次以上</w:t>
      </w:r>
      <w:proofErr w:type="gramStart"/>
      <w:r>
        <w:rPr>
          <w:rFonts w:eastAsia="仿宋_GB2312" w:hint="eastAsia"/>
          <w:sz w:val="32"/>
          <w:szCs w:val="32"/>
        </w:rPr>
        <w:t>均联系</w:t>
      </w:r>
      <w:proofErr w:type="gramEnd"/>
      <w:r>
        <w:rPr>
          <w:rFonts w:eastAsia="仿宋_GB2312" w:hint="eastAsia"/>
          <w:sz w:val="32"/>
          <w:szCs w:val="32"/>
        </w:rPr>
        <w:t>不上随访人员；（</w:t>
      </w:r>
      <w:r>
        <w:rPr>
          <w:rFonts w:eastAsia="仿宋_GB2312" w:hint="eastAsia"/>
          <w:sz w:val="32"/>
          <w:szCs w:val="32"/>
        </w:rPr>
        <w:t>5</w:t>
      </w:r>
      <w:r>
        <w:rPr>
          <w:rFonts w:eastAsia="仿宋_GB2312" w:hint="eastAsia"/>
          <w:sz w:val="32"/>
          <w:szCs w:val="32"/>
        </w:rPr>
        <w:t>）邮件、信函被退回且没有其他可用联系方式。</w:t>
      </w:r>
    </w:p>
    <w:p w:rsidR="009A2B95" w:rsidRDefault="00D41EF5">
      <w:pPr>
        <w:numPr>
          <w:ilvl w:val="255"/>
          <w:numId w:val="0"/>
        </w:numPr>
        <w:overflowPunct w:val="0"/>
        <w:adjustRightInd w:val="0"/>
        <w:snapToGrid w:val="0"/>
        <w:spacing w:line="360" w:lineRule="auto"/>
        <w:ind w:firstLineChars="200" w:firstLine="640"/>
        <w:outlineLvl w:val="0"/>
        <w:rPr>
          <w:rFonts w:ascii="黑体" w:eastAsia="黑体" w:hAnsi="黑体" w:cs="黑体"/>
          <w:sz w:val="32"/>
          <w:szCs w:val="32"/>
        </w:rPr>
      </w:pPr>
      <w:bookmarkStart w:id="233" w:name="_Toc32135"/>
      <w:bookmarkStart w:id="234" w:name="_Toc11716"/>
      <w:bookmarkStart w:id="235" w:name="_Toc20264"/>
      <w:bookmarkStart w:id="236" w:name="_Toc29455"/>
      <w:bookmarkStart w:id="237" w:name="_Toc27778"/>
      <w:bookmarkStart w:id="238" w:name="_Toc1762"/>
      <w:bookmarkStart w:id="239" w:name="_Toc25309"/>
      <w:r>
        <w:rPr>
          <w:rFonts w:ascii="黑体" w:eastAsia="黑体" w:hAnsi="黑体" w:cs="黑体" w:hint="eastAsia"/>
          <w:sz w:val="32"/>
          <w:szCs w:val="32"/>
        </w:rPr>
        <w:t>七</w:t>
      </w:r>
      <w:r w:rsidR="00EB693B">
        <w:rPr>
          <w:rFonts w:ascii="黑体" w:eastAsia="黑体" w:hAnsi="黑体" w:cs="黑体" w:hint="eastAsia"/>
          <w:sz w:val="32"/>
          <w:szCs w:val="32"/>
        </w:rPr>
        <w:t>、不良事件数据管理</w:t>
      </w:r>
      <w:bookmarkEnd w:id="233"/>
      <w:bookmarkEnd w:id="234"/>
      <w:bookmarkEnd w:id="235"/>
      <w:bookmarkEnd w:id="236"/>
      <w:bookmarkEnd w:id="237"/>
      <w:bookmarkEnd w:id="238"/>
      <w:bookmarkEnd w:id="239"/>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本指导原则中的数据是指与不良事件的收集和报告工作相关的所有数据，包括不良事件信息的原始记录（如面访记录、电话记录、电子邮件或截图、文献检索记录、原始报告表）、随访记录、已经提交的《报告表》、未提交的《报告表》、监测系统反馈的报告、调查评价报告，以及其他与不良事件相关的调查与沟通内容。</w:t>
      </w:r>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根据数据的载体不同，可分为电子数据和纸质数据。电子数据应定期</w:t>
      </w:r>
      <w:proofErr w:type="gramStart"/>
      <w:r>
        <w:rPr>
          <w:rFonts w:eastAsia="仿宋_GB2312" w:hint="eastAsia"/>
          <w:sz w:val="32"/>
          <w:szCs w:val="32"/>
        </w:rPr>
        <w:t>备份并保存在性</w:t>
      </w:r>
      <w:proofErr w:type="gramEnd"/>
      <w:r>
        <w:rPr>
          <w:rFonts w:eastAsia="仿宋_GB2312" w:hint="eastAsia"/>
          <w:sz w:val="32"/>
          <w:szCs w:val="32"/>
        </w:rPr>
        <w:t>能良好的电脑或存储介质中，防止因设备损坏或淘汰造成的数据丢失。纸质数据应清晰、可读、易于理解，分类并建立目录，制定安全控制和归档程序，防止被更改或丢失。所有电子和纸质数据均应按照生产质量管理规范中文件管</w:t>
      </w:r>
      <w:r>
        <w:rPr>
          <w:rFonts w:eastAsia="仿宋_GB2312" w:hint="eastAsia"/>
          <w:sz w:val="32"/>
          <w:szCs w:val="32"/>
        </w:rPr>
        <w:lastRenderedPageBreak/>
        <w:t>理的要求进行存档。</w:t>
      </w:r>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数据的管理应便于查找、分析和评价，并确保数据的安全性和保密性。持有人可建立专门的不良事件信息平台进行信息的收集、传递和数据的管理。数据管理应贯穿整个数据的生命周期，从数据的采集、记录、传递、处理、审核、报告、储存到销毁，应坚持真实、完整、安全、可追溯的管理原则。</w:t>
      </w:r>
    </w:p>
    <w:p w:rsidR="009A2B95" w:rsidRDefault="009A2B95">
      <w:pPr>
        <w:overflowPunct w:val="0"/>
        <w:adjustRightInd w:val="0"/>
        <w:snapToGrid w:val="0"/>
        <w:spacing w:line="360" w:lineRule="auto"/>
        <w:ind w:firstLineChars="200" w:firstLine="640"/>
        <w:rPr>
          <w:rFonts w:eastAsia="仿宋_GB2312"/>
          <w:sz w:val="32"/>
          <w:szCs w:val="32"/>
        </w:rPr>
      </w:pPr>
    </w:p>
    <w:p w:rsidR="009A2B95" w:rsidRDefault="009A2B95">
      <w:pPr>
        <w:overflowPunct w:val="0"/>
        <w:adjustRightInd w:val="0"/>
        <w:snapToGrid w:val="0"/>
        <w:spacing w:line="360" w:lineRule="auto"/>
        <w:outlineLvl w:val="0"/>
        <w:rPr>
          <w:rFonts w:ascii="黑体" w:eastAsia="黑体" w:hAnsi="黑体" w:cs="黑体"/>
          <w:sz w:val="32"/>
          <w:szCs w:val="32"/>
        </w:rPr>
      </w:pPr>
    </w:p>
    <w:p w:rsidR="009A2B95" w:rsidRDefault="00EB693B">
      <w:pPr>
        <w:overflowPunct w:val="0"/>
        <w:adjustRightInd w:val="0"/>
        <w:snapToGrid w:val="0"/>
        <w:spacing w:line="360" w:lineRule="auto"/>
        <w:ind w:firstLineChars="200" w:firstLine="640"/>
        <w:rPr>
          <w:rFonts w:eastAsia="仿宋_GB2312"/>
          <w:sz w:val="32"/>
          <w:szCs w:val="32"/>
        </w:rPr>
      </w:pPr>
      <w:r>
        <w:rPr>
          <w:rFonts w:eastAsia="仿宋_GB2312" w:hint="eastAsia"/>
          <w:sz w:val="32"/>
          <w:szCs w:val="32"/>
        </w:rPr>
        <w:t>附件：上市许可持有人医疗器械不良事件报告表</w:t>
      </w:r>
    </w:p>
    <w:p w:rsidR="009A2B95" w:rsidRDefault="009A2B95">
      <w:pPr>
        <w:overflowPunct w:val="0"/>
        <w:spacing w:line="560" w:lineRule="exact"/>
        <w:rPr>
          <w:rFonts w:eastAsia="仿宋_GB2312"/>
          <w:sz w:val="32"/>
          <w:szCs w:val="32"/>
        </w:rPr>
      </w:pPr>
    </w:p>
    <w:p w:rsidR="009A2B95" w:rsidRDefault="00EB693B">
      <w:pPr>
        <w:overflowPunct w:val="0"/>
        <w:adjustRightInd w:val="0"/>
        <w:snapToGrid w:val="0"/>
        <w:spacing w:line="520" w:lineRule="exact"/>
        <w:outlineLvl w:val="0"/>
        <w:rPr>
          <w:rFonts w:ascii="黑体" w:eastAsia="黑体" w:hAnsi="黑体" w:cs="黑体"/>
          <w:sz w:val="32"/>
          <w:szCs w:val="32"/>
        </w:rPr>
      </w:pPr>
      <w:bookmarkStart w:id="240" w:name="_Toc25159"/>
      <w:bookmarkStart w:id="241" w:name="_Toc5199"/>
      <w:bookmarkStart w:id="242" w:name="_Toc7753"/>
      <w:bookmarkStart w:id="243" w:name="_Toc5321"/>
      <w:bookmarkStart w:id="244" w:name="_Toc10447"/>
      <w:bookmarkStart w:id="245" w:name="_Toc18661"/>
      <w:r>
        <w:rPr>
          <w:rFonts w:ascii="黑体" w:eastAsia="黑体" w:hAnsi="黑体" w:cs="黑体" w:hint="eastAsia"/>
          <w:sz w:val="32"/>
          <w:szCs w:val="32"/>
        </w:rPr>
        <w:br w:type="page"/>
      </w:r>
    </w:p>
    <w:p w:rsidR="009A2B95" w:rsidRDefault="00EB693B">
      <w:pPr>
        <w:overflowPunct w:val="0"/>
        <w:adjustRightInd w:val="0"/>
        <w:snapToGrid w:val="0"/>
        <w:spacing w:line="520" w:lineRule="exact"/>
        <w:outlineLvl w:val="0"/>
        <w:rPr>
          <w:rFonts w:ascii="黑体" w:eastAsia="黑体" w:hAnsi="黑体" w:cs="黑体"/>
          <w:sz w:val="32"/>
          <w:szCs w:val="32"/>
        </w:rPr>
      </w:pPr>
      <w:bookmarkStart w:id="246" w:name="_Toc24792"/>
      <w:r>
        <w:rPr>
          <w:rFonts w:ascii="黑体" w:eastAsia="黑体" w:hAnsi="黑体" w:cs="黑体" w:hint="eastAsia"/>
          <w:sz w:val="32"/>
          <w:szCs w:val="32"/>
        </w:rPr>
        <w:lastRenderedPageBreak/>
        <w:t>附件</w:t>
      </w:r>
      <w:bookmarkEnd w:id="240"/>
      <w:bookmarkEnd w:id="241"/>
      <w:bookmarkEnd w:id="242"/>
      <w:bookmarkEnd w:id="243"/>
      <w:bookmarkEnd w:id="244"/>
      <w:bookmarkEnd w:id="245"/>
      <w:r>
        <w:rPr>
          <w:rFonts w:ascii="黑体" w:eastAsia="黑体" w:hAnsi="黑体" w:cs="黑体" w:hint="eastAsia"/>
          <w:sz w:val="32"/>
          <w:szCs w:val="32"/>
        </w:rPr>
        <w:t>：上市许可持有人医疗器械不良事件报告表</w:t>
      </w:r>
      <w:bookmarkEnd w:id="246"/>
    </w:p>
    <w:p w:rsidR="009A2B95" w:rsidRDefault="009A2B95">
      <w:pPr>
        <w:adjustRightInd w:val="0"/>
        <w:snapToGrid w:val="0"/>
        <w:rPr>
          <w:rFonts w:ascii="仿宋" w:eastAsia="仿宋" w:hAnsi="仿宋" w:cs="仿宋"/>
          <w:b/>
          <w:bCs/>
          <w:sz w:val="24"/>
        </w:rPr>
      </w:pPr>
    </w:p>
    <w:p w:rsidR="009A2B95" w:rsidRDefault="00EB693B">
      <w:pPr>
        <w:rPr>
          <w:rFonts w:ascii="仿宋" w:eastAsia="仿宋" w:hAnsi="仿宋" w:cs="仿宋"/>
          <w:szCs w:val="21"/>
          <w:u w:val="single"/>
        </w:rPr>
      </w:pPr>
      <w:r>
        <w:rPr>
          <w:rFonts w:ascii="Arial" w:hAnsi="Arial" w:cs="Arial" w:hint="eastAsia"/>
          <w:b/>
          <w:bCs/>
          <w:kern w:val="0"/>
          <w:szCs w:val="21"/>
          <w:lang w:val="sv-SE" w:eastAsia="sv-SE"/>
        </w:rPr>
        <w:t>报告日期</w:t>
      </w:r>
      <w:r>
        <w:rPr>
          <w:rFonts w:ascii="仿宋" w:eastAsia="仿宋" w:hAnsi="仿宋" w:cs="仿宋" w:hint="eastAsia"/>
          <w:b/>
          <w:bCs/>
          <w:szCs w:val="21"/>
        </w:rPr>
        <w:t xml:space="preserve">：      </w:t>
      </w:r>
      <w:r>
        <w:rPr>
          <w:rFonts w:ascii="Arial" w:hAnsi="Arial" w:cs="Arial" w:hint="eastAsia"/>
          <w:szCs w:val="21"/>
          <w:lang w:val="en-GB"/>
        </w:rPr>
        <w:t>年</w:t>
      </w:r>
      <w:r>
        <w:rPr>
          <w:rFonts w:ascii="Arial" w:hAnsi="Arial" w:cs="Arial" w:hint="eastAsia"/>
          <w:szCs w:val="21"/>
        </w:rPr>
        <w:t xml:space="preserve">    </w:t>
      </w:r>
      <w:r>
        <w:rPr>
          <w:rFonts w:ascii="Arial" w:hAnsi="Arial" w:cs="Arial" w:hint="eastAsia"/>
          <w:szCs w:val="21"/>
          <w:lang w:val="en-GB"/>
        </w:rPr>
        <w:t xml:space="preserve">  </w:t>
      </w:r>
      <w:r>
        <w:rPr>
          <w:rFonts w:ascii="Arial" w:hAnsi="Arial" w:cs="Arial" w:hint="eastAsia"/>
          <w:szCs w:val="21"/>
          <w:lang w:val="en-GB"/>
        </w:rPr>
        <w:t>月</w:t>
      </w:r>
      <w:r>
        <w:rPr>
          <w:rFonts w:ascii="Arial" w:hAnsi="Arial" w:cs="Arial" w:hint="eastAsia"/>
          <w:szCs w:val="21"/>
        </w:rPr>
        <w:t xml:space="preserve">    </w:t>
      </w:r>
      <w:r>
        <w:rPr>
          <w:rFonts w:ascii="Arial" w:hAnsi="Arial" w:cs="Arial" w:hint="eastAsia"/>
          <w:szCs w:val="21"/>
          <w:lang w:val="en-GB"/>
        </w:rPr>
        <w:t xml:space="preserve">  </w:t>
      </w:r>
      <w:r>
        <w:rPr>
          <w:rFonts w:ascii="Arial" w:hAnsi="Arial" w:cs="Arial" w:hint="eastAsia"/>
          <w:szCs w:val="21"/>
          <w:lang w:val="en-GB"/>
        </w:rPr>
        <w:t>日</w:t>
      </w:r>
      <w:r>
        <w:rPr>
          <w:rFonts w:ascii="Arial" w:hAnsi="Arial" w:cs="Arial" w:hint="eastAsia"/>
          <w:szCs w:val="21"/>
          <w:lang w:val="en-GB"/>
        </w:rPr>
        <w:t xml:space="preserve">   </w:t>
      </w:r>
      <w:r>
        <w:rPr>
          <w:rFonts w:ascii="仿宋" w:eastAsia="仿宋" w:hAnsi="仿宋" w:cs="仿宋" w:hint="eastAsia"/>
          <w:szCs w:val="21"/>
        </w:rPr>
        <w:t xml:space="preserve">               </w:t>
      </w:r>
      <w:r>
        <w:rPr>
          <w:rFonts w:ascii="Arial" w:hAnsi="Arial" w:cs="Arial" w:hint="eastAsia"/>
          <w:b/>
          <w:bCs/>
          <w:kern w:val="0"/>
          <w:szCs w:val="21"/>
          <w:lang w:val="sv-SE" w:eastAsia="sv-SE"/>
        </w:rPr>
        <w:t>编</w:t>
      </w:r>
      <w:r>
        <w:rPr>
          <w:rFonts w:ascii="Arial" w:hAnsi="Arial" w:cs="Arial" w:hint="eastAsia"/>
          <w:b/>
          <w:bCs/>
          <w:kern w:val="0"/>
          <w:szCs w:val="21"/>
          <w:lang w:val="sv-SE" w:eastAsia="sv-SE"/>
        </w:rPr>
        <w:t xml:space="preserve">  </w:t>
      </w:r>
      <w:r>
        <w:rPr>
          <w:rFonts w:ascii="Arial" w:hAnsi="Arial" w:cs="Arial" w:hint="eastAsia"/>
          <w:b/>
          <w:bCs/>
          <w:kern w:val="0"/>
          <w:szCs w:val="21"/>
          <w:lang w:val="sv-SE" w:eastAsia="sv-SE"/>
        </w:rPr>
        <w:t>码：</w:t>
      </w:r>
    </w:p>
    <w:p w:rsidR="009A2B95" w:rsidRDefault="00EB693B">
      <w:pPr>
        <w:rPr>
          <w:rFonts w:ascii="Arial" w:hAnsi="Arial" w:cs="Arial"/>
          <w:b/>
          <w:bCs/>
          <w:kern w:val="0"/>
          <w:szCs w:val="21"/>
          <w:lang w:val="sv-SE" w:eastAsia="sv-SE"/>
        </w:rPr>
      </w:pPr>
      <w:r>
        <w:rPr>
          <w:rFonts w:ascii="Arial" w:hAnsi="Arial" w:cs="Arial" w:hint="eastAsia"/>
          <w:b/>
          <w:bCs/>
          <w:kern w:val="0"/>
          <w:szCs w:val="21"/>
          <w:lang w:val="sv-SE" w:eastAsia="sv-SE"/>
        </w:rPr>
        <w:t>单位名称：</w:t>
      </w:r>
    </w:p>
    <w:p w:rsidR="009A2B95" w:rsidRDefault="00EB693B">
      <w:pPr>
        <w:rPr>
          <w:rFonts w:ascii="Arial" w:hAnsi="Arial" w:cs="Arial"/>
          <w:b/>
          <w:bCs/>
          <w:kern w:val="0"/>
          <w:szCs w:val="21"/>
          <w:lang w:val="sv-SE" w:eastAsia="sv-SE"/>
        </w:rPr>
      </w:pPr>
      <w:r>
        <w:rPr>
          <w:rFonts w:ascii="Arial" w:hAnsi="Arial" w:cs="Arial" w:hint="eastAsia"/>
          <w:b/>
          <w:bCs/>
          <w:kern w:val="0"/>
          <w:szCs w:val="21"/>
          <w:lang w:val="sv-SE" w:eastAsia="sv-SE"/>
        </w:rPr>
        <w:t>联系地址</w:t>
      </w:r>
      <w:r>
        <w:rPr>
          <w:rFonts w:ascii="Arial" w:hAnsi="Arial" w:cs="Arial" w:hint="eastAsia"/>
          <w:b/>
          <w:bCs/>
          <w:kern w:val="0"/>
          <w:szCs w:val="21"/>
          <w:lang w:val="sv-SE" w:eastAsia="sv-SE"/>
        </w:rPr>
        <w:t xml:space="preserve">:    </w:t>
      </w:r>
      <w:r>
        <w:rPr>
          <w:rFonts w:ascii="Arial" w:hAnsi="Arial" w:cs="Arial" w:hint="eastAsia"/>
          <w:b/>
          <w:bCs/>
          <w:kern w:val="0"/>
          <w:szCs w:val="21"/>
        </w:rPr>
        <w:t xml:space="preserve">   </w:t>
      </w:r>
      <w:r>
        <w:rPr>
          <w:rFonts w:ascii="Arial" w:hAnsi="Arial" w:cs="Arial" w:hint="eastAsia"/>
          <w:b/>
          <w:bCs/>
          <w:kern w:val="0"/>
          <w:szCs w:val="21"/>
          <w:lang w:val="sv-SE" w:eastAsia="sv-SE"/>
        </w:rPr>
        <w:t xml:space="preserve">          </w:t>
      </w:r>
      <w:r>
        <w:rPr>
          <w:rFonts w:ascii="Arial" w:hAnsi="Arial" w:cs="Arial" w:hint="eastAsia"/>
          <w:b/>
          <w:bCs/>
          <w:kern w:val="0"/>
          <w:szCs w:val="21"/>
          <w:lang w:val="sv-SE" w:eastAsia="sv-SE"/>
        </w:rPr>
        <w:t>联系人：</w:t>
      </w:r>
      <w:r>
        <w:rPr>
          <w:rFonts w:ascii="Arial" w:hAnsi="Arial" w:cs="Arial" w:hint="eastAsia"/>
          <w:b/>
          <w:bCs/>
          <w:kern w:val="0"/>
          <w:szCs w:val="21"/>
          <w:lang w:val="sv-SE" w:eastAsia="sv-SE"/>
        </w:rPr>
        <w:t xml:space="preserve">        </w:t>
      </w:r>
      <w:r>
        <w:rPr>
          <w:rFonts w:ascii="Arial" w:hAnsi="Arial" w:cs="Arial" w:hint="eastAsia"/>
          <w:b/>
          <w:bCs/>
          <w:kern w:val="0"/>
          <w:szCs w:val="21"/>
        </w:rPr>
        <w:t xml:space="preserve">     </w:t>
      </w:r>
      <w:r>
        <w:rPr>
          <w:rFonts w:ascii="Arial" w:hAnsi="Arial" w:cs="Arial" w:hint="eastAsia"/>
          <w:b/>
          <w:bCs/>
          <w:kern w:val="0"/>
          <w:szCs w:val="21"/>
          <w:lang w:val="sv-SE" w:eastAsia="sv-SE"/>
        </w:rPr>
        <w:t xml:space="preserve">   </w:t>
      </w:r>
      <w:r>
        <w:rPr>
          <w:rFonts w:ascii="Arial" w:hAnsi="Arial" w:cs="Arial" w:hint="eastAsia"/>
          <w:b/>
          <w:bCs/>
          <w:kern w:val="0"/>
          <w:szCs w:val="21"/>
          <w:lang w:val="sv-SE" w:eastAsia="sv-SE"/>
        </w:rPr>
        <w:t>联系电话：</w:t>
      </w:r>
    </w:p>
    <w:p w:rsidR="009A2B95" w:rsidRDefault="00EB693B">
      <w:pPr>
        <w:rPr>
          <w:rFonts w:ascii="仿宋" w:eastAsia="仿宋" w:hAnsi="仿宋" w:cs="仿宋"/>
          <w:bCs/>
          <w:szCs w:val="21"/>
        </w:rPr>
      </w:pPr>
      <w:r>
        <w:rPr>
          <w:rFonts w:ascii="Arial" w:hAnsi="Arial" w:cs="Arial" w:hint="eastAsia"/>
          <w:b/>
          <w:bCs/>
          <w:kern w:val="0"/>
          <w:szCs w:val="21"/>
          <w:lang w:val="sv-SE" w:eastAsia="sv-SE"/>
        </w:rPr>
        <w:t>发生地点：</w:t>
      </w:r>
      <w:r>
        <w:rPr>
          <w:rFonts w:ascii="Arial" w:hAnsi="Arial" w:cs="Arial" w:hint="eastAsia"/>
          <w:szCs w:val="21"/>
          <w:lang w:val="en-GB"/>
        </w:rPr>
        <w:t>□境内</w:t>
      </w:r>
      <w:r>
        <w:rPr>
          <w:rFonts w:ascii="Arial" w:hAnsi="Arial" w:cs="Arial" w:hint="eastAsia"/>
          <w:szCs w:val="21"/>
          <w:lang w:val="en-GB"/>
        </w:rPr>
        <w:t xml:space="preserve">  </w:t>
      </w:r>
      <w:r>
        <w:rPr>
          <w:rFonts w:ascii="Arial" w:hAnsi="Arial" w:cs="Arial" w:hint="eastAsia"/>
          <w:szCs w:val="21"/>
          <w:lang w:val="en-GB"/>
        </w:rPr>
        <w:t>□境外</w:t>
      </w:r>
      <w:r>
        <w:rPr>
          <w:rFonts w:ascii="Arial" w:hAnsi="Arial" w:cs="Arial" w:hint="eastAsia"/>
          <w:szCs w:val="21"/>
          <w:lang w:val="en-GB"/>
        </w:rPr>
        <w:t xml:space="preserve"> </w:t>
      </w:r>
    </w:p>
    <w:p w:rsidR="009A2B95" w:rsidRDefault="009A2B95">
      <w:pPr>
        <w:rPr>
          <w:rFonts w:ascii="仿宋" w:eastAsia="仿宋" w:hAnsi="仿宋" w:cs="仿宋"/>
          <w:b/>
          <w:bCs/>
          <w:szCs w:val="21"/>
        </w:rPr>
        <w:sectPr w:rsidR="009A2B95">
          <w:footerReference w:type="default" r:id="rId9"/>
          <w:pgSz w:w="11906" w:h="16838"/>
          <w:pgMar w:top="1417" w:right="1417" w:bottom="1417" w:left="1417" w:header="851" w:footer="992" w:gutter="0"/>
          <w:pgNumType w:start="1"/>
          <w:cols w:space="720"/>
          <w:docGrid w:type="lines" w:linePitch="312"/>
        </w:sectPr>
      </w:pPr>
    </w:p>
    <w:p w:rsidR="009A2B95" w:rsidRDefault="00EB693B">
      <w:pPr>
        <w:pStyle w:val="z-1"/>
        <w:rPr>
          <w:lang w:eastAsia="zh-CN"/>
        </w:rPr>
      </w:pPr>
      <w:r>
        <w:rPr>
          <w:lang w:eastAsia="zh-CN"/>
        </w:rPr>
        <w:lastRenderedPageBreak/>
        <w:t>Bottom of Form</w:t>
      </w:r>
    </w:p>
    <w:p w:rsidR="009A2B95" w:rsidRDefault="009A2B95">
      <w:pPr>
        <w:pStyle w:val="Rubriktabell"/>
        <w:rPr>
          <w:sz w:val="20"/>
        </w:rPr>
        <w:sectPr w:rsidR="009A2B95">
          <w:type w:val="continuous"/>
          <w:pgSz w:w="11906" w:h="16838"/>
          <w:pgMar w:top="1440" w:right="1800" w:bottom="1440" w:left="1800" w:header="851" w:footer="992" w:gutter="0"/>
          <w:cols w:space="720"/>
          <w:docGrid w:type="lines" w:linePitch="312"/>
        </w:sectPr>
      </w:pPr>
      <w:bookmarkStart w:id="247" w:name="_Hlk311012749"/>
    </w:p>
    <w:tbl>
      <w:tblPr>
        <w:tblW w:w="4317" w:type="dxa"/>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317"/>
      </w:tblGrid>
      <w:tr w:rsidR="009A2B95">
        <w:trPr>
          <w:trHeight w:val="262"/>
          <w:jc w:val="center"/>
        </w:trPr>
        <w:tc>
          <w:tcPr>
            <w:tcW w:w="4317" w:type="dxa"/>
            <w:tcBorders>
              <w:bottom w:val="single" w:sz="4" w:space="0" w:color="auto"/>
            </w:tcBorders>
            <w:shd w:val="clear" w:color="auto" w:fill="CCCCCC"/>
          </w:tcPr>
          <w:p w:rsidR="009A2B95" w:rsidRDefault="00EB693B">
            <w:pPr>
              <w:pStyle w:val="Rubriktabell"/>
              <w:rPr>
                <w:sz w:val="20"/>
                <w:lang w:val="en-GB" w:eastAsia="zh-CN"/>
              </w:rPr>
            </w:pPr>
            <w:r>
              <w:rPr>
                <w:sz w:val="20"/>
              </w:rPr>
              <w:lastRenderedPageBreak/>
              <w:t xml:space="preserve">1. </w:t>
            </w:r>
            <w:r>
              <w:rPr>
                <w:rFonts w:hint="eastAsia"/>
                <w:sz w:val="20"/>
              </w:rPr>
              <w:t>医疗器械情况</w:t>
            </w:r>
          </w:p>
        </w:tc>
      </w:tr>
      <w:tr w:rsidR="009A2B95">
        <w:trPr>
          <w:trHeight w:val="262"/>
          <w:jc w:val="center"/>
        </w:trPr>
        <w:tc>
          <w:tcPr>
            <w:tcW w:w="4317" w:type="dxa"/>
            <w:vAlign w:val="center"/>
          </w:tcPr>
          <w:p w:rsidR="009A2B95" w:rsidRDefault="00EB693B">
            <w:pPr>
              <w:pStyle w:val="svar"/>
              <w:jc w:val="both"/>
              <w:rPr>
                <w:rFonts w:ascii="Arial" w:hAnsi="Arial" w:cs="Arial"/>
                <w:szCs w:val="18"/>
                <w:lang w:eastAsia="zh-CN"/>
              </w:rPr>
            </w:pPr>
            <w:r>
              <w:rPr>
                <w:rFonts w:ascii="Arial" w:hAnsi="Arial" w:cs="Arial" w:hint="eastAsia"/>
                <w:sz w:val="18"/>
                <w:szCs w:val="18"/>
                <w:lang w:eastAsia="zh-CN"/>
              </w:rPr>
              <w:t>产品名称：</w:t>
            </w:r>
            <w:r>
              <w:rPr>
                <w:rFonts w:ascii="Arial" w:hAnsi="Arial" w:cs="Arial" w:hint="eastAsia"/>
                <w:sz w:val="18"/>
                <w:szCs w:val="18"/>
                <w:shd w:val="pct10" w:color="auto" w:fill="FFFFFF"/>
                <w:lang w:eastAsia="zh-CN"/>
              </w:rPr>
              <w:t xml:space="preserve">              </w:t>
            </w:r>
          </w:p>
        </w:tc>
      </w:tr>
      <w:tr w:rsidR="009A2B95">
        <w:trPr>
          <w:trHeight w:val="262"/>
          <w:jc w:val="center"/>
        </w:trPr>
        <w:tc>
          <w:tcPr>
            <w:tcW w:w="4317" w:type="dxa"/>
            <w:vAlign w:val="center"/>
          </w:tcPr>
          <w:p w:rsidR="009A2B95" w:rsidRDefault="00EB693B">
            <w:pPr>
              <w:pStyle w:val="svar"/>
              <w:jc w:val="both"/>
              <w:rPr>
                <w:rFonts w:ascii="Arial" w:hAnsi="Arial" w:cs="Arial"/>
                <w:sz w:val="18"/>
                <w:szCs w:val="18"/>
                <w:lang w:eastAsia="zh-CN"/>
              </w:rPr>
            </w:pPr>
            <w:r>
              <w:rPr>
                <w:rFonts w:ascii="Arial" w:hAnsi="Arial" w:cs="Arial"/>
                <w:sz w:val="18"/>
                <w:szCs w:val="18"/>
                <w:lang w:eastAsia="zh-CN"/>
              </w:rPr>
              <w:t>注册证号</w:t>
            </w:r>
            <w:r>
              <w:rPr>
                <w:rFonts w:ascii="Arial" w:hAnsi="Arial" w:cs="Arial" w:hint="eastAsia"/>
                <w:sz w:val="18"/>
                <w:szCs w:val="18"/>
                <w:lang w:eastAsia="zh-CN"/>
              </w:rPr>
              <w:t>：</w:t>
            </w:r>
            <w:r>
              <w:rPr>
                <w:rFonts w:ascii="Arial" w:hAnsi="Arial" w:cs="Arial" w:hint="eastAsia"/>
                <w:sz w:val="18"/>
                <w:szCs w:val="18"/>
                <w:shd w:val="pct10" w:color="auto" w:fill="FFFFFF"/>
                <w:lang w:eastAsia="zh-CN"/>
              </w:rPr>
              <w:t xml:space="preserve">              </w:t>
            </w:r>
            <w:r>
              <w:rPr>
                <w:rFonts w:ascii="Arial" w:hAnsi="Arial" w:cs="Arial" w:hint="eastAsia"/>
                <w:sz w:val="18"/>
                <w:szCs w:val="18"/>
                <w:lang w:eastAsia="zh-CN"/>
              </w:rPr>
              <w:t>型号</w:t>
            </w:r>
            <w:r>
              <w:rPr>
                <w:rFonts w:ascii="Arial" w:hAnsi="Arial" w:cs="Arial"/>
                <w:sz w:val="18"/>
                <w:szCs w:val="18"/>
                <w:lang w:eastAsia="zh-CN"/>
              </w:rPr>
              <w:t>规格</w:t>
            </w:r>
            <w:r>
              <w:rPr>
                <w:rFonts w:ascii="Arial" w:hAnsi="Arial" w:cs="Arial" w:hint="eastAsia"/>
                <w:sz w:val="18"/>
                <w:szCs w:val="18"/>
                <w:lang w:eastAsia="zh-CN"/>
              </w:rPr>
              <w:t>：</w:t>
            </w:r>
            <w:r>
              <w:rPr>
                <w:rFonts w:ascii="Arial" w:hAnsi="Arial" w:cs="Arial" w:hint="eastAsia"/>
                <w:sz w:val="18"/>
                <w:szCs w:val="18"/>
                <w:shd w:val="pct10" w:color="auto" w:fill="FFFFFF"/>
                <w:lang w:eastAsia="zh-CN"/>
              </w:rPr>
              <w:t xml:space="preserve">              </w:t>
            </w:r>
          </w:p>
        </w:tc>
      </w:tr>
      <w:tr w:rsidR="009A2B95">
        <w:trPr>
          <w:trHeight w:val="1153"/>
          <w:jc w:val="center"/>
        </w:trPr>
        <w:tc>
          <w:tcPr>
            <w:tcW w:w="4317" w:type="dxa"/>
            <w:vAlign w:val="center"/>
          </w:tcPr>
          <w:p w:rsidR="009A2B95" w:rsidRDefault="00EB693B">
            <w:pPr>
              <w:pStyle w:val="svar"/>
              <w:jc w:val="both"/>
              <w:rPr>
                <w:rFonts w:ascii="Arial" w:hAnsi="Arial" w:cs="Arial"/>
                <w:sz w:val="18"/>
                <w:szCs w:val="18"/>
                <w:lang w:eastAsia="zh-CN"/>
              </w:rPr>
            </w:pPr>
            <w:r>
              <w:rPr>
                <w:rFonts w:ascii="Arial" w:hAnsi="Arial" w:cs="Arial" w:hint="eastAsia"/>
                <w:sz w:val="18"/>
                <w:szCs w:val="18"/>
                <w:lang w:eastAsia="zh-CN"/>
              </w:rPr>
              <w:t>产品类型：</w:t>
            </w:r>
          </w:p>
          <w:p w:rsidR="009A2B95" w:rsidRDefault="00EB693B">
            <w:pPr>
              <w:pStyle w:val="svar"/>
              <w:jc w:val="both"/>
              <w:rPr>
                <w:rFonts w:ascii="Arial" w:hAnsi="Arial" w:cs="Arial"/>
                <w:sz w:val="18"/>
                <w:szCs w:val="18"/>
                <w:lang w:eastAsia="zh-CN"/>
              </w:rPr>
            </w:pPr>
            <w:r>
              <w:rPr>
                <w:rFonts w:ascii="Arial" w:hAnsi="Arial" w:cs="Arial" w:hint="eastAsia"/>
                <w:sz w:val="18"/>
                <w:szCs w:val="18"/>
                <w:lang w:eastAsia="zh-CN"/>
              </w:rPr>
              <w:t>□有源</w:t>
            </w:r>
            <w:r>
              <w:rPr>
                <w:rFonts w:ascii="Arial" w:hAnsi="Arial" w:cs="Arial" w:hint="eastAsia"/>
                <w:sz w:val="18"/>
                <w:szCs w:val="18"/>
                <w:lang w:eastAsia="zh-CN"/>
              </w:rPr>
              <w:t xml:space="preserve">  </w:t>
            </w:r>
            <w:r>
              <w:rPr>
                <w:rFonts w:ascii="Arial" w:hAnsi="Arial" w:cs="Arial" w:hint="eastAsia"/>
                <w:sz w:val="18"/>
                <w:szCs w:val="18"/>
                <w:lang w:eastAsia="zh-CN"/>
              </w:rPr>
              <w:t>□无源</w:t>
            </w:r>
            <w:r>
              <w:rPr>
                <w:rFonts w:ascii="Arial" w:hAnsi="Arial" w:cs="Arial" w:hint="eastAsia"/>
                <w:sz w:val="18"/>
                <w:szCs w:val="18"/>
                <w:lang w:eastAsia="zh-CN"/>
              </w:rPr>
              <w:t xml:space="preserve">  </w:t>
            </w:r>
            <w:r>
              <w:rPr>
                <w:rFonts w:ascii="Arial" w:hAnsi="Arial" w:cs="Arial" w:hint="eastAsia"/>
                <w:sz w:val="18"/>
                <w:szCs w:val="18"/>
                <w:lang w:eastAsia="zh-CN"/>
              </w:rPr>
              <w:t>□体外诊断试剂</w:t>
            </w:r>
            <w:r>
              <w:rPr>
                <w:rFonts w:ascii="Arial" w:hAnsi="Arial" w:cs="Arial" w:hint="eastAsia"/>
                <w:sz w:val="18"/>
                <w:szCs w:val="18"/>
                <w:lang w:eastAsia="zh-CN"/>
              </w:rPr>
              <w:t xml:space="preserve">     </w:t>
            </w:r>
          </w:p>
          <w:p w:rsidR="009A2B95" w:rsidRDefault="00EB693B">
            <w:pPr>
              <w:pStyle w:val="svar"/>
              <w:jc w:val="both"/>
              <w:rPr>
                <w:rFonts w:ascii="Arial" w:hAnsi="Arial" w:cs="Arial"/>
                <w:sz w:val="18"/>
                <w:szCs w:val="18"/>
                <w:lang w:eastAsia="zh-CN"/>
              </w:rPr>
            </w:pPr>
            <w:r>
              <w:rPr>
                <w:rFonts w:ascii="Arial" w:hAnsi="Arial" w:cs="Arial" w:hint="eastAsia"/>
                <w:sz w:val="18"/>
                <w:szCs w:val="18"/>
                <w:lang w:eastAsia="zh-CN"/>
              </w:rPr>
              <w:t>□进口</w:t>
            </w:r>
            <w:r>
              <w:rPr>
                <w:rFonts w:ascii="Arial" w:hAnsi="Arial" w:cs="Arial" w:hint="eastAsia"/>
                <w:sz w:val="18"/>
                <w:szCs w:val="18"/>
                <w:lang w:eastAsia="zh-CN"/>
              </w:rPr>
              <w:t xml:space="preserve">  </w:t>
            </w:r>
            <w:r>
              <w:rPr>
                <w:rFonts w:ascii="Arial" w:hAnsi="Arial" w:cs="Arial" w:hint="eastAsia"/>
                <w:sz w:val="18"/>
                <w:szCs w:val="18"/>
                <w:lang w:eastAsia="zh-CN"/>
              </w:rPr>
              <w:t>□国产</w:t>
            </w:r>
            <w:r>
              <w:rPr>
                <w:rFonts w:ascii="Arial" w:hAnsi="Arial" w:cs="Arial" w:hint="eastAsia"/>
                <w:sz w:val="18"/>
                <w:szCs w:val="18"/>
                <w:lang w:eastAsia="zh-CN"/>
              </w:rPr>
              <w:t xml:space="preserve">  </w:t>
            </w:r>
          </w:p>
          <w:p w:rsidR="009A2B95" w:rsidRDefault="00EB693B">
            <w:pPr>
              <w:pStyle w:val="svar"/>
              <w:jc w:val="both"/>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fldChar w:fldCharType="begin"/>
            </w:r>
            <w:r>
              <w:rPr>
                <w:rFonts w:ascii="Arial" w:hAnsi="Arial" w:cs="Arial"/>
                <w:sz w:val="18"/>
                <w:szCs w:val="18"/>
                <w:lang w:eastAsia="zh-CN"/>
              </w:rPr>
              <w:instrText xml:space="preserve"> </w:instrText>
            </w:r>
            <w:r>
              <w:rPr>
                <w:rFonts w:ascii="Arial" w:hAnsi="Arial" w:cs="Arial" w:hint="eastAsia"/>
                <w:sz w:val="18"/>
                <w:szCs w:val="18"/>
                <w:lang w:eastAsia="zh-CN"/>
              </w:rPr>
              <w:instrText>= 3 \* ROMAN</w:instrText>
            </w:r>
            <w:r>
              <w:rPr>
                <w:rFonts w:ascii="Arial" w:hAnsi="Arial" w:cs="Arial"/>
                <w:sz w:val="18"/>
                <w:szCs w:val="18"/>
                <w:lang w:eastAsia="zh-CN"/>
              </w:rPr>
              <w:instrText xml:space="preserve"> </w:instrText>
            </w:r>
            <w:r>
              <w:rPr>
                <w:rFonts w:ascii="Arial" w:hAnsi="Arial" w:cs="Arial"/>
                <w:sz w:val="18"/>
                <w:szCs w:val="18"/>
                <w:lang w:eastAsia="zh-CN"/>
              </w:rPr>
              <w:fldChar w:fldCharType="separate"/>
            </w:r>
            <w:r>
              <w:rPr>
                <w:rFonts w:ascii="Arial" w:hAnsi="Arial" w:cs="Arial"/>
                <w:sz w:val="18"/>
                <w:szCs w:val="18"/>
                <w:lang w:eastAsia="zh-CN"/>
              </w:rPr>
              <w:t>III</w:t>
            </w:r>
            <w:r>
              <w:rPr>
                <w:rFonts w:ascii="Arial" w:hAnsi="Arial" w:cs="Arial"/>
                <w:sz w:val="18"/>
                <w:szCs w:val="18"/>
                <w:lang w:eastAsia="zh-CN"/>
              </w:rPr>
              <w:fldChar w:fldCharType="end"/>
            </w:r>
            <w:r>
              <w:rPr>
                <w:rFonts w:ascii="Arial" w:hAnsi="Arial" w:cs="Arial" w:hint="eastAsia"/>
                <w:sz w:val="18"/>
                <w:szCs w:val="18"/>
                <w:lang w:eastAsia="zh-CN"/>
              </w:rPr>
              <w:t>类</w:t>
            </w:r>
            <w:r>
              <w:rPr>
                <w:rFonts w:ascii="Arial" w:hAnsi="Arial" w:cs="Arial" w:hint="eastAsia"/>
                <w:sz w:val="18"/>
                <w:szCs w:val="18"/>
                <w:lang w:eastAsia="zh-CN"/>
              </w:rPr>
              <w:t xml:space="preserve">  </w:t>
            </w:r>
            <w:r>
              <w:rPr>
                <w:rFonts w:ascii="Arial" w:hAnsi="Arial" w:cs="Arial" w:hint="eastAsia"/>
                <w:sz w:val="18"/>
                <w:szCs w:val="18"/>
                <w:lang w:eastAsia="zh-CN"/>
              </w:rPr>
              <w:t>□</w:t>
            </w:r>
            <w:r>
              <w:rPr>
                <w:rFonts w:ascii="Arial" w:hAnsi="Arial" w:cs="Arial"/>
                <w:sz w:val="18"/>
                <w:szCs w:val="18"/>
                <w:lang w:eastAsia="zh-CN"/>
              </w:rPr>
              <w:fldChar w:fldCharType="begin"/>
            </w:r>
            <w:r>
              <w:rPr>
                <w:rFonts w:ascii="Arial" w:hAnsi="Arial" w:cs="Arial"/>
                <w:sz w:val="18"/>
                <w:szCs w:val="18"/>
                <w:lang w:eastAsia="zh-CN"/>
              </w:rPr>
              <w:instrText xml:space="preserve"> </w:instrText>
            </w:r>
            <w:r>
              <w:rPr>
                <w:rFonts w:ascii="Arial" w:hAnsi="Arial" w:cs="Arial" w:hint="eastAsia"/>
                <w:sz w:val="18"/>
                <w:szCs w:val="18"/>
                <w:lang w:eastAsia="zh-CN"/>
              </w:rPr>
              <w:instrText>= 2 \* ROMAN</w:instrText>
            </w:r>
            <w:r>
              <w:rPr>
                <w:rFonts w:ascii="Arial" w:hAnsi="Arial" w:cs="Arial"/>
                <w:sz w:val="18"/>
                <w:szCs w:val="18"/>
                <w:lang w:eastAsia="zh-CN"/>
              </w:rPr>
              <w:instrText xml:space="preserve"> </w:instrText>
            </w:r>
            <w:r>
              <w:rPr>
                <w:rFonts w:ascii="Arial" w:hAnsi="Arial" w:cs="Arial"/>
                <w:sz w:val="18"/>
                <w:szCs w:val="18"/>
                <w:lang w:eastAsia="zh-CN"/>
              </w:rPr>
              <w:fldChar w:fldCharType="separate"/>
            </w:r>
            <w:r>
              <w:rPr>
                <w:rFonts w:ascii="Arial" w:hAnsi="Arial" w:cs="Arial"/>
                <w:sz w:val="18"/>
                <w:szCs w:val="18"/>
                <w:lang w:eastAsia="zh-CN"/>
              </w:rPr>
              <w:t>II</w:t>
            </w:r>
            <w:r>
              <w:rPr>
                <w:rFonts w:ascii="Arial" w:hAnsi="Arial" w:cs="Arial"/>
                <w:sz w:val="18"/>
                <w:szCs w:val="18"/>
                <w:lang w:eastAsia="zh-CN"/>
              </w:rPr>
              <w:fldChar w:fldCharType="end"/>
            </w:r>
            <w:r>
              <w:rPr>
                <w:rFonts w:ascii="Arial" w:hAnsi="Arial" w:cs="Arial" w:hint="eastAsia"/>
                <w:sz w:val="18"/>
                <w:szCs w:val="18"/>
                <w:lang w:eastAsia="zh-CN"/>
              </w:rPr>
              <w:t>类</w:t>
            </w:r>
            <w:r>
              <w:rPr>
                <w:rFonts w:ascii="Arial" w:hAnsi="Arial" w:cs="Arial" w:hint="eastAsia"/>
                <w:sz w:val="18"/>
                <w:szCs w:val="18"/>
                <w:lang w:eastAsia="zh-CN"/>
              </w:rPr>
              <w:t xml:space="preserve">  </w:t>
            </w:r>
            <w:r>
              <w:rPr>
                <w:rFonts w:ascii="Arial" w:hAnsi="Arial" w:cs="Arial" w:hint="eastAsia"/>
                <w:sz w:val="18"/>
                <w:szCs w:val="18"/>
                <w:lang w:eastAsia="zh-CN"/>
              </w:rPr>
              <w:t>□</w:t>
            </w:r>
            <w:r>
              <w:rPr>
                <w:rFonts w:ascii="Arial" w:hAnsi="Arial" w:cs="Arial"/>
                <w:sz w:val="18"/>
                <w:szCs w:val="18"/>
                <w:lang w:eastAsia="zh-CN"/>
              </w:rPr>
              <w:fldChar w:fldCharType="begin"/>
            </w:r>
            <w:r>
              <w:rPr>
                <w:rFonts w:ascii="Arial" w:hAnsi="Arial" w:cs="Arial"/>
                <w:sz w:val="18"/>
                <w:szCs w:val="18"/>
                <w:lang w:eastAsia="zh-CN"/>
              </w:rPr>
              <w:instrText xml:space="preserve"> </w:instrText>
            </w:r>
            <w:r>
              <w:rPr>
                <w:rFonts w:ascii="Arial" w:hAnsi="Arial" w:cs="Arial" w:hint="eastAsia"/>
                <w:sz w:val="18"/>
                <w:szCs w:val="18"/>
                <w:lang w:eastAsia="zh-CN"/>
              </w:rPr>
              <w:instrText>= 1 \* ROMAN</w:instrText>
            </w:r>
            <w:r>
              <w:rPr>
                <w:rFonts w:ascii="Arial" w:hAnsi="Arial" w:cs="Arial"/>
                <w:sz w:val="18"/>
                <w:szCs w:val="18"/>
                <w:lang w:eastAsia="zh-CN"/>
              </w:rPr>
              <w:instrText xml:space="preserve"> </w:instrText>
            </w:r>
            <w:r>
              <w:rPr>
                <w:rFonts w:ascii="Arial" w:hAnsi="Arial" w:cs="Arial"/>
                <w:sz w:val="18"/>
                <w:szCs w:val="18"/>
                <w:lang w:eastAsia="zh-CN"/>
              </w:rPr>
              <w:fldChar w:fldCharType="separate"/>
            </w:r>
            <w:r>
              <w:rPr>
                <w:rFonts w:ascii="Arial" w:hAnsi="Arial" w:cs="Arial"/>
                <w:sz w:val="18"/>
                <w:szCs w:val="18"/>
                <w:lang w:eastAsia="zh-CN"/>
              </w:rPr>
              <w:t>I</w:t>
            </w:r>
            <w:r>
              <w:rPr>
                <w:rFonts w:ascii="Arial" w:hAnsi="Arial" w:cs="Arial"/>
                <w:sz w:val="18"/>
                <w:szCs w:val="18"/>
                <w:lang w:eastAsia="zh-CN"/>
              </w:rPr>
              <w:fldChar w:fldCharType="end"/>
            </w:r>
            <w:r>
              <w:rPr>
                <w:rFonts w:ascii="Arial" w:hAnsi="Arial" w:cs="Arial" w:hint="eastAsia"/>
                <w:sz w:val="18"/>
                <w:szCs w:val="18"/>
                <w:lang w:eastAsia="zh-CN"/>
              </w:rPr>
              <w:t>类</w:t>
            </w:r>
          </w:p>
        </w:tc>
      </w:tr>
      <w:tr w:rsidR="009A2B95">
        <w:trPr>
          <w:trHeight w:val="262"/>
          <w:jc w:val="center"/>
        </w:trPr>
        <w:tc>
          <w:tcPr>
            <w:tcW w:w="4317" w:type="dxa"/>
            <w:vAlign w:val="center"/>
          </w:tcPr>
          <w:p w:rsidR="009A2B95" w:rsidRDefault="00EB693B">
            <w:pPr>
              <w:pStyle w:val="svar"/>
              <w:jc w:val="both"/>
              <w:rPr>
                <w:rFonts w:ascii="Arial" w:hAnsi="Arial" w:cs="Arial"/>
                <w:sz w:val="18"/>
                <w:szCs w:val="18"/>
                <w:lang w:eastAsia="zh-CN"/>
              </w:rPr>
            </w:pPr>
            <w:r>
              <w:rPr>
                <w:rFonts w:ascii="Arial" w:hAnsi="Arial" w:cs="Arial" w:hint="eastAsia"/>
                <w:sz w:val="18"/>
                <w:szCs w:val="18"/>
                <w:lang w:eastAsia="zh-CN"/>
              </w:rPr>
              <w:t>产品批号：</w:t>
            </w:r>
            <w:r>
              <w:rPr>
                <w:rFonts w:ascii="Arial" w:hAnsi="Arial" w:cs="Arial" w:hint="eastAsia"/>
                <w:sz w:val="18"/>
                <w:szCs w:val="18"/>
                <w:shd w:val="pct10" w:color="auto" w:fill="FFFFFF"/>
                <w:lang w:eastAsia="zh-CN"/>
              </w:rPr>
              <w:t xml:space="preserve">         </w:t>
            </w:r>
            <w:r>
              <w:rPr>
                <w:rFonts w:ascii="Arial" w:hAnsi="Arial" w:cs="Arial" w:hint="eastAsia"/>
                <w:sz w:val="18"/>
                <w:szCs w:val="18"/>
                <w:lang w:eastAsia="zh-CN"/>
              </w:rPr>
              <w:t xml:space="preserve">  </w:t>
            </w:r>
            <w:r>
              <w:rPr>
                <w:rFonts w:ascii="Arial" w:hAnsi="Arial" w:cs="Arial" w:hint="eastAsia"/>
                <w:sz w:val="18"/>
                <w:szCs w:val="18"/>
                <w:lang w:eastAsia="zh-CN"/>
              </w:rPr>
              <w:t>产品编号：</w:t>
            </w:r>
            <w:r>
              <w:rPr>
                <w:rFonts w:ascii="Arial" w:hAnsi="Arial" w:cs="Arial" w:hint="eastAsia"/>
                <w:sz w:val="18"/>
                <w:szCs w:val="18"/>
                <w:shd w:val="pct10" w:color="auto" w:fill="FFFFFF"/>
                <w:lang w:eastAsia="zh-CN"/>
              </w:rPr>
              <w:t xml:space="preserve">         </w:t>
            </w:r>
            <w:r>
              <w:rPr>
                <w:rFonts w:ascii="Arial" w:hAnsi="Arial" w:cs="Arial" w:hint="eastAsia"/>
                <w:sz w:val="18"/>
                <w:szCs w:val="18"/>
                <w:lang w:eastAsia="zh-CN"/>
              </w:rPr>
              <w:t xml:space="preserve"> </w:t>
            </w:r>
          </w:p>
          <w:p w:rsidR="009A2B95" w:rsidRDefault="00EB693B">
            <w:pPr>
              <w:pStyle w:val="svar"/>
              <w:jc w:val="both"/>
              <w:rPr>
                <w:rFonts w:ascii="Arial" w:hAnsi="Arial" w:cs="Arial"/>
                <w:sz w:val="18"/>
                <w:szCs w:val="18"/>
                <w:lang w:eastAsia="zh-CN"/>
              </w:rPr>
            </w:pPr>
            <w:r>
              <w:rPr>
                <w:rFonts w:ascii="Arial" w:hAnsi="Arial" w:cs="Arial"/>
                <w:sz w:val="18"/>
                <w:szCs w:val="18"/>
                <w:lang w:eastAsia="zh-CN"/>
              </w:rPr>
              <w:t>UDI</w:t>
            </w:r>
            <w:r>
              <w:rPr>
                <w:rFonts w:ascii="Arial" w:hAnsi="Arial" w:cs="Arial"/>
                <w:sz w:val="18"/>
                <w:szCs w:val="18"/>
                <w:lang w:eastAsia="zh-CN"/>
              </w:rPr>
              <w:t>：</w:t>
            </w:r>
            <w:r>
              <w:rPr>
                <w:rFonts w:ascii="Arial" w:hAnsi="Arial" w:cs="Arial" w:hint="eastAsia"/>
                <w:sz w:val="18"/>
                <w:szCs w:val="18"/>
                <w:shd w:val="pct10" w:color="auto" w:fill="FFFFFF"/>
                <w:lang w:eastAsia="zh-CN"/>
              </w:rPr>
              <w:t xml:space="preserve">         </w:t>
            </w:r>
          </w:p>
        </w:tc>
      </w:tr>
      <w:tr w:rsidR="009A2B95">
        <w:trPr>
          <w:trHeight w:val="262"/>
          <w:jc w:val="center"/>
        </w:trPr>
        <w:tc>
          <w:tcPr>
            <w:tcW w:w="4317" w:type="dxa"/>
            <w:vAlign w:val="center"/>
          </w:tcPr>
          <w:p w:rsidR="009A2B95" w:rsidRDefault="00EB693B">
            <w:pPr>
              <w:pStyle w:val="svar"/>
              <w:jc w:val="both"/>
              <w:rPr>
                <w:rFonts w:ascii="Arial" w:hAnsi="Arial" w:cs="Arial"/>
                <w:sz w:val="18"/>
                <w:szCs w:val="18"/>
                <w:lang w:eastAsia="zh-CN"/>
              </w:rPr>
            </w:pPr>
            <w:r>
              <w:rPr>
                <w:rFonts w:ascii="Arial" w:hAnsi="Arial" w:cs="Arial" w:hint="eastAsia"/>
                <w:sz w:val="18"/>
                <w:szCs w:val="18"/>
                <w:lang w:eastAsia="zh-CN"/>
              </w:rPr>
              <w:t>生产日期：</w:t>
            </w:r>
            <w:r>
              <w:rPr>
                <w:rFonts w:ascii="Arial" w:hAnsi="Arial" w:cs="Arial" w:hint="eastAsia"/>
                <w:sz w:val="18"/>
                <w:szCs w:val="18"/>
                <w:lang w:eastAsia="zh-CN"/>
              </w:rPr>
              <w:t xml:space="preserve"> </w:t>
            </w:r>
            <w:r>
              <w:rPr>
                <w:rFonts w:ascii="Arial" w:hAnsi="Arial" w:cs="Arial" w:hint="eastAsia"/>
                <w:sz w:val="18"/>
                <w:szCs w:val="18"/>
                <w:shd w:val="pct10" w:color="auto" w:fill="FFFFFF"/>
                <w:lang w:eastAsia="zh-CN"/>
              </w:rPr>
              <w:t xml:space="preserve">         </w:t>
            </w:r>
            <w:r>
              <w:rPr>
                <w:rFonts w:ascii="Arial" w:hAnsi="Arial" w:cs="Arial" w:hint="eastAsia"/>
                <w:sz w:val="18"/>
                <w:szCs w:val="18"/>
                <w:lang w:eastAsia="zh-CN"/>
              </w:rPr>
              <w:t xml:space="preserve">  </w:t>
            </w:r>
            <w:r>
              <w:rPr>
                <w:rFonts w:ascii="Arial" w:hAnsi="Arial" w:cs="Arial" w:hint="eastAsia"/>
                <w:sz w:val="18"/>
                <w:szCs w:val="18"/>
                <w:lang w:eastAsia="zh-CN"/>
              </w:rPr>
              <w:t>有效期至：</w:t>
            </w:r>
            <w:r>
              <w:rPr>
                <w:rFonts w:ascii="Arial" w:hAnsi="Arial" w:cs="Arial" w:hint="eastAsia"/>
                <w:sz w:val="18"/>
                <w:szCs w:val="18"/>
                <w:lang w:eastAsia="zh-CN"/>
              </w:rPr>
              <w:t xml:space="preserve"> </w:t>
            </w:r>
            <w:r>
              <w:rPr>
                <w:rFonts w:ascii="Arial" w:hAnsi="Arial" w:cs="Arial" w:hint="eastAsia"/>
                <w:sz w:val="18"/>
                <w:szCs w:val="18"/>
                <w:shd w:val="pct10" w:color="auto" w:fill="FFFFFF"/>
                <w:lang w:eastAsia="zh-CN"/>
              </w:rPr>
              <w:t xml:space="preserve">         </w:t>
            </w:r>
          </w:p>
        </w:tc>
      </w:tr>
      <w:tr w:rsidR="009A2B95">
        <w:trPr>
          <w:trHeight w:val="262"/>
          <w:jc w:val="center"/>
        </w:trPr>
        <w:tc>
          <w:tcPr>
            <w:tcW w:w="4317" w:type="dxa"/>
            <w:shd w:val="clear" w:color="auto" w:fill="CCCCCC"/>
          </w:tcPr>
          <w:p w:rsidR="009A2B95" w:rsidRDefault="00EB693B">
            <w:pPr>
              <w:pStyle w:val="Rubriktabell"/>
              <w:rPr>
                <w:sz w:val="20"/>
                <w:lang w:val="en-GB"/>
              </w:rPr>
            </w:pPr>
            <w:r>
              <w:rPr>
                <w:sz w:val="20"/>
                <w:lang w:val="en-GB"/>
              </w:rPr>
              <w:t>2.</w:t>
            </w:r>
            <w:r>
              <w:rPr>
                <w:rFonts w:hint="eastAsia"/>
                <w:sz w:val="20"/>
                <w:lang w:val="en-GB" w:eastAsia="zh-CN"/>
              </w:rPr>
              <w:t xml:space="preserve"> </w:t>
            </w:r>
            <w:r>
              <w:rPr>
                <w:rFonts w:hint="eastAsia"/>
                <w:sz w:val="20"/>
                <w:lang w:val="en-GB" w:eastAsia="zh-CN"/>
              </w:rPr>
              <w:t>不良事件情况</w:t>
            </w:r>
          </w:p>
        </w:tc>
      </w:tr>
      <w:tr w:rsidR="009A2B95">
        <w:trPr>
          <w:trHeight w:val="416"/>
          <w:jc w:val="center"/>
        </w:trPr>
        <w:tc>
          <w:tcPr>
            <w:tcW w:w="4317" w:type="dxa"/>
          </w:tcPr>
          <w:p w:rsidR="009A2B95" w:rsidRDefault="00EB693B">
            <w:pPr>
              <w:pStyle w:val="Haupttext"/>
              <w:rPr>
                <w:rFonts w:cs="Arial"/>
                <w:lang w:eastAsia="zh-CN"/>
              </w:rPr>
            </w:pPr>
            <w:r>
              <w:rPr>
                <w:rFonts w:ascii="宋体" w:hAnsi="Times New Roman" w:cs="宋体" w:hint="eastAsia"/>
                <w:szCs w:val="18"/>
                <w:lang w:val="zh-CN" w:eastAsia="zh-CN"/>
              </w:rPr>
              <w:t>事件发生</w:t>
            </w:r>
            <w:r>
              <w:rPr>
                <w:rFonts w:ascii="宋体" w:hAnsi="Times New Roman" w:cs="宋体" w:hint="eastAsia"/>
                <w:szCs w:val="18"/>
                <w:lang w:val="zh-CN"/>
              </w:rPr>
              <w:t>日期：</w:t>
            </w:r>
            <w:r>
              <w:rPr>
                <w:rFonts w:cs="Arial" w:hint="eastAsia"/>
                <w:szCs w:val="18"/>
                <w:shd w:val="pct10" w:color="auto" w:fill="FFFFFF"/>
                <w:lang w:eastAsia="zh-CN"/>
              </w:rPr>
              <w:t xml:space="preserve">         </w:t>
            </w:r>
          </w:p>
        </w:tc>
      </w:tr>
      <w:tr w:rsidR="009A2B95">
        <w:trPr>
          <w:trHeight w:val="416"/>
          <w:jc w:val="center"/>
        </w:trPr>
        <w:tc>
          <w:tcPr>
            <w:tcW w:w="4317" w:type="dxa"/>
          </w:tcPr>
          <w:p w:rsidR="009A2B95" w:rsidRDefault="00EB693B">
            <w:pPr>
              <w:pStyle w:val="Haupttext"/>
              <w:rPr>
                <w:rFonts w:ascii="宋体" w:hAnsi="Times New Roman" w:cs="宋体"/>
                <w:szCs w:val="18"/>
                <w:highlight w:val="white"/>
                <w:lang w:val="zh-CN" w:eastAsia="zh-CN"/>
              </w:rPr>
            </w:pPr>
            <w:r>
              <w:rPr>
                <w:rFonts w:ascii="宋体" w:hAnsi="Times New Roman" w:cs="宋体" w:hint="eastAsia"/>
                <w:szCs w:val="18"/>
                <w:lang w:val="zh-CN" w:eastAsia="zh-CN"/>
              </w:rPr>
              <w:t>事件发现或获知</w:t>
            </w:r>
            <w:r>
              <w:rPr>
                <w:rFonts w:ascii="宋体" w:hAnsi="Times New Roman" w:cs="宋体" w:hint="eastAsia"/>
                <w:szCs w:val="18"/>
                <w:lang w:val="zh-CN"/>
              </w:rPr>
              <w:t>日期：</w:t>
            </w:r>
            <w:r>
              <w:rPr>
                <w:rFonts w:cs="Arial" w:hint="eastAsia"/>
                <w:szCs w:val="18"/>
                <w:shd w:val="pct10" w:color="auto" w:fill="FFFFFF"/>
                <w:lang w:eastAsia="zh-CN"/>
              </w:rPr>
              <w:t xml:space="preserve">         </w:t>
            </w:r>
          </w:p>
        </w:tc>
      </w:tr>
      <w:tr w:rsidR="009A2B95">
        <w:trPr>
          <w:trHeight w:val="408"/>
          <w:jc w:val="center"/>
        </w:trPr>
        <w:tc>
          <w:tcPr>
            <w:tcW w:w="4317" w:type="dxa"/>
          </w:tcPr>
          <w:p w:rsidR="009A2B95" w:rsidRDefault="00EB693B">
            <w:pPr>
              <w:pStyle w:val="Haupttext"/>
              <w:widowControl/>
              <w:rPr>
                <w:rFonts w:cs="Arial"/>
                <w:lang w:val="en-GB" w:eastAsia="zh-CN"/>
              </w:rPr>
            </w:pPr>
            <w:r>
              <w:rPr>
                <w:rFonts w:cs="Arial" w:hint="eastAsia"/>
                <w:lang w:val="en-GB" w:eastAsia="zh-CN"/>
              </w:rPr>
              <w:t>伤害：□死亡</w:t>
            </w:r>
            <w:r>
              <w:rPr>
                <w:rFonts w:cs="Arial" w:hint="eastAsia"/>
                <w:lang w:val="en-GB" w:eastAsia="zh-CN"/>
              </w:rPr>
              <w:t xml:space="preserve"> </w:t>
            </w:r>
          </w:p>
          <w:p w:rsidR="009A2B95" w:rsidRDefault="00EB693B">
            <w:pPr>
              <w:pStyle w:val="Haupttext"/>
              <w:widowControl/>
              <w:ind w:firstLineChars="300" w:firstLine="540"/>
              <w:rPr>
                <w:rFonts w:cs="Arial"/>
                <w:lang w:val="en-US" w:eastAsia="zh-CN"/>
              </w:rPr>
            </w:pPr>
            <w:r>
              <w:rPr>
                <w:rFonts w:cs="Arial" w:hint="eastAsia"/>
                <w:lang w:val="en-GB" w:eastAsia="zh-CN"/>
              </w:rPr>
              <w:t>□严重伤害</w:t>
            </w:r>
            <w:r>
              <w:rPr>
                <w:rFonts w:cs="Arial" w:hint="eastAsia"/>
                <w:lang w:val="en-US" w:eastAsia="zh-CN"/>
              </w:rPr>
              <w:t xml:space="preserve">   </w:t>
            </w:r>
            <w:r>
              <w:rPr>
                <w:rFonts w:cs="Arial" w:hint="eastAsia"/>
                <w:lang w:val="en-GB" w:eastAsia="zh-CN"/>
              </w:rPr>
              <w:sym w:font="Wingdings 2" w:char="00A3"/>
            </w:r>
            <w:r>
              <w:rPr>
                <w:rFonts w:cs="Arial" w:hint="eastAsia"/>
                <w:lang w:val="en-GB" w:eastAsia="zh-CN"/>
              </w:rPr>
              <w:t>其他（非死亡和严重伤害）</w:t>
            </w:r>
          </w:p>
          <w:p w:rsidR="009A2B95" w:rsidRDefault="00EB693B">
            <w:pPr>
              <w:pStyle w:val="Haupttext"/>
              <w:widowControl/>
              <w:ind w:firstLineChars="300" w:firstLine="540"/>
              <w:rPr>
                <w:rFonts w:cs="Arial"/>
                <w:lang w:val="en-GB" w:eastAsia="zh-CN"/>
              </w:rPr>
            </w:pPr>
            <w:r>
              <w:rPr>
                <w:rFonts w:cs="Arial" w:hint="eastAsia"/>
                <w:lang w:val="en-GB" w:eastAsia="zh-CN"/>
              </w:rPr>
              <w:t>伤害表现：</w:t>
            </w:r>
            <w:r>
              <w:rPr>
                <w:rFonts w:cs="Arial" w:hint="eastAsia"/>
                <w:szCs w:val="18"/>
                <w:shd w:val="pct10" w:color="auto" w:fill="FFFFFF"/>
                <w:lang w:eastAsia="zh-CN"/>
              </w:rPr>
              <w:t xml:space="preserve">            </w:t>
            </w:r>
            <w:r>
              <w:rPr>
                <w:rFonts w:cs="Arial" w:hint="eastAsia"/>
                <w:szCs w:val="18"/>
                <w:lang w:eastAsia="zh-CN"/>
              </w:rPr>
              <w:t>（可上传附件）</w:t>
            </w:r>
          </w:p>
          <w:p w:rsidR="009A2B95" w:rsidRDefault="00EB693B">
            <w:pPr>
              <w:pStyle w:val="Haupttext"/>
              <w:widowControl/>
              <w:ind w:firstLineChars="300" w:firstLine="540"/>
              <w:rPr>
                <w:rFonts w:cs="Arial"/>
                <w:szCs w:val="18"/>
                <w:lang w:eastAsia="zh-CN"/>
              </w:rPr>
            </w:pPr>
            <w:r>
              <w:rPr>
                <w:rFonts w:cs="Arial" w:hint="eastAsia"/>
                <w:lang w:val="en-GB" w:eastAsia="zh-CN"/>
              </w:rPr>
              <w:t>姓名：</w:t>
            </w:r>
            <w:r>
              <w:rPr>
                <w:rFonts w:cs="Arial" w:hint="eastAsia"/>
                <w:szCs w:val="18"/>
                <w:shd w:val="pct10" w:color="auto" w:fill="FFFFFF"/>
                <w:lang w:eastAsia="zh-CN"/>
              </w:rPr>
              <w:t xml:space="preserve">      </w:t>
            </w:r>
            <w:r>
              <w:rPr>
                <w:rFonts w:cs="Arial" w:hint="eastAsia"/>
                <w:szCs w:val="18"/>
                <w:lang w:eastAsia="zh-CN"/>
              </w:rPr>
              <w:t xml:space="preserve"> </w:t>
            </w:r>
            <w:r>
              <w:rPr>
                <w:rFonts w:cs="Arial" w:hint="eastAsia"/>
                <w:szCs w:val="18"/>
                <w:lang w:eastAsia="zh-CN"/>
              </w:rPr>
              <w:t>年龄：</w:t>
            </w:r>
            <w:r>
              <w:rPr>
                <w:rFonts w:cs="Arial" w:hint="eastAsia"/>
                <w:szCs w:val="18"/>
                <w:shd w:val="pct10" w:color="auto" w:fill="FFFFFF"/>
                <w:lang w:eastAsia="zh-CN"/>
              </w:rPr>
              <w:t xml:space="preserve">    </w:t>
            </w:r>
            <w:r>
              <w:rPr>
                <w:rFonts w:cs="Arial" w:hint="eastAsia"/>
                <w:szCs w:val="18"/>
                <w:lang w:eastAsia="zh-CN"/>
              </w:rPr>
              <w:t xml:space="preserve"> </w:t>
            </w:r>
            <w:r>
              <w:rPr>
                <w:rFonts w:cs="Arial" w:hint="eastAsia"/>
                <w:szCs w:val="18"/>
                <w:lang w:eastAsia="zh-CN"/>
              </w:rPr>
              <w:t>性别：男□</w:t>
            </w:r>
            <w:r>
              <w:rPr>
                <w:rFonts w:cs="Arial" w:hint="eastAsia"/>
                <w:szCs w:val="18"/>
                <w:lang w:eastAsia="zh-CN"/>
              </w:rPr>
              <w:t xml:space="preserve">  </w:t>
            </w:r>
            <w:r>
              <w:rPr>
                <w:rFonts w:cs="Arial" w:hint="eastAsia"/>
                <w:szCs w:val="18"/>
                <w:lang w:eastAsia="zh-CN"/>
              </w:rPr>
              <w:t>女□</w:t>
            </w:r>
          </w:p>
          <w:p w:rsidR="009A2B95" w:rsidRDefault="00EB693B">
            <w:pPr>
              <w:pStyle w:val="Haupttext"/>
              <w:widowControl/>
              <w:ind w:firstLineChars="300" w:firstLine="540"/>
              <w:rPr>
                <w:rFonts w:cs="Arial"/>
                <w:szCs w:val="18"/>
                <w:lang w:eastAsia="zh-CN"/>
              </w:rPr>
            </w:pPr>
            <w:r>
              <w:rPr>
                <w:rFonts w:cs="Arial" w:hint="eastAsia"/>
                <w:szCs w:val="18"/>
                <w:lang w:eastAsia="zh-CN"/>
              </w:rPr>
              <w:t>病历号：</w:t>
            </w:r>
            <w:r>
              <w:rPr>
                <w:rFonts w:cs="Arial" w:hint="eastAsia"/>
                <w:szCs w:val="18"/>
                <w:shd w:val="pct10" w:color="auto" w:fill="FFFFFF"/>
                <w:lang w:eastAsia="zh-CN"/>
              </w:rPr>
              <w:t xml:space="preserve">         </w:t>
            </w:r>
          </w:p>
          <w:p w:rsidR="009A2B95" w:rsidRDefault="00EB693B">
            <w:pPr>
              <w:pStyle w:val="Haupttext"/>
              <w:widowControl/>
              <w:ind w:firstLineChars="300" w:firstLine="540"/>
              <w:rPr>
                <w:rFonts w:cs="Arial"/>
                <w:lang w:val="en-GB" w:eastAsia="zh-CN"/>
              </w:rPr>
            </w:pPr>
            <w:r>
              <w:rPr>
                <w:rFonts w:cs="Arial" w:hint="eastAsia"/>
                <w:szCs w:val="18"/>
                <w:lang w:eastAsia="zh-CN"/>
              </w:rPr>
              <w:t>既往病史：</w:t>
            </w:r>
            <w:r>
              <w:rPr>
                <w:rFonts w:cs="Arial" w:hint="eastAsia"/>
                <w:szCs w:val="18"/>
                <w:shd w:val="pct10" w:color="auto" w:fill="FFFFFF"/>
                <w:lang w:eastAsia="zh-CN"/>
              </w:rPr>
              <w:t xml:space="preserve">                              </w:t>
            </w:r>
          </w:p>
        </w:tc>
      </w:tr>
      <w:tr w:rsidR="009A2B95">
        <w:trPr>
          <w:trHeight w:val="453"/>
          <w:jc w:val="center"/>
        </w:trPr>
        <w:tc>
          <w:tcPr>
            <w:tcW w:w="4317" w:type="dxa"/>
          </w:tcPr>
          <w:p w:rsidR="009A2B95" w:rsidRDefault="00EB693B">
            <w:pPr>
              <w:pStyle w:val="Haupttext"/>
              <w:widowControl/>
              <w:rPr>
                <w:rFonts w:cs="Arial"/>
                <w:lang w:val="en-GB" w:eastAsia="zh-CN"/>
              </w:rPr>
            </w:pPr>
            <w:r>
              <w:rPr>
                <w:rFonts w:cs="Arial" w:hint="eastAsia"/>
                <w:lang w:val="en-GB" w:eastAsia="zh-CN"/>
              </w:rPr>
              <w:t>器械故障表现：</w:t>
            </w:r>
            <w:r>
              <w:rPr>
                <w:rFonts w:cs="Arial" w:hint="eastAsia"/>
                <w:szCs w:val="18"/>
                <w:shd w:val="pct10" w:color="auto" w:fill="FFFFFF"/>
                <w:lang w:eastAsia="zh-CN"/>
              </w:rPr>
              <w:t xml:space="preserve">                  </w:t>
            </w:r>
            <w:r>
              <w:rPr>
                <w:rFonts w:cs="Arial"/>
                <w:szCs w:val="18"/>
              </w:rPr>
              <w:t>（</w:t>
            </w:r>
            <w:r>
              <w:rPr>
                <w:rFonts w:cs="Arial" w:hint="eastAsia"/>
                <w:szCs w:val="18"/>
                <w:lang w:eastAsia="zh-CN"/>
              </w:rPr>
              <w:t>可上传附件</w:t>
            </w:r>
            <w:r>
              <w:rPr>
                <w:rFonts w:cs="Arial"/>
                <w:szCs w:val="18"/>
              </w:rPr>
              <w:t>）</w:t>
            </w:r>
            <w:r>
              <w:rPr>
                <w:rFonts w:cs="Arial" w:hint="eastAsia"/>
                <w:szCs w:val="18"/>
                <w:lang w:eastAsia="zh-CN"/>
              </w:rPr>
              <w:t xml:space="preserve"> </w:t>
            </w:r>
          </w:p>
        </w:tc>
      </w:tr>
      <w:tr w:rsidR="009A2B95">
        <w:trPr>
          <w:trHeight w:val="286"/>
          <w:jc w:val="center"/>
        </w:trPr>
        <w:tc>
          <w:tcPr>
            <w:tcW w:w="4317" w:type="dxa"/>
            <w:shd w:val="clear" w:color="auto" w:fill="CCCCCC"/>
          </w:tcPr>
          <w:p w:rsidR="009A2B95" w:rsidRDefault="00EB693B">
            <w:pPr>
              <w:pStyle w:val="Rubriktabell"/>
              <w:rPr>
                <w:sz w:val="20"/>
                <w:lang w:eastAsia="zh-CN"/>
              </w:rPr>
            </w:pPr>
            <w:r>
              <w:rPr>
                <w:sz w:val="20"/>
              </w:rPr>
              <w:t xml:space="preserve">3. </w:t>
            </w:r>
            <w:r>
              <w:rPr>
                <w:rFonts w:hint="eastAsia"/>
                <w:sz w:val="20"/>
                <w:lang w:eastAsia="zh-CN"/>
              </w:rPr>
              <w:t>使用情况</w:t>
            </w:r>
          </w:p>
        </w:tc>
      </w:tr>
      <w:tr w:rsidR="009A2B95">
        <w:trPr>
          <w:trHeight w:val="371"/>
          <w:jc w:val="center"/>
        </w:trPr>
        <w:tc>
          <w:tcPr>
            <w:tcW w:w="4317" w:type="dxa"/>
          </w:tcPr>
          <w:p w:rsidR="009A2B95" w:rsidRDefault="00EB693B">
            <w:pPr>
              <w:pStyle w:val="Eintrag"/>
              <w:rPr>
                <w:rFonts w:ascii="Arial" w:hAnsi="Arial" w:cs="Arial"/>
                <w:lang w:val="en-GB"/>
              </w:rPr>
            </w:pPr>
            <w:r>
              <w:rPr>
                <w:rFonts w:ascii="Arial" w:hAnsi="Arial" w:cs="Arial" w:hint="eastAsia"/>
                <w:i w:val="0"/>
                <w:sz w:val="18"/>
                <w:lang w:val="en-GB" w:eastAsia="zh-CN"/>
              </w:rPr>
              <w:t>预期治疗疾病或作用：</w:t>
            </w:r>
            <w:r>
              <w:rPr>
                <w:rFonts w:ascii="Arial" w:hAnsi="Arial" w:cs="Arial" w:hint="eastAsia"/>
                <w:sz w:val="18"/>
                <w:szCs w:val="18"/>
                <w:shd w:val="pct10" w:color="auto" w:fill="FFFFFF"/>
                <w:lang w:eastAsia="zh-CN"/>
              </w:rPr>
              <w:t xml:space="preserve">             </w:t>
            </w:r>
          </w:p>
        </w:tc>
      </w:tr>
      <w:tr w:rsidR="009A2B95">
        <w:trPr>
          <w:trHeight w:val="371"/>
          <w:jc w:val="center"/>
        </w:trPr>
        <w:tc>
          <w:tcPr>
            <w:tcW w:w="4317" w:type="dxa"/>
          </w:tcPr>
          <w:p w:rsidR="009A2B95" w:rsidRDefault="00EB693B">
            <w:pPr>
              <w:pStyle w:val="Eintrag"/>
              <w:rPr>
                <w:rFonts w:ascii="Arial" w:hAnsi="Arial" w:cs="Arial"/>
                <w:i w:val="0"/>
                <w:sz w:val="18"/>
                <w:lang w:val="en-GB" w:eastAsia="zh-CN"/>
              </w:rPr>
            </w:pPr>
            <w:r>
              <w:rPr>
                <w:rFonts w:ascii="Arial" w:hAnsi="Arial" w:cs="Arial" w:hint="eastAsia"/>
                <w:i w:val="0"/>
                <w:sz w:val="18"/>
                <w:lang w:val="en-GB"/>
              </w:rPr>
              <w:t>使用场所：</w:t>
            </w:r>
            <w:r>
              <w:rPr>
                <w:rFonts w:ascii="Arial" w:hAnsi="Arial" w:cs="Arial" w:hint="eastAsia"/>
                <w:i w:val="0"/>
                <w:sz w:val="18"/>
                <w:lang w:val="en-GB"/>
              </w:rPr>
              <w:t xml:space="preserve"> </w:t>
            </w:r>
            <w:r>
              <w:rPr>
                <w:rFonts w:ascii="Arial" w:hAnsi="Arial" w:cs="Arial" w:hint="eastAsia"/>
                <w:i w:val="0"/>
                <w:sz w:val="18"/>
                <w:lang w:val="en-GB"/>
              </w:rPr>
              <w:t>□医疗机构</w:t>
            </w:r>
            <w:r>
              <w:rPr>
                <w:rFonts w:ascii="Arial" w:hAnsi="Arial" w:cs="Arial" w:hint="eastAsia"/>
                <w:i w:val="0"/>
                <w:sz w:val="18"/>
                <w:lang w:val="en-GB"/>
              </w:rPr>
              <w:t xml:space="preserve">  </w:t>
            </w:r>
            <w:r>
              <w:rPr>
                <w:rFonts w:ascii="Arial" w:hAnsi="Arial" w:cs="Arial" w:hint="eastAsia"/>
                <w:i w:val="0"/>
                <w:sz w:val="18"/>
                <w:lang w:val="en-GB"/>
              </w:rPr>
              <w:t>□家庭</w:t>
            </w:r>
            <w:r>
              <w:rPr>
                <w:rFonts w:ascii="Arial" w:hAnsi="Arial" w:cs="Arial" w:hint="eastAsia"/>
                <w:i w:val="0"/>
                <w:sz w:val="18"/>
                <w:lang w:val="en-GB"/>
              </w:rPr>
              <w:t xml:space="preserve">  </w:t>
            </w:r>
            <w:r>
              <w:rPr>
                <w:rFonts w:ascii="Arial" w:hAnsi="Arial" w:cs="Arial" w:hint="eastAsia"/>
                <w:i w:val="0"/>
                <w:sz w:val="18"/>
                <w:lang w:val="en-GB"/>
              </w:rPr>
              <w:t>□其</w:t>
            </w:r>
            <w:r>
              <w:rPr>
                <w:rFonts w:ascii="Arial" w:hAnsi="Arial" w:cs="Arial" w:hint="eastAsia"/>
                <w:i w:val="0"/>
                <w:sz w:val="18"/>
                <w:lang w:val="en-GB" w:eastAsia="zh-CN"/>
              </w:rPr>
              <w:t>它</w:t>
            </w:r>
            <w:r>
              <w:rPr>
                <w:rFonts w:ascii="Arial" w:hAnsi="Arial" w:cs="Arial" w:hint="eastAsia"/>
                <w:i w:val="0"/>
                <w:sz w:val="18"/>
                <w:lang w:val="en-GB"/>
              </w:rPr>
              <w:t>（</w:t>
            </w:r>
            <w:r>
              <w:rPr>
                <w:rFonts w:ascii="Arial" w:hAnsi="Arial" w:cs="Arial" w:hint="eastAsia"/>
                <w:i w:val="0"/>
                <w:sz w:val="18"/>
                <w:lang w:val="en-GB" w:eastAsia="zh-CN"/>
              </w:rPr>
              <w:t>请</w:t>
            </w:r>
            <w:r>
              <w:rPr>
                <w:rFonts w:ascii="Arial" w:hAnsi="Arial" w:cs="Arial" w:hint="eastAsia"/>
                <w:i w:val="0"/>
                <w:sz w:val="18"/>
                <w:lang w:val="en-GB"/>
              </w:rPr>
              <w:t>注明：</w:t>
            </w:r>
            <w:r>
              <w:rPr>
                <w:rFonts w:ascii="Arial" w:hAnsi="Arial" w:cs="Arial" w:hint="eastAsia"/>
                <w:sz w:val="18"/>
                <w:szCs w:val="18"/>
                <w:shd w:val="pct10" w:color="auto" w:fill="FFFFFF"/>
                <w:lang w:eastAsia="zh-CN"/>
              </w:rPr>
              <w:t xml:space="preserve">         </w:t>
            </w:r>
            <w:r>
              <w:rPr>
                <w:rFonts w:ascii="Arial" w:hAnsi="Arial" w:cs="Arial" w:hint="eastAsia"/>
                <w:i w:val="0"/>
                <w:sz w:val="18"/>
                <w:lang w:val="en-GB"/>
              </w:rPr>
              <w:t>）</w:t>
            </w:r>
          </w:p>
        </w:tc>
      </w:tr>
      <w:tr w:rsidR="009A2B95">
        <w:trPr>
          <w:trHeight w:val="1935"/>
          <w:jc w:val="center"/>
        </w:trPr>
        <w:tc>
          <w:tcPr>
            <w:tcW w:w="4317" w:type="dxa"/>
          </w:tcPr>
          <w:p w:rsidR="009A2B95" w:rsidRDefault="00EB693B">
            <w:pPr>
              <w:pStyle w:val="Eintrag"/>
              <w:rPr>
                <w:rFonts w:ascii="Arial" w:hAnsi="Arial" w:cs="Arial"/>
                <w:sz w:val="18"/>
                <w:szCs w:val="18"/>
                <w:lang w:eastAsia="zh-CN"/>
              </w:rPr>
            </w:pPr>
            <w:r>
              <w:rPr>
                <w:rFonts w:ascii="Arial" w:hAnsi="Arial" w:cs="Arial" w:hint="eastAsia"/>
                <w:i w:val="0"/>
                <w:sz w:val="18"/>
                <w:lang w:val="en-GB" w:eastAsia="zh-CN"/>
              </w:rPr>
              <w:t>使用过程：</w:t>
            </w:r>
            <w:r>
              <w:rPr>
                <w:rFonts w:ascii="Arial" w:hAnsi="Arial" w:cs="Arial" w:hint="eastAsia"/>
                <w:sz w:val="18"/>
                <w:szCs w:val="18"/>
                <w:lang w:eastAsia="zh-CN"/>
              </w:rPr>
              <w:t xml:space="preserve"> </w:t>
            </w:r>
          </w:p>
          <w:p w:rsidR="009A2B95" w:rsidRDefault="009A2B95">
            <w:pPr>
              <w:pStyle w:val="Eintrag"/>
              <w:rPr>
                <w:rFonts w:ascii="Arial" w:hAnsi="Arial" w:cs="Arial"/>
                <w:sz w:val="18"/>
                <w:szCs w:val="18"/>
                <w:lang w:eastAsia="zh-CN"/>
              </w:rPr>
            </w:pPr>
          </w:p>
          <w:p w:rsidR="009A2B95" w:rsidRDefault="009A2B95">
            <w:pPr>
              <w:pStyle w:val="Eintrag"/>
              <w:rPr>
                <w:rFonts w:ascii="Arial" w:hAnsi="Arial" w:cs="Arial"/>
                <w:sz w:val="18"/>
                <w:szCs w:val="18"/>
                <w:lang w:eastAsia="zh-CN"/>
              </w:rPr>
            </w:pPr>
          </w:p>
          <w:p w:rsidR="009A2B95" w:rsidRDefault="009A2B95">
            <w:pPr>
              <w:pStyle w:val="Eintrag"/>
              <w:rPr>
                <w:rFonts w:ascii="Arial" w:hAnsi="Arial" w:cs="Arial"/>
                <w:sz w:val="18"/>
                <w:szCs w:val="18"/>
                <w:lang w:eastAsia="zh-CN"/>
              </w:rPr>
            </w:pPr>
          </w:p>
          <w:p w:rsidR="009A2B95" w:rsidRDefault="009A2B95">
            <w:pPr>
              <w:pStyle w:val="Eintrag"/>
              <w:rPr>
                <w:rFonts w:ascii="Arial" w:hAnsi="Arial" w:cs="Arial"/>
                <w:sz w:val="18"/>
                <w:szCs w:val="18"/>
                <w:lang w:eastAsia="zh-CN"/>
              </w:rPr>
            </w:pPr>
          </w:p>
          <w:p w:rsidR="009A2B95" w:rsidRDefault="009A2B95">
            <w:pPr>
              <w:pStyle w:val="Eintrag"/>
              <w:rPr>
                <w:rFonts w:ascii="Arial" w:hAnsi="Arial" w:cs="Arial"/>
                <w:i w:val="0"/>
                <w:sz w:val="18"/>
                <w:lang w:val="en-GB" w:eastAsia="zh-CN"/>
              </w:rPr>
            </w:pPr>
          </w:p>
        </w:tc>
      </w:tr>
      <w:tr w:rsidR="009A2B95">
        <w:trPr>
          <w:trHeight w:val="371"/>
          <w:jc w:val="center"/>
        </w:trPr>
        <w:tc>
          <w:tcPr>
            <w:tcW w:w="4317" w:type="dxa"/>
          </w:tcPr>
          <w:p w:rsidR="009A2B95" w:rsidRDefault="00EB693B">
            <w:pPr>
              <w:pStyle w:val="Eintrag"/>
              <w:rPr>
                <w:rFonts w:ascii="Arial" w:hAnsi="Arial" w:cs="Arial"/>
                <w:i w:val="0"/>
                <w:sz w:val="18"/>
                <w:lang w:val="en-GB" w:eastAsia="zh-CN"/>
              </w:rPr>
            </w:pPr>
            <w:r>
              <w:rPr>
                <w:rFonts w:ascii="Arial" w:hAnsi="Arial" w:cs="Arial" w:hint="eastAsia"/>
                <w:i w:val="0"/>
                <w:sz w:val="18"/>
                <w:lang w:val="en-GB"/>
              </w:rPr>
              <w:t>合并用药</w:t>
            </w:r>
            <w:r>
              <w:rPr>
                <w:rFonts w:ascii="Arial" w:hAnsi="Arial" w:cs="Arial" w:hint="eastAsia"/>
                <w:i w:val="0"/>
                <w:sz w:val="18"/>
                <w:lang w:val="en-GB"/>
              </w:rPr>
              <w:t>/</w:t>
            </w:r>
            <w:r>
              <w:rPr>
                <w:rFonts w:ascii="Arial" w:hAnsi="Arial" w:cs="Arial" w:hint="eastAsia"/>
                <w:i w:val="0"/>
                <w:sz w:val="18"/>
                <w:lang w:val="en-GB"/>
              </w:rPr>
              <w:t>械情况：</w:t>
            </w:r>
            <w:r>
              <w:rPr>
                <w:rFonts w:ascii="Arial" w:hAnsi="Arial" w:cs="Arial" w:hint="eastAsia"/>
                <w:i w:val="0"/>
                <w:sz w:val="18"/>
                <w:shd w:val="pct10" w:color="auto" w:fill="FFFFFF"/>
                <w:lang w:val="en-GB" w:eastAsia="zh-CN"/>
              </w:rPr>
              <w:t xml:space="preserve">                            </w:t>
            </w:r>
          </w:p>
        </w:tc>
      </w:tr>
      <w:tr w:rsidR="009A2B95">
        <w:trPr>
          <w:trHeight w:val="434"/>
          <w:jc w:val="center"/>
        </w:trPr>
        <w:tc>
          <w:tcPr>
            <w:tcW w:w="4317" w:type="dxa"/>
            <w:tcBorders>
              <w:bottom w:val="single" w:sz="4" w:space="0" w:color="auto"/>
            </w:tcBorders>
            <w:shd w:val="clear" w:color="auto" w:fill="CCCCCC"/>
          </w:tcPr>
          <w:p w:rsidR="009A2B95" w:rsidRDefault="00EB693B">
            <w:pPr>
              <w:pStyle w:val="Rubriktabell"/>
              <w:rPr>
                <w:sz w:val="20"/>
                <w:lang w:eastAsia="zh-CN"/>
              </w:rPr>
            </w:pPr>
            <w:r>
              <w:rPr>
                <w:sz w:val="20"/>
              </w:rPr>
              <w:t xml:space="preserve">4. </w:t>
            </w:r>
            <w:r>
              <w:rPr>
                <w:rFonts w:hint="eastAsia"/>
                <w:sz w:val="20"/>
                <w:lang w:eastAsia="zh-CN"/>
              </w:rPr>
              <w:t>事件评价与处置</w:t>
            </w:r>
          </w:p>
        </w:tc>
      </w:tr>
      <w:tr w:rsidR="009A2B95">
        <w:trPr>
          <w:trHeight w:val="1146"/>
          <w:jc w:val="center"/>
        </w:trPr>
        <w:tc>
          <w:tcPr>
            <w:tcW w:w="4317" w:type="dxa"/>
          </w:tcPr>
          <w:p w:rsidR="009A2B95" w:rsidRDefault="00EB693B">
            <w:pPr>
              <w:pStyle w:val="Eintrag"/>
              <w:ind w:right="360"/>
              <w:rPr>
                <w:rFonts w:ascii="Arial" w:hAnsi="Arial" w:cs="Arial"/>
                <w:i w:val="0"/>
                <w:sz w:val="18"/>
                <w:lang w:val="en-GB" w:eastAsia="zh-CN"/>
              </w:rPr>
            </w:pPr>
            <w:r>
              <w:rPr>
                <w:rFonts w:ascii="Arial" w:hAnsi="Arial" w:cs="Arial" w:hint="eastAsia"/>
                <w:i w:val="0"/>
                <w:sz w:val="18"/>
                <w:lang w:val="en-GB"/>
              </w:rPr>
              <w:lastRenderedPageBreak/>
              <w:t>是否开展了现场调查：□是</w:t>
            </w:r>
            <w:r>
              <w:rPr>
                <w:rFonts w:ascii="Arial" w:hAnsi="Arial" w:cs="Arial" w:hint="eastAsia"/>
                <w:i w:val="0"/>
                <w:sz w:val="18"/>
                <w:lang w:val="en-GB" w:eastAsia="zh-CN"/>
              </w:rPr>
              <w:t xml:space="preserve">  </w:t>
            </w:r>
            <w:r>
              <w:rPr>
                <w:rFonts w:ascii="Arial" w:hAnsi="Arial" w:cs="Arial" w:hint="eastAsia"/>
                <w:i w:val="0"/>
                <w:sz w:val="18"/>
                <w:lang w:val="en-GB"/>
              </w:rPr>
              <w:t>□否</w:t>
            </w:r>
          </w:p>
          <w:p w:rsidR="009A2B95" w:rsidRDefault="00EB693B">
            <w:pPr>
              <w:pStyle w:val="Eintrag"/>
              <w:ind w:right="360"/>
              <w:rPr>
                <w:rFonts w:ascii="Arial" w:hAnsi="Arial" w:cs="Arial"/>
                <w:i w:val="0"/>
                <w:sz w:val="18"/>
                <w:lang w:val="en-GB" w:eastAsia="zh-CN"/>
              </w:rPr>
            </w:pPr>
            <w:r>
              <w:rPr>
                <w:rFonts w:ascii="Arial" w:hAnsi="Arial" w:cs="Arial" w:hint="eastAsia"/>
                <w:i w:val="0"/>
                <w:sz w:val="18"/>
                <w:lang w:val="en-GB" w:eastAsia="zh-CN"/>
              </w:rPr>
              <w:t>若是，</w:t>
            </w:r>
            <w:r>
              <w:rPr>
                <w:rFonts w:ascii="Arial" w:hAnsi="Arial" w:cs="Arial" w:hint="eastAsia"/>
                <w:i w:val="0"/>
                <w:sz w:val="18"/>
                <w:lang w:val="en-GB"/>
              </w:rPr>
              <w:t>调查情况</w:t>
            </w:r>
            <w:r>
              <w:rPr>
                <w:rFonts w:ascii="Arial" w:hAnsi="Arial" w:cs="Arial"/>
                <w:i w:val="0"/>
                <w:sz w:val="18"/>
                <w:lang w:val="en-GB"/>
              </w:rPr>
              <w:t>（</w:t>
            </w:r>
            <w:r>
              <w:rPr>
                <w:rFonts w:ascii="Arial" w:hAnsi="Arial" w:cs="Arial" w:hint="eastAsia"/>
                <w:i w:val="0"/>
                <w:sz w:val="18"/>
                <w:lang w:val="en-GB"/>
              </w:rPr>
              <w:t>可上传附件</w:t>
            </w:r>
            <w:r>
              <w:rPr>
                <w:rFonts w:ascii="Arial" w:hAnsi="Arial" w:cs="Arial"/>
                <w:i w:val="0"/>
                <w:sz w:val="18"/>
                <w:lang w:val="en-GB"/>
              </w:rPr>
              <w:t>）</w:t>
            </w:r>
            <w:r>
              <w:rPr>
                <w:rFonts w:ascii="Arial" w:hAnsi="Arial" w:cs="Arial" w:hint="eastAsia"/>
                <w:i w:val="0"/>
                <w:sz w:val="18"/>
                <w:lang w:val="en-GB"/>
              </w:rPr>
              <w:t>：</w:t>
            </w:r>
          </w:p>
          <w:p w:rsidR="009A2B95" w:rsidRDefault="009A2B95">
            <w:pPr>
              <w:pStyle w:val="Eintrag"/>
              <w:ind w:right="360"/>
              <w:rPr>
                <w:rFonts w:ascii="Arial" w:hAnsi="Arial" w:cs="Arial"/>
                <w:i w:val="0"/>
                <w:sz w:val="18"/>
                <w:lang w:val="en-GB" w:eastAsia="zh-CN"/>
              </w:rPr>
            </w:pPr>
          </w:p>
        </w:tc>
      </w:tr>
      <w:tr w:rsidR="009A2B95">
        <w:trPr>
          <w:trHeight w:val="304"/>
          <w:jc w:val="center"/>
        </w:trPr>
        <w:tc>
          <w:tcPr>
            <w:tcW w:w="4317" w:type="dxa"/>
          </w:tcPr>
          <w:p w:rsidR="009A2B95" w:rsidRDefault="00EB693B">
            <w:pPr>
              <w:pStyle w:val="Eintrag"/>
              <w:rPr>
                <w:rFonts w:ascii="Arial" w:hAnsi="Arial" w:cs="Arial"/>
                <w:i w:val="0"/>
                <w:sz w:val="18"/>
                <w:lang w:val="en-GB" w:eastAsia="zh-CN"/>
              </w:rPr>
            </w:pPr>
            <w:r>
              <w:rPr>
                <w:rFonts w:ascii="Arial" w:hAnsi="Arial" w:cs="Arial" w:hint="eastAsia"/>
                <w:i w:val="0"/>
                <w:sz w:val="18"/>
                <w:lang w:val="en-GB"/>
              </w:rPr>
              <w:t>产品是否进行了检测：□是</w:t>
            </w:r>
            <w:r>
              <w:rPr>
                <w:rFonts w:ascii="Arial" w:hAnsi="Arial" w:cs="Arial" w:hint="eastAsia"/>
                <w:i w:val="0"/>
                <w:sz w:val="18"/>
                <w:lang w:val="en-GB" w:eastAsia="zh-CN"/>
              </w:rPr>
              <w:t xml:space="preserve">  </w:t>
            </w:r>
            <w:r>
              <w:rPr>
                <w:rFonts w:ascii="Arial" w:hAnsi="Arial" w:cs="Arial" w:hint="eastAsia"/>
                <w:i w:val="0"/>
                <w:sz w:val="18"/>
                <w:lang w:val="en-GB"/>
              </w:rPr>
              <w:t>□否</w:t>
            </w:r>
          </w:p>
          <w:p w:rsidR="009A2B95" w:rsidRDefault="00EB693B">
            <w:pPr>
              <w:pStyle w:val="Eintrag"/>
              <w:rPr>
                <w:rFonts w:ascii="Arial" w:hAnsi="Arial" w:cs="Arial"/>
                <w:sz w:val="18"/>
                <w:szCs w:val="18"/>
                <w:shd w:val="pct10" w:color="auto" w:fill="FFFFFF"/>
                <w:lang w:eastAsia="zh-CN"/>
              </w:rPr>
            </w:pPr>
            <w:r>
              <w:rPr>
                <w:rFonts w:ascii="Arial" w:hAnsi="Arial" w:cs="Arial" w:hint="eastAsia"/>
                <w:i w:val="0"/>
                <w:sz w:val="18"/>
                <w:lang w:val="en-GB" w:eastAsia="zh-CN"/>
              </w:rPr>
              <w:t>若是，</w:t>
            </w:r>
            <w:r>
              <w:rPr>
                <w:rFonts w:ascii="Arial" w:hAnsi="Arial" w:cs="Arial" w:hint="eastAsia"/>
                <w:i w:val="0"/>
                <w:sz w:val="18"/>
                <w:lang w:val="en-GB"/>
              </w:rPr>
              <w:t>相关检测</w:t>
            </w:r>
            <w:r>
              <w:rPr>
                <w:rFonts w:ascii="Arial" w:hAnsi="Arial" w:cs="Arial" w:hint="eastAsia"/>
                <w:i w:val="0"/>
                <w:sz w:val="18"/>
                <w:lang w:val="en-GB" w:eastAsia="zh-CN"/>
              </w:rPr>
              <w:t>报告</w:t>
            </w:r>
            <w:r>
              <w:rPr>
                <w:rFonts w:ascii="Arial" w:hAnsi="Arial" w:cs="Arial"/>
                <w:i w:val="0"/>
                <w:sz w:val="18"/>
                <w:lang w:val="en-GB"/>
              </w:rPr>
              <w:t>（</w:t>
            </w:r>
            <w:r>
              <w:rPr>
                <w:rFonts w:ascii="Arial" w:hAnsi="Arial" w:cs="Arial" w:hint="eastAsia"/>
                <w:i w:val="0"/>
                <w:sz w:val="18"/>
                <w:lang w:val="en-GB"/>
              </w:rPr>
              <w:t>可上传附件</w:t>
            </w:r>
            <w:r>
              <w:rPr>
                <w:rFonts w:ascii="Arial" w:hAnsi="Arial" w:cs="Arial"/>
                <w:i w:val="0"/>
                <w:sz w:val="18"/>
                <w:lang w:val="en-GB"/>
              </w:rPr>
              <w:t>）</w:t>
            </w:r>
            <w:r>
              <w:rPr>
                <w:rFonts w:ascii="Arial" w:hAnsi="Arial" w:cs="Arial" w:hint="eastAsia"/>
                <w:i w:val="0"/>
                <w:sz w:val="18"/>
                <w:lang w:val="en-GB"/>
              </w:rPr>
              <w:t>：</w:t>
            </w:r>
          </w:p>
          <w:p w:rsidR="009A2B95" w:rsidRDefault="009A2B95">
            <w:pPr>
              <w:pStyle w:val="Eintrag"/>
              <w:rPr>
                <w:rFonts w:ascii="Arial" w:hAnsi="Arial" w:cs="Arial"/>
                <w:i w:val="0"/>
                <w:sz w:val="18"/>
                <w:lang w:val="en-GB" w:eastAsia="zh-CN"/>
              </w:rPr>
            </w:pPr>
          </w:p>
        </w:tc>
      </w:tr>
      <w:tr w:rsidR="009A2B95">
        <w:trPr>
          <w:trHeight w:val="304"/>
          <w:jc w:val="center"/>
        </w:trPr>
        <w:tc>
          <w:tcPr>
            <w:tcW w:w="4317" w:type="dxa"/>
          </w:tcPr>
          <w:p w:rsidR="009A2B95" w:rsidRDefault="00EB693B">
            <w:pPr>
              <w:pStyle w:val="Eintrag"/>
              <w:rPr>
                <w:rFonts w:ascii="Arial" w:hAnsi="Arial" w:cs="Arial"/>
                <w:sz w:val="18"/>
                <w:szCs w:val="18"/>
                <w:shd w:val="pct10" w:color="auto" w:fill="FFFFFF"/>
                <w:lang w:eastAsia="zh-CN"/>
              </w:rPr>
            </w:pPr>
            <w:r>
              <w:rPr>
                <w:rFonts w:ascii="Arial" w:hAnsi="Arial" w:cs="Arial" w:hint="eastAsia"/>
                <w:i w:val="0"/>
                <w:sz w:val="18"/>
                <w:lang w:val="en-GB" w:eastAsia="zh-CN"/>
              </w:rPr>
              <w:t>事件原因分析与评价结论</w:t>
            </w:r>
            <w:r>
              <w:rPr>
                <w:rFonts w:ascii="Arial" w:hAnsi="Arial" w:cs="Arial"/>
                <w:i w:val="0"/>
                <w:sz w:val="18"/>
                <w:lang w:val="en-GB"/>
              </w:rPr>
              <w:t>（</w:t>
            </w:r>
            <w:r>
              <w:rPr>
                <w:rFonts w:ascii="Arial" w:hAnsi="Arial" w:cs="Arial" w:hint="eastAsia"/>
                <w:i w:val="0"/>
                <w:sz w:val="18"/>
                <w:lang w:val="en-GB"/>
              </w:rPr>
              <w:t>可上传附件</w:t>
            </w:r>
            <w:r>
              <w:rPr>
                <w:rFonts w:ascii="Arial" w:hAnsi="Arial" w:cs="Arial"/>
                <w:i w:val="0"/>
                <w:sz w:val="18"/>
                <w:lang w:val="en-GB"/>
              </w:rPr>
              <w:t>）</w:t>
            </w:r>
            <w:r>
              <w:rPr>
                <w:rFonts w:ascii="Arial" w:hAnsi="Arial" w:cs="Arial" w:hint="eastAsia"/>
                <w:i w:val="0"/>
                <w:sz w:val="18"/>
                <w:lang w:val="en-GB" w:eastAsia="zh-CN"/>
              </w:rPr>
              <w:t>：</w:t>
            </w:r>
          </w:p>
          <w:p w:rsidR="009A2B95" w:rsidRDefault="009A2B95">
            <w:pPr>
              <w:pStyle w:val="Eintrag"/>
              <w:rPr>
                <w:rFonts w:ascii="Arial" w:hAnsi="Arial" w:cs="Arial"/>
                <w:i w:val="0"/>
                <w:sz w:val="18"/>
                <w:lang w:val="en-GB" w:eastAsia="zh-CN"/>
              </w:rPr>
            </w:pPr>
          </w:p>
          <w:p w:rsidR="009A2B95" w:rsidRDefault="009A2B95">
            <w:pPr>
              <w:pStyle w:val="Eintrag"/>
              <w:rPr>
                <w:rFonts w:ascii="Arial" w:hAnsi="Arial" w:cs="Arial"/>
                <w:i w:val="0"/>
                <w:sz w:val="18"/>
                <w:lang w:val="en-GB" w:eastAsia="zh-CN"/>
              </w:rPr>
            </w:pPr>
          </w:p>
        </w:tc>
      </w:tr>
      <w:tr w:rsidR="009A2B95">
        <w:trPr>
          <w:trHeight w:val="373"/>
          <w:jc w:val="center"/>
        </w:trPr>
        <w:tc>
          <w:tcPr>
            <w:tcW w:w="4317" w:type="dxa"/>
          </w:tcPr>
          <w:p w:rsidR="009A2B95" w:rsidRDefault="00EB693B">
            <w:pPr>
              <w:pStyle w:val="Eintrag"/>
              <w:rPr>
                <w:rFonts w:ascii="Arial" w:hAnsi="Arial" w:cs="Arial"/>
                <w:i w:val="0"/>
                <w:w w:val="95"/>
                <w:sz w:val="18"/>
                <w:lang w:val="en-GB" w:eastAsia="zh-CN"/>
              </w:rPr>
            </w:pPr>
            <w:r>
              <w:rPr>
                <w:rFonts w:ascii="Arial" w:hAnsi="Arial" w:cs="Arial" w:hint="eastAsia"/>
                <w:i w:val="0"/>
                <w:sz w:val="18"/>
                <w:lang w:val="en-GB"/>
              </w:rPr>
              <w:t>关</w:t>
            </w:r>
            <w:r>
              <w:rPr>
                <w:rFonts w:ascii="Arial" w:hAnsi="Arial" w:cs="Arial" w:hint="eastAsia"/>
                <w:i w:val="0"/>
                <w:sz w:val="18"/>
                <w:lang w:val="en-GB" w:eastAsia="zh-CN"/>
              </w:rPr>
              <w:t>联性评价</w:t>
            </w:r>
            <w:r>
              <w:rPr>
                <w:rFonts w:ascii="Arial" w:hAnsi="Arial" w:cs="Arial" w:hint="eastAsia"/>
                <w:i w:val="0"/>
                <w:sz w:val="18"/>
                <w:lang w:val="en-GB"/>
              </w:rPr>
              <w:t>：</w:t>
            </w:r>
            <w:r>
              <w:rPr>
                <w:rFonts w:ascii="Arial" w:hAnsi="Arial" w:cs="Arial" w:hint="eastAsia"/>
                <w:i w:val="0"/>
                <w:w w:val="95"/>
                <w:sz w:val="18"/>
                <w:lang w:val="en-GB"/>
              </w:rPr>
              <w:t>□与产品有关</w:t>
            </w:r>
            <w:r>
              <w:rPr>
                <w:rFonts w:ascii="Arial" w:hAnsi="Arial" w:cs="Arial" w:hint="eastAsia"/>
                <w:i w:val="0"/>
                <w:w w:val="95"/>
                <w:sz w:val="18"/>
                <w:lang w:val="en-GB" w:eastAsia="zh-CN"/>
              </w:rPr>
              <w:t xml:space="preserve"> </w:t>
            </w:r>
            <w:r>
              <w:rPr>
                <w:rFonts w:ascii="Arial" w:hAnsi="Arial" w:cs="Arial" w:hint="eastAsia"/>
                <w:i w:val="0"/>
                <w:w w:val="95"/>
                <w:sz w:val="18"/>
                <w:lang w:val="en-GB"/>
              </w:rPr>
              <w:t>□与产品无关</w:t>
            </w:r>
            <w:r>
              <w:rPr>
                <w:rFonts w:ascii="Arial" w:hAnsi="Arial" w:cs="Arial" w:hint="eastAsia"/>
                <w:i w:val="0"/>
                <w:w w:val="95"/>
                <w:sz w:val="18"/>
                <w:lang w:val="en-GB"/>
              </w:rPr>
              <w:t xml:space="preserve"> </w:t>
            </w:r>
            <w:r>
              <w:rPr>
                <w:rFonts w:ascii="Arial" w:hAnsi="Arial" w:cs="Arial" w:hint="eastAsia"/>
                <w:i w:val="0"/>
                <w:w w:val="95"/>
                <w:sz w:val="18"/>
                <w:lang w:val="en-GB"/>
              </w:rPr>
              <w:t>□无法确定</w:t>
            </w:r>
          </w:p>
        </w:tc>
      </w:tr>
      <w:tr w:rsidR="009A2B95">
        <w:trPr>
          <w:trHeight w:val="659"/>
          <w:jc w:val="center"/>
        </w:trPr>
        <w:tc>
          <w:tcPr>
            <w:tcW w:w="4317" w:type="dxa"/>
          </w:tcPr>
          <w:p w:rsidR="009A2B95" w:rsidRDefault="00EB693B">
            <w:pPr>
              <w:pStyle w:val="Eintrag"/>
              <w:rPr>
                <w:rFonts w:ascii="Arial" w:hAnsi="Arial" w:cs="Arial"/>
                <w:i w:val="0"/>
                <w:sz w:val="18"/>
                <w:lang w:val="en-GB" w:eastAsia="zh-CN"/>
              </w:rPr>
            </w:pPr>
            <w:r>
              <w:rPr>
                <w:rFonts w:ascii="Arial" w:hAnsi="Arial" w:cs="Arial" w:hint="eastAsia"/>
                <w:i w:val="0"/>
                <w:sz w:val="18"/>
                <w:lang w:val="en-GB" w:eastAsia="zh-CN"/>
              </w:rPr>
              <w:t>是否需要开展产品风险评价</w:t>
            </w:r>
            <w:r>
              <w:rPr>
                <w:rFonts w:ascii="Arial" w:hAnsi="Arial" w:cs="Arial" w:hint="eastAsia"/>
                <w:i w:val="0"/>
                <w:sz w:val="18"/>
                <w:lang w:val="en-GB"/>
              </w:rPr>
              <w:t>：□是</w:t>
            </w:r>
            <w:r>
              <w:rPr>
                <w:rFonts w:ascii="Arial" w:hAnsi="Arial" w:cs="Arial" w:hint="eastAsia"/>
                <w:i w:val="0"/>
                <w:sz w:val="18"/>
                <w:lang w:val="en-GB" w:eastAsia="zh-CN"/>
              </w:rPr>
              <w:t xml:space="preserve">  </w:t>
            </w:r>
            <w:r>
              <w:rPr>
                <w:rFonts w:ascii="Arial" w:hAnsi="Arial" w:cs="Arial" w:hint="eastAsia"/>
                <w:i w:val="0"/>
                <w:sz w:val="18"/>
                <w:lang w:val="en-GB"/>
              </w:rPr>
              <w:t>□否</w:t>
            </w:r>
          </w:p>
          <w:p w:rsidR="009A2B95" w:rsidRPr="00053075" w:rsidRDefault="00EB693B">
            <w:pPr>
              <w:pStyle w:val="Eintrag"/>
              <w:rPr>
                <w:rFonts w:ascii="Arial" w:hAnsi="Arial" w:cs="Arial"/>
                <w:bCs/>
                <w:i w:val="0"/>
                <w:sz w:val="18"/>
                <w:lang w:val="en-GB" w:eastAsia="zh-CN"/>
              </w:rPr>
            </w:pPr>
            <w:r w:rsidRPr="00053075">
              <w:rPr>
                <w:rFonts w:ascii="Arial" w:hAnsi="Arial" w:cs="Arial" w:hint="eastAsia"/>
                <w:bCs/>
                <w:i w:val="0"/>
                <w:sz w:val="18"/>
                <w:lang w:val="en-GB" w:eastAsia="zh-CN"/>
              </w:rPr>
              <w:t>若是，产品风险评价报告</w:t>
            </w:r>
            <w:r w:rsidRPr="00053075">
              <w:rPr>
                <w:rFonts w:ascii="Arial" w:hAnsi="Arial" w:cs="Arial"/>
                <w:bCs/>
                <w:i w:val="0"/>
                <w:sz w:val="18"/>
                <w:lang w:val="en-GB"/>
              </w:rPr>
              <w:t>（</w:t>
            </w:r>
            <w:r w:rsidRPr="00053075">
              <w:rPr>
                <w:rFonts w:ascii="Arial" w:hAnsi="Arial" w:cs="Arial" w:hint="eastAsia"/>
                <w:bCs/>
                <w:i w:val="0"/>
                <w:sz w:val="18"/>
                <w:lang w:val="en-GB"/>
              </w:rPr>
              <w:t>可上传附件</w:t>
            </w:r>
            <w:r w:rsidRPr="00053075">
              <w:rPr>
                <w:rFonts w:ascii="Arial" w:hAnsi="Arial" w:cs="Arial"/>
                <w:bCs/>
                <w:i w:val="0"/>
                <w:sz w:val="18"/>
                <w:lang w:val="en-GB"/>
              </w:rPr>
              <w:t>）</w:t>
            </w:r>
            <w:r w:rsidRPr="00053075">
              <w:rPr>
                <w:rFonts w:ascii="Arial" w:hAnsi="Arial" w:cs="Arial" w:hint="eastAsia"/>
                <w:bCs/>
                <w:i w:val="0"/>
                <w:sz w:val="18"/>
                <w:lang w:val="en-GB"/>
              </w:rPr>
              <w:t>：</w:t>
            </w:r>
          </w:p>
          <w:p w:rsidR="009A2B95" w:rsidRDefault="009A2B95">
            <w:pPr>
              <w:pStyle w:val="Eintrag"/>
              <w:rPr>
                <w:rFonts w:ascii="Arial" w:hAnsi="Arial" w:cs="Arial"/>
                <w:i w:val="0"/>
                <w:sz w:val="18"/>
                <w:lang w:val="en-GB"/>
              </w:rPr>
            </w:pPr>
          </w:p>
        </w:tc>
      </w:tr>
      <w:tr w:rsidR="009A2B95">
        <w:trPr>
          <w:trHeight w:val="304"/>
          <w:jc w:val="center"/>
        </w:trPr>
        <w:tc>
          <w:tcPr>
            <w:tcW w:w="4317" w:type="dxa"/>
            <w:tcBorders>
              <w:bottom w:val="single" w:sz="4" w:space="0" w:color="auto"/>
            </w:tcBorders>
          </w:tcPr>
          <w:p w:rsidR="009A2B95" w:rsidRDefault="00EB693B">
            <w:pPr>
              <w:pStyle w:val="Eintrag"/>
              <w:rPr>
                <w:rFonts w:ascii="Arial" w:hAnsi="Arial" w:cs="Arial"/>
                <w:i w:val="0"/>
                <w:sz w:val="18"/>
                <w:lang w:val="en-GB"/>
              </w:rPr>
            </w:pPr>
            <w:r>
              <w:rPr>
                <w:rFonts w:ascii="Arial" w:hAnsi="Arial" w:cs="Arial" w:hint="eastAsia"/>
                <w:i w:val="0"/>
                <w:sz w:val="18"/>
                <w:lang w:val="en-GB"/>
              </w:rPr>
              <w:t>是否采取了控制措施：□是</w:t>
            </w:r>
            <w:r>
              <w:rPr>
                <w:rFonts w:ascii="Arial" w:hAnsi="Arial" w:cs="Arial" w:hint="eastAsia"/>
                <w:i w:val="0"/>
                <w:sz w:val="18"/>
                <w:lang w:val="en-GB" w:eastAsia="zh-CN"/>
              </w:rPr>
              <w:t xml:space="preserve"> </w:t>
            </w:r>
            <w:r>
              <w:rPr>
                <w:rFonts w:ascii="Arial" w:hAnsi="Arial" w:cs="Arial" w:hint="eastAsia"/>
                <w:i w:val="0"/>
                <w:sz w:val="18"/>
                <w:lang w:val="en-GB"/>
              </w:rPr>
              <w:t xml:space="preserve"> </w:t>
            </w:r>
            <w:r>
              <w:rPr>
                <w:rFonts w:ascii="Arial" w:hAnsi="Arial" w:cs="Arial" w:hint="eastAsia"/>
                <w:i w:val="0"/>
                <w:sz w:val="18"/>
                <w:lang w:val="en-GB"/>
              </w:rPr>
              <w:t>□否</w:t>
            </w:r>
            <w:r>
              <w:rPr>
                <w:rFonts w:ascii="Arial" w:hAnsi="Arial" w:cs="Arial" w:hint="eastAsia"/>
                <w:i w:val="0"/>
                <w:sz w:val="18"/>
                <w:lang w:val="en-GB"/>
              </w:rPr>
              <w:t xml:space="preserve"> </w:t>
            </w:r>
          </w:p>
          <w:p w:rsidR="009A2B95" w:rsidRDefault="00EB693B">
            <w:pPr>
              <w:rPr>
                <w:rFonts w:ascii="Arial" w:hAnsi="Arial" w:cs="Arial"/>
                <w:sz w:val="18"/>
                <w:szCs w:val="18"/>
                <w:shd w:val="pct10" w:color="auto" w:fill="FFFFFF"/>
              </w:rPr>
            </w:pPr>
            <w:r>
              <w:rPr>
                <w:rFonts w:cs="Arial" w:hint="eastAsia"/>
                <w:sz w:val="18"/>
                <w:szCs w:val="18"/>
              </w:rPr>
              <w:t>若是，控制措施</w:t>
            </w:r>
            <w:r>
              <w:rPr>
                <w:rFonts w:ascii="Arial" w:hAnsi="Arial" w:cs="Arial"/>
                <w:kern w:val="0"/>
                <w:sz w:val="18"/>
                <w:szCs w:val="20"/>
                <w:lang w:val="en-GB" w:eastAsia="de-DE"/>
              </w:rPr>
              <w:t>（</w:t>
            </w:r>
            <w:r>
              <w:rPr>
                <w:rFonts w:ascii="Arial" w:hAnsi="Arial" w:cs="Arial" w:hint="eastAsia"/>
                <w:kern w:val="0"/>
                <w:sz w:val="18"/>
                <w:szCs w:val="20"/>
                <w:lang w:val="en-GB" w:eastAsia="de-DE"/>
              </w:rPr>
              <w:t>可上传附件</w:t>
            </w:r>
            <w:r>
              <w:rPr>
                <w:rFonts w:ascii="Arial" w:hAnsi="Arial" w:cs="Arial"/>
                <w:kern w:val="0"/>
                <w:sz w:val="18"/>
                <w:szCs w:val="20"/>
                <w:lang w:val="en-GB" w:eastAsia="de-DE"/>
              </w:rPr>
              <w:t>）</w:t>
            </w:r>
            <w:r>
              <w:rPr>
                <w:rFonts w:cs="Arial" w:hint="eastAsia"/>
                <w:sz w:val="18"/>
                <w:szCs w:val="18"/>
              </w:rPr>
              <w:t>：</w:t>
            </w:r>
          </w:p>
          <w:p w:rsidR="009A2B95" w:rsidRDefault="009A2B95">
            <w:pPr>
              <w:rPr>
                <w:rFonts w:cs="Arial"/>
                <w:sz w:val="18"/>
                <w:szCs w:val="18"/>
              </w:rPr>
            </w:pPr>
          </w:p>
          <w:p w:rsidR="009A2B95" w:rsidRDefault="009A2B95">
            <w:pPr>
              <w:rPr>
                <w:rFonts w:cs="Arial"/>
                <w:sz w:val="18"/>
                <w:szCs w:val="18"/>
              </w:rPr>
            </w:pPr>
          </w:p>
          <w:p w:rsidR="009A2B95" w:rsidRDefault="00EB693B">
            <w:pPr>
              <w:pStyle w:val="Eintrag"/>
              <w:rPr>
                <w:rFonts w:ascii="Arial" w:hAnsi="Arial" w:cs="Arial"/>
                <w:i w:val="0"/>
                <w:sz w:val="18"/>
                <w:shd w:val="pct10" w:color="auto" w:fill="FFFFFF"/>
                <w:lang w:val="en-GB" w:eastAsia="zh-CN"/>
              </w:rPr>
            </w:pPr>
            <w:r>
              <w:rPr>
                <w:rFonts w:ascii="Arial" w:hAnsi="Arial" w:cs="Arial" w:hint="eastAsia"/>
                <w:i w:val="0"/>
                <w:sz w:val="18"/>
                <w:lang w:val="en-US" w:eastAsia="zh-CN"/>
              </w:rPr>
              <w:t>若否，</w:t>
            </w:r>
            <w:r>
              <w:rPr>
                <w:rFonts w:ascii="Arial" w:hAnsi="Arial" w:cs="Arial" w:hint="eastAsia"/>
                <w:i w:val="0"/>
                <w:sz w:val="18"/>
                <w:lang w:val="en-GB"/>
              </w:rPr>
              <w:t>原</w:t>
            </w:r>
            <w:r>
              <w:rPr>
                <w:rFonts w:ascii="Arial" w:hAnsi="Arial" w:cs="Arial" w:hint="eastAsia"/>
                <w:i w:val="0"/>
                <w:sz w:val="18"/>
                <w:lang w:val="en-GB" w:eastAsia="zh-CN"/>
              </w:rPr>
              <w:t>因</w:t>
            </w:r>
            <w:r>
              <w:rPr>
                <w:rFonts w:ascii="Arial" w:hAnsi="Arial" w:cs="Arial" w:hint="eastAsia"/>
                <w:i w:val="0"/>
                <w:sz w:val="18"/>
                <w:lang w:val="en-GB"/>
              </w:rPr>
              <w:t>：</w:t>
            </w:r>
          </w:p>
          <w:p w:rsidR="009A2B95" w:rsidRDefault="009A2B95">
            <w:pPr>
              <w:pStyle w:val="Eintrag"/>
              <w:rPr>
                <w:rFonts w:cs="Arial"/>
                <w:sz w:val="18"/>
                <w:szCs w:val="18"/>
                <w:lang w:eastAsia="zh-CN"/>
              </w:rPr>
            </w:pPr>
          </w:p>
          <w:p w:rsidR="009A2B95" w:rsidRDefault="009A2B95">
            <w:pPr>
              <w:pStyle w:val="Eintrag"/>
              <w:rPr>
                <w:rFonts w:cs="Arial"/>
                <w:sz w:val="18"/>
                <w:szCs w:val="18"/>
                <w:lang w:eastAsia="zh-CN"/>
              </w:rPr>
            </w:pPr>
          </w:p>
        </w:tc>
      </w:tr>
      <w:tr w:rsidR="009A2B95">
        <w:trPr>
          <w:trHeight w:val="283"/>
          <w:jc w:val="center"/>
        </w:trPr>
        <w:tc>
          <w:tcPr>
            <w:tcW w:w="4317" w:type="dxa"/>
            <w:shd w:val="clear" w:color="auto" w:fill="CCCCCC"/>
          </w:tcPr>
          <w:p w:rsidR="009A2B95" w:rsidRDefault="00EB693B">
            <w:pPr>
              <w:pStyle w:val="Rubriktabell"/>
              <w:rPr>
                <w:sz w:val="20"/>
                <w:lang w:eastAsia="zh-CN"/>
              </w:rPr>
            </w:pPr>
            <w:r>
              <w:rPr>
                <w:rFonts w:hint="eastAsia"/>
                <w:sz w:val="20"/>
                <w:lang w:eastAsia="zh-CN"/>
              </w:rPr>
              <w:t>5</w:t>
            </w:r>
            <w:r>
              <w:rPr>
                <w:sz w:val="20"/>
              </w:rPr>
              <w:t xml:space="preserve">. </w:t>
            </w:r>
            <w:r>
              <w:rPr>
                <w:rFonts w:hint="eastAsia"/>
                <w:sz w:val="20"/>
              </w:rPr>
              <w:t>事件跟踪情况</w:t>
            </w:r>
          </w:p>
        </w:tc>
      </w:tr>
      <w:tr w:rsidR="009A2B95">
        <w:trPr>
          <w:trHeight w:val="304"/>
          <w:jc w:val="center"/>
        </w:trPr>
        <w:tc>
          <w:tcPr>
            <w:tcW w:w="4317" w:type="dxa"/>
          </w:tcPr>
          <w:p w:rsidR="009A2B95" w:rsidRDefault="00EB693B">
            <w:pPr>
              <w:pStyle w:val="Rubriktabell"/>
              <w:rPr>
                <w:b w:val="0"/>
                <w:bCs w:val="0"/>
                <w:szCs w:val="20"/>
                <w:lang w:val="en-GB" w:eastAsia="de-DE"/>
              </w:rPr>
            </w:pPr>
            <w:r>
              <w:rPr>
                <w:b w:val="0"/>
                <w:bCs w:val="0"/>
                <w:szCs w:val="20"/>
                <w:lang w:val="en-GB" w:eastAsia="de-DE"/>
              </w:rPr>
              <w:t>（</w:t>
            </w:r>
            <w:r>
              <w:rPr>
                <w:rFonts w:hint="eastAsia"/>
                <w:b w:val="0"/>
                <w:bCs w:val="0"/>
                <w:szCs w:val="20"/>
                <w:lang w:val="en-GB" w:eastAsia="de-DE"/>
              </w:rPr>
              <w:t>可上传附件</w:t>
            </w:r>
            <w:r>
              <w:rPr>
                <w:b w:val="0"/>
                <w:bCs w:val="0"/>
                <w:szCs w:val="20"/>
                <w:lang w:val="en-GB" w:eastAsia="de-DE"/>
              </w:rPr>
              <w:t>）</w:t>
            </w:r>
          </w:p>
          <w:p w:rsidR="009A2B95" w:rsidRDefault="009A2B95">
            <w:pPr>
              <w:pStyle w:val="Rubriktabell"/>
              <w:rPr>
                <w:sz w:val="20"/>
                <w:lang w:eastAsia="zh-CN"/>
              </w:rPr>
            </w:pPr>
          </w:p>
        </w:tc>
      </w:tr>
      <w:tr w:rsidR="009A2B95">
        <w:trPr>
          <w:trHeight w:val="304"/>
          <w:jc w:val="center"/>
        </w:trPr>
        <w:tc>
          <w:tcPr>
            <w:tcW w:w="4317" w:type="dxa"/>
            <w:shd w:val="clear" w:color="auto" w:fill="BFBFBF"/>
          </w:tcPr>
          <w:p w:rsidR="009A2B95" w:rsidRDefault="00EB693B">
            <w:pPr>
              <w:pStyle w:val="Rubriktabell"/>
              <w:rPr>
                <w:sz w:val="20"/>
                <w:lang w:eastAsia="zh-CN"/>
              </w:rPr>
            </w:pPr>
            <w:r>
              <w:rPr>
                <w:rFonts w:hint="eastAsia"/>
                <w:sz w:val="20"/>
                <w:lang w:eastAsia="zh-CN"/>
              </w:rPr>
              <w:t>6</w:t>
            </w:r>
            <w:r>
              <w:rPr>
                <w:sz w:val="20"/>
              </w:rPr>
              <w:t xml:space="preserve">. </w:t>
            </w:r>
            <w:r>
              <w:rPr>
                <w:rFonts w:hint="eastAsia"/>
                <w:sz w:val="20"/>
              </w:rPr>
              <w:t>事件</w:t>
            </w:r>
            <w:r>
              <w:rPr>
                <w:rFonts w:hint="eastAsia"/>
                <w:sz w:val="20"/>
                <w:lang w:eastAsia="zh-CN"/>
              </w:rPr>
              <w:t>审核</w:t>
            </w:r>
          </w:p>
        </w:tc>
      </w:tr>
      <w:tr w:rsidR="009A2B95">
        <w:trPr>
          <w:trHeight w:val="304"/>
          <w:jc w:val="center"/>
        </w:trPr>
        <w:tc>
          <w:tcPr>
            <w:tcW w:w="4317" w:type="dxa"/>
          </w:tcPr>
          <w:p w:rsidR="009A2B95" w:rsidRDefault="00EB693B">
            <w:pPr>
              <w:pStyle w:val="Rubriktabell"/>
              <w:rPr>
                <w:b w:val="0"/>
                <w:bCs w:val="0"/>
                <w:szCs w:val="20"/>
                <w:lang w:val="en-GB" w:eastAsia="de-DE"/>
              </w:rPr>
            </w:pPr>
            <w:r>
              <w:rPr>
                <w:rFonts w:hint="eastAsia"/>
                <w:b w:val="0"/>
                <w:bCs w:val="0"/>
                <w:szCs w:val="20"/>
                <w:lang w:val="en-US" w:eastAsia="zh-CN"/>
              </w:rPr>
              <w:t>上报地设区的</w:t>
            </w:r>
            <w:r>
              <w:rPr>
                <w:rFonts w:hint="eastAsia"/>
                <w:b w:val="0"/>
                <w:bCs w:val="0"/>
                <w:szCs w:val="20"/>
                <w:lang w:val="en-GB" w:eastAsia="zh-CN"/>
              </w:rPr>
              <w:t>市级中心审核意见：</w:t>
            </w:r>
            <w:r>
              <w:rPr>
                <w:rFonts w:hint="eastAsia"/>
                <w:b w:val="0"/>
                <w:bCs w:val="0"/>
                <w:szCs w:val="20"/>
                <w:lang w:val="en-GB" w:eastAsia="zh-CN"/>
              </w:rPr>
              <w:sym w:font="Wingdings 2" w:char="F0A3"/>
            </w:r>
            <w:r>
              <w:rPr>
                <w:rFonts w:hint="eastAsia"/>
                <w:b w:val="0"/>
                <w:bCs w:val="0"/>
                <w:szCs w:val="20"/>
                <w:lang w:val="en-GB" w:eastAsia="zh-CN"/>
              </w:rPr>
              <w:t xml:space="preserve"> </w:t>
            </w:r>
            <w:r>
              <w:rPr>
                <w:rFonts w:hint="eastAsia"/>
                <w:b w:val="0"/>
                <w:bCs w:val="0"/>
                <w:szCs w:val="20"/>
                <w:lang w:val="en-GB" w:eastAsia="zh-CN"/>
              </w:rPr>
              <w:t>通过</w:t>
            </w:r>
            <w:r>
              <w:rPr>
                <w:rFonts w:hint="eastAsia"/>
                <w:b w:val="0"/>
                <w:bCs w:val="0"/>
                <w:szCs w:val="20"/>
                <w:lang w:val="en-GB" w:eastAsia="zh-CN"/>
              </w:rPr>
              <w:t xml:space="preserve">  </w:t>
            </w:r>
            <w:r>
              <w:rPr>
                <w:rFonts w:hint="eastAsia"/>
                <w:b w:val="0"/>
                <w:bCs w:val="0"/>
                <w:szCs w:val="20"/>
                <w:lang w:val="en-GB" w:eastAsia="zh-CN"/>
              </w:rPr>
              <w:sym w:font="Wingdings 2" w:char="F0A3"/>
            </w:r>
            <w:r>
              <w:rPr>
                <w:rFonts w:hint="eastAsia"/>
                <w:b w:val="0"/>
                <w:bCs w:val="0"/>
                <w:szCs w:val="20"/>
                <w:lang w:val="en-GB" w:eastAsia="zh-CN"/>
              </w:rPr>
              <w:t xml:space="preserve"> </w:t>
            </w:r>
            <w:r>
              <w:rPr>
                <w:rFonts w:hint="eastAsia"/>
                <w:b w:val="0"/>
                <w:bCs w:val="0"/>
                <w:szCs w:val="20"/>
                <w:lang w:val="en-GB" w:eastAsia="zh-CN"/>
              </w:rPr>
              <w:t>退回（退回原因：</w:t>
            </w:r>
            <w:r>
              <w:rPr>
                <w:rFonts w:hint="eastAsia"/>
                <w:b w:val="0"/>
                <w:bCs w:val="0"/>
                <w:szCs w:val="20"/>
                <w:shd w:val="pct10" w:color="auto" w:fill="FFFFFF"/>
                <w:lang w:val="en-GB" w:eastAsia="zh-CN"/>
              </w:rPr>
              <w:t xml:space="preserve">                                  </w:t>
            </w:r>
            <w:r>
              <w:rPr>
                <w:rFonts w:hint="eastAsia"/>
                <w:b w:val="0"/>
                <w:bCs w:val="0"/>
                <w:szCs w:val="20"/>
                <w:lang w:val="en-GB" w:eastAsia="zh-CN"/>
              </w:rPr>
              <w:t>）</w:t>
            </w:r>
          </w:p>
        </w:tc>
      </w:tr>
      <w:tr w:rsidR="009A2B95">
        <w:trPr>
          <w:trHeight w:val="304"/>
          <w:jc w:val="center"/>
        </w:trPr>
        <w:tc>
          <w:tcPr>
            <w:tcW w:w="4317" w:type="dxa"/>
          </w:tcPr>
          <w:p w:rsidR="009A2B95" w:rsidRDefault="00EB693B">
            <w:pPr>
              <w:rPr>
                <w:rFonts w:ascii="Arial" w:hAnsi="Arial" w:cs="Arial"/>
                <w:kern w:val="0"/>
                <w:sz w:val="18"/>
                <w:szCs w:val="20"/>
                <w:lang w:val="en-GB"/>
              </w:rPr>
            </w:pPr>
            <w:r>
              <w:rPr>
                <w:rFonts w:ascii="Arial" w:hAnsi="Arial" w:cs="Arial" w:hint="eastAsia"/>
                <w:kern w:val="0"/>
                <w:sz w:val="18"/>
                <w:szCs w:val="20"/>
                <w:lang w:val="en-GB"/>
              </w:rPr>
              <w:t>持有人所在地省级中心审核意见：</w:t>
            </w:r>
            <w:r>
              <w:rPr>
                <w:rFonts w:ascii="Arial" w:hAnsi="Arial" w:cs="Arial" w:hint="eastAsia"/>
                <w:kern w:val="0"/>
                <w:sz w:val="18"/>
                <w:szCs w:val="20"/>
                <w:lang w:val="en-GB"/>
              </w:rPr>
              <w:t xml:space="preserve"> </w:t>
            </w:r>
          </w:p>
          <w:p w:rsidR="009A2B95" w:rsidRDefault="00EB693B">
            <w:pPr>
              <w:rPr>
                <w:rFonts w:ascii="Arial" w:hAnsi="Arial" w:cs="Arial"/>
                <w:kern w:val="0"/>
                <w:sz w:val="18"/>
                <w:szCs w:val="20"/>
                <w:lang w:val="en-GB"/>
              </w:rPr>
            </w:pPr>
            <w:r>
              <w:rPr>
                <w:rFonts w:ascii="Arial" w:hAnsi="Arial" w:cs="Arial" w:hint="eastAsia"/>
                <w:kern w:val="0"/>
                <w:sz w:val="18"/>
                <w:szCs w:val="20"/>
                <w:lang w:val="en-GB"/>
              </w:rPr>
              <w:sym w:font="Wingdings 2" w:char="F0A3"/>
            </w:r>
            <w:r>
              <w:rPr>
                <w:rFonts w:ascii="Arial" w:hAnsi="Arial" w:cs="Arial" w:hint="eastAsia"/>
                <w:kern w:val="0"/>
                <w:sz w:val="18"/>
                <w:szCs w:val="20"/>
                <w:lang w:val="en-GB"/>
              </w:rPr>
              <w:t xml:space="preserve"> </w:t>
            </w:r>
            <w:r>
              <w:rPr>
                <w:rFonts w:ascii="Arial" w:hAnsi="Arial" w:cs="Arial" w:hint="eastAsia"/>
                <w:kern w:val="0"/>
                <w:sz w:val="18"/>
                <w:szCs w:val="20"/>
                <w:lang w:val="en-GB"/>
              </w:rPr>
              <w:t>通过（通过意见：</w:t>
            </w:r>
            <w:r>
              <w:rPr>
                <w:rFonts w:ascii="Arial" w:hAnsi="Arial" w:cs="Arial" w:hint="eastAsia"/>
                <w:kern w:val="0"/>
                <w:sz w:val="18"/>
                <w:szCs w:val="20"/>
                <w:shd w:val="pct10" w:color="auto" w:fill="FFFFFF"/>
                <w:lang w:val="en-GB"/>
              </w:rPr>
              <w:t xml:space="preserve">                          </w:t>
            </w:r>
            <w:r>
              <w:rPr>
                <w:rFonts w:ascii="Arial" w:hAnsi="Arial" w:cs="Arial" w:hint="eastAsia"/>
                <w:kern w:val="0"/>
                <w:sz w:val="18"/>
                <w:szCs w:val="20"/>
                <w:lang w:val="en-GB"/>
              </w:rPr>
              <w:t>）</w:t>
            </w:r>
          </w:p>
          <w:p w:rsidR="009A2B95" w:rsidRDefault="00EB693B">
            <w:pPr>
              <w:pStyle w:val="Rubriktabell"/>
              <w:rPr>
                <w:b w:val="0"/>
                <w:bCs w:val="0"/>
                <w:szCs w:val="20"/>
                <w:lang w:val="en-GB" w:eastAsia="zh-CN"/>
              </w:rPr>
            </w:pPr>
            <w:r>
              <w:rPr>
                <w:rFonts w:hint="eastAsia"/>
                <w:b w:val="0"/>
                <w:bCs w:val="0"/>
                <w:szCs w:val="20"/>
                <w:lang w:val="en-GB" w:eastAsia="zh-CN"/>
              </w:rPr>
              <w:sym w:font="Wingdings 2" w:char="F0A3"/>
            </w:r>
            <w:r>
              <w:rPr>
                <w:rFonts w:hint="eastAsia"/>
                <w:b w:val="0"/>
                <w:bCs w:val="0"/>
                <w:szCs w:val="20"/>
                <w:lang w:val="en-GB" w:eastAsia="zh-CN"/>
              </w:rPr>
              <w:t xml:space="preserve"> </w:t>
            </w:r>
            <w:r>
              <w:rPr>
                <w:rFonts w:hint="eastAsia"/>
                <w:b w:val="0"/>
                <w:bCs w:val="0"/>
                <w:szCs w:val="20"/>
                <w:lang w:val="en-GB" w:eastAsia="zh-CN"/>
              </w:rPr>
              <w:t>退回（退回原因：</w:t>
            </w:r>
            <w:r>
              <w:rPr>
                <w:rFonts w:hint="eastAsia"/>
                <w:b w:val="0"/>
                <w:bCs w:val="0"/>
                <w:szCs w:val="20"/>
                <w:shd w:val="pct10" w:color="auto" w:fill="FFFFFF"/>
                <w:lang w:val="en-GB" w:eastAsia="zh-CN"/>
              </w:rPr>
              <w:t xml:space="preserve">                          </w:t>
            </w:r>
            <w:r>
              <w:rPr>
                <w:rFonts w:hint="eastAsia"/>
                <w:b w:val="0"/>
                <w:bCs w:val="0"/>
                <w:szCs w:val="20"/>
                <w:lang w:val="en-GB" w:eastAsia="zh-CN"/>
              </w:rPr>
              <w:t>）</w:t>
            </w:r>
          </w:p>
        </w:tc>
      </w:tr>
      <w:tr w:rsidR="009A2B95">
        <w:trPr>
          <w:trHeight w:val="1245"/>
          <w:jc w:val="center"/>
        </w:trPr>
        <w:tc>
          <w:tcPr>
            <w:tcW w:w="4317" w:type="dxa"/>
          </w:tcPr>
          <w:p w:rsidR="009A2B95" w:rsidRDefault="00EB693B">
            <w:pPr>
              <w:rPr>
                <w:rFonts w:ascii="Arial" w:hAnsi="Arial" w:cs="Arial"/>
                <w:kern w:val="0"/>
                <w:sz w:val="18"/>
                <w:szCs w:val="20"/>
                <w:lang w:val="en-GB"/>
              </w:rPr>
            </w:pPr>
            <w:r>
              <w:rPr>
                <w:rFonts w:ascii="Arial" w:hAnsi="Arial" w:cs="Arial" w:hint="eastAsia"/>
                <w:kern w:val="0"/>
                <w:sz w:val="18"/>
                <w:szCs w:val="20"/>
                <w:lang w:val="en-GB"/>
              </w:rPr>
              <w:t>国家中心复核意见：</w:t>
            </w:r>
            <w:r>
              <w:rPr>
                <w:rFonts w:ascii="Arial" w:hAnsi="Arial" w:cs="Arial" w:hint="eastAsia"/>
                <w:kern w:val="0"/>
                <w:sz w:val="18"/>
                <w:szCs w:val="20"/>
                <w:lang w:val="en-GB"/>
              </w:rPr>
              <w:t xml:space="preserve"> </w:t>
            </w:r>
          </w:p>
          <w:p w:rsidR="009A2B95" w:rsidRDefault="00EB693B">
            <w:pPr>
              <w:rPr>
                <w:rFonts w:ascii="Arial" w:hAnsi="Arial" w:cs="Arial"/>
                <w:kern w:val="0"/>
                <w:sz w:val="18"/>
                <w:szCs w:val="20"/>
                <w:lang w:val="en-GB"/>
              </w:rPr>
            </w:pPr>
            <w:r>
              <w:rPr>
                <w:rFonts w:ascii="Arial" w:hAnsi="Arial" w:cs="Arial" w:hint="eastAsia"/>
                <w:kern w:val="0"/>
                <w:sz w:val="18"/>
                <w:szCs w:val="20"/>
                <w:lang w:val="en-GB"/>
              </w:rPr>
              <w:sym w:font="Wingdings 2" w:char="F0A3"/>
            </w:r>
            <w:r>
              <w:rPr>
                <w:rFonts w:ascii="Arial" w:hAnsi="Arial" w:cs="Arial" w:hint="eastAsia"/>
                <w:kern w:val="0"/>
                <w:sz w:val="18"/>
                <w:szCs w:val="20"/>
                <w:lang w:val="en-GB"/>
              </w:rPr>
              <w:t xml:space="preserve"> </w:t>
            </w:r>
            <w:r>
              <w:rPr>
                <w:rFonts w:ascii="Arial" w:hAnsi="Arial" w:cs="Arial" w:hint="eastAsia"/>
                <w:kern w:val="0"/>
                <w:sz w:val="18"/>
                <w:szCs w:val="20"/>
                <w:lang w:val="en-GB"/>
              </w:rPr>
              <w:t>通过（通过意见：</w:t>
            </w:r>
            <w:r>
              <w:rPr>
                <w:rFonts w:ascii="Arial" w:hAnsi="Arial" w:cs="Arial" w:hint="eastAsia"/>
                <w:kern w:val="0"/>
                <w:sz w:val="18"/>
                <w:szCs w:val="20"/>
                <w:shd w:val="pct10" w:color="auto" w:fill="FFFFFF"/>
                <w:lang w:val="en-GB"/>
              </w:rPr>
              <w:t xml:space="preserve">                          </w:t>
            </w:r>
            <w:r>
              <w:rPr>
                <w:rFonts w:ascii="Arial" w:hAnsi="Arial" w:cs="Arial" w:hint="eastAsia"/>
                <w:kern w:val="0"/>
                <w:sz w:val="18"/>
                <w:szCs w:val="20"/>
                <w:lang w:val="en-GB"/>
              </w:rPr>
              <w:t>）</w:t>
            </w:r>
          </w:p>
          <w:p w:rsidR="009A2B95" w:rsidRDefault="00EB693B">
            <w:pPr>
              <w:pStyle w:val="Rubriktabell"/>
              <w:rPr>
                <w:b w:val="0"/>
                <w:bCs w:val="0"/>
                <w:szCs w:val="20"/>
                <w:lang w:val="en-GB" w:eastAsia="de-DE"/>
              </w:rPr>
            </w:pPr>
            <w:r>
              <w:rPr>
                <w:rFonts w:hint="eastAsia"/>
                <w:b w:val="0"/>
                <w:bCs w:val="0"/>
                <w:szCs w:val="20"/>
                <w:lang w:val="en-GB" w:eastAsia="zh-CN"/>
              </w:rPr>
              <w:sym w:font="Wingdings 2" w:char="F0A3"/>
            </w:r>
            <w:r>
              <w:rPr>
                <w:rFonts w:hint="eastAsia"/>
                <w:b w:val="0"/>
                <w:bCs w:val="0"/>
                <w:szCs w:val="20"/>
                <w:lang w:val="en-GB" w:eastAsia="zh-CN"/>
              </w:rPr>
              <w:t xml:space="preserve"> </w:t>
            </w:r>
            <w:r>
              <w:rPr>
                <w:rFonts w:hint="eastAsia"/>
                <w:b w:val="0"/>
                <w:bCs w:val="0"/>
                <w:szCs w:val="20"/>
                <w:lang w:val="en-GB" w:eastAsia="zh-CN"/>
              </w:rPr>
              <w:t>退回（退回原因：</w:t>
            </w:r>
            <w:r>
              <w:rPr>
                <w:rFonts w:hint="eastAsia"/>
                <w:b w:val="0"/>
                <w:bCs w:val="0"/>
                <w:szCs w:val="20"/>
                <w:shd w:val="pct10" w:color="auto" w:fill="FFFFFF"/>
                <w:lang w:val="en-GB" w:eastAsia="zh-CN"/>
              </w:rPr>
              <w:t xml:space="preserve">                          </w:t>
            </w:r>
            <w:r>
              <w:rPr>
                <w:rFonts w:hint="eastAsia"/>
                <w:b w:val="0"/>
                <w:bCs w:val="0"/>
                <w:szCs w:val="20"/>
                <w:lang w:val="en-GB" w:eastAsia="zh-CN"/>
              </w:rPr>
              <w:t>）</w:t>
            </w:r>
          </w:p>
        </w:tc>
      </w:tr>
      <w:bookmarkEnd w:id="247"/>
    </w:tbl>
    <w:p w:rsidR="009A2B95" w:rsidRDefault="009A2B95">
      <w:pPr>
        <w:rPr>
          <w:rFonts w:cs="Arial"/>
        </w:rPr>
        <w:sectPr w:rsidR="009A2B95">
          <w:type w:val="continuous"/>
          <w:pgSz w:w="11906" w:h="16838"/>
          <w:pgMar w:top="1440" w:right="1800" w:bottom="1440" w:left="1800" w:header="851" w:footer="992" w:gutter="0"/>
          <w:cols w:num="2" w:space="720"/>
          <w:docGrid w:type="lines" w:linePitch="312"/>
        </w:sectPr>
      </w:pPr>
    </w:p>
    <w:p w:rsidR="009A2B95" w:rsidRDefault="00EB693B">
      <w:pPr>
        <w:pStyle w:val="Style2"/>
        <w:rPr>
          <w:lang w:eastAsia="zh-CN"/>
        </w:rPr>
      </w:pPr>
      <w:r>
        <w:rPr>
          <w:lang w:eastAsia="zh-CN"/>
        </w:rPr>
        <w:lastRenderedPageBreak/>
        <w:t>Bottom of Form</w:t>
      </w:r>
    </w:p>
    <w:sectPr w:rsidR="009A2B95">
      <w:footerReference w:type="default" r:id="rId10"/>
      <w:pgSz w:w="11906" w:h="16838"/>
      <w:pgMar w:top="1440" w:right="1701" w:bottom="1440" w:left="170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1BC" w:rsidRDefault="00E401BC">
      <w:r>
        <w:separator/>
      </w:r>
    </w:p>
  </w:endnote>
  <w:endnote w:type="continuationSeparator" w:id="0">
    <w:p w:rsidR="00E401BC" w:rsidRDefault="00E40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95" w:rsidRDefault="00EB693B">
    <w:pPr>
      <w:pStyle w:val="a4"/>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54940" cy="186055"/>
              <wp:effectExtent l="0" t="0" r="1651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86055"/>
                      </a:xfrm>
                      <a:prstGeom prst="rect">
                        <a:avLst/>
                      </a:prstGeom>
                      <a:noFill/>
                      <a:ln>
                        <a:noFill/>
                      </a:ln>
                    </wps:spPr>
                    <wps:txbx>
                      <w:txbxContent>
                        <w:p w:rsidR="009A2B95" w:rsidRDefault="00EB693B">
                          <w:pPr>
                            <w:pStyle w:val="a4"/>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053075">
                            <w:rPr>
                              <w:noProof/>
                              <w:sz w:val="24"/>
                              <w:szCs w:val="24"/>
                            </w:rPr>
                            <w:t>13</w:t>
                          </w:r>
                          <w:r>
                            <w:rPr>
                              <w:rFonts w:hint="eastAsia"/>
                              <w:sz w:val="24"/>
                              <w:szCs w:val="24"/>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12.2pt;height:14.6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" filled="f" stroked="f">
              <v:textbox style="mso-fit-shape-to-text:t" inset="0,0,0,0">
                <w:txbxContent>
                  <w:p w:rsidR="009A2B95" w:rsidRDefault="00EB693B">
                    <w:pPr>
                      <w:pStyle w:val="a4"/>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053075">
                      <w:rPr>
                        <w:noProof/>
                        <w:sz w:val="24"/>
                        <w:szCs w:val="24"/>
                      </w:rPr>
                      <w:t>13</w:t>
                    </w:r>
                    <w:r>
                      <w:rPr>
                        <w:rFonts w:hint="eastAsia"/>
                        <w:sz w:val="24"/>
                        <w:szCs w:val="24"/>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95" w:rsidRDefault="00EB693B">
    <w:pPr>
      <w:pStyle w:val="a4"/>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76200" cy="217170"/>
              <wp:effectExtent l="0" t="0" r="0" b="5080"/>
              <wp:wrapNone/>
              <wp:docPr id="3" name="文本框 3"/>
              <wp:cNvGraphicFramePr/>
              <a:graphic xmlns:a="http://schemas.openxmlformats.org/drawingml/2006/main">
                <a:graphicData uri="http://schemas.microsoft.com/office/word/2010/wordprocessingShape">
                  <wps:wsp>
                    <wps:cNvSpPr txBox="1"/>
                    <wps:spPr>
                      <a:xfrm>
                        <a:off x="0" y="0"/>
                        <a:ext cx="76200" cy="217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A2B95" w:rsidRDefault="009A2B95">
                          <w:pPr>
                            <w:pStyle w:val="a4"/>
                            <w:rPr>
                              <w:sz w:val="28"/>
                              <w:szCs w:val="28"/>
                            </w:rP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6pt;height:17.1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" filled="f" stroked="f" strokeweight=".5pt">
              <v:textbox style="mso-fit-shape-to-text:t" inset="0,0,0,0">
                <w:txbxContent>
                  <w:p w:rsidR="009A2B95" w:rsidRDefault="009A2B95">
                    <w:pPr>
                      <w:pStyle w:val="a4"/>
                      <w:rPr>
                        <w:sz w:val="28"/>
                        <w:szCs w:val="28"/>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1BC" w:rsidRDefault="00E401BC">
      <w:r>
        <w:separator/>
      </w:r>
    </w:p>
  </w:footnote>
  <w:footnote w:type="continuationSeparator" w:id="0">
    <w:p w:rsidR="00E401BC" w:rsidRDefault="00E401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24269"/>
    <w:multiLevelType w:val="singleLevel"/>
    <w:tmpl w:val="85D24269"/>
    <w:lvl w:ilvl="0">
      <w:start w:val="1"/>
      <w:numFmt w:val="chineseCounting"/>
      <w:suff w:val="nothing"/>
      <w:lvlText w:val="（%1）"/>
      <w:lvlJc w:val="left"/>
      <w:pPr>
        <w:ind w:left="0" w:firstLine="420"/>
      </w:pPr>
      <w:rPr>
        <w:rFonts w:hint="eastAsia"/>
      </w:rPr>
    </w:lvl>
  </w:abstractNum>
  <w:abstractNum w:abstractNumId="1">
    <w:nsid w:val="C4025C19"/>
    <w:multiLevelType w:val="singleLevel"/>
    <w:tmpl w:val="C4025C19"/>
    <w:lvl w:ilvl="0">
      <w:start w:val="1"/>
      <w:numFmt w:val="chineseCounting"/>
      <w:suff w:val="nothing"/>
      <w:lvlText w:val="（%1）"/>
      <w:lvlJc w:val="left"/>
      <w:pPr>
        <w:ind w:left="0" w:firstLine="420"/>
      </w:pPr>
      <w:rPr>
        <w:rFonts w:hint="eastAsia"/>
      </w:rPr>
    </w:lvl>
  </w:abstractNum>
  <w:abstractNum w:abstractNumId="2">
    <w:nsid w:val="DCF88D17"/>
    <w:multiLevelType w:val="singleLevel"/>
    <w:tmpl w:val="DCF88D17"/>
    <w:lvl w:ilvl="0">
      <w:start w:val="1"/>
      <w:numFmt w:val="decimal"/>
      <w:suff w:val="nothing"/>
      <w:lvlText w:val="%1．"/>
      <w:lvlJc w:val="left"/>
      <w:pPr>
        <w:ind w:left="0" w:firstLine="400"/>
      </w:pPr>
      <w:rPr>
        <w:rFonts w:hint="default"/>
      </w:rPr>
    </w:lvl>
  </w:abstractNum>
  <w:abstractNum w:abstractNumId="3">
    <w:nsid w:val="01F32D58"/>
    <w:multiLevelType w:val="singleLevel"/>
    <w:tmpl w:val="01F32D58"/>
    <w:lvl w:ilvl="0">
      <w:start w:val="1"/>
      <w:numFmt w:val="decimal"/>
      <w:suff w:val="nothing"/>
      <w:lvlText w:val="%1．"/>
      <w:lvlJc w:val="left"/>
      <w:pPr>
        <w:ind w:left="0" w:firstLine="400"/>
      </w:pPr>
      <w:rPr>
        <w:rFonts w:hint="default"/>
      </w:rPr>
    </w:lvl>
  </w:abstractNum>
  <w:abstractNum w:abstractNumId="4">
    <w:nsid w:val="0C536B4D"/>
    <w:multiLevelType w:val="multilevel"/>
    <w:tmpl w:val="0C536B4D"/>
    <w:lvl w:ilvl="0">
      <w:start w:val="1"/>
      <w:numFmt w:val="decimal"/>
      <w:lvlText w:val="第 %1 章"/>
      <w:lvlJc w:val="left"/>
      <w:pPr>
        <w:tabs>
          <w:tab w:val="left" w:pos="6"/>
        </w:tabs>
        <w:ind w:left="438" w:hanging="432"/>
      </w:pPr>
      <w:rPr>
        <w:rFonts w:cs="Times New Roman" w:hint="eastAsia"/>
      </w:rPr>
    </w:lvl>
    <w:lvl w:ilvl="1">
      <w:start w:val="1"/>
      <w:numFmt w:val="decimal"/>
      <w:pStyle w:val="2"/>
      <w:lvlText w:val="%1.%2"/>
      <w:lvlJc w:val="left"/>
      <w:pPr>
        <w:tabs>
          <w:tab w:val="left" w:pos="142"/>
        </w:tabs>
        <w:ind w:left="718" w:hanging="576"/>
      </w:pPr>
      <w:rPr>
        <w:rFonts w:cs="Times New Roman" w:hint="eastAsia"/>
      </w:rPr>
    </w:lvl>
    <w:lvl w:ilvl="2">
      <w:start w:val="1"/>
      <w:numFmt w:val="decimal"/>
      <w:lvlText w:val="%1.%2.%3"/>
      <w:lvlJc w:val="left"/>
      <w:pPr>
        <w:tabs>
          <w:tab w:val="left" w:pos="6"/>
        </w:tabs>
        <w:ind w:left="726" w:hanging="720"/>
      </w:pPr>
      <w:rPr>
        <w:rFonts w:cs="Times New Roman" w:hint="eastAsia"/>
      </w:rPr>
    </w:lvl>
    <w:lvl w:ilvl="3">
      <w:start w:val="1"/>
      <w:numFmt w:val="decimal"/>
      <w:lvlText w:val="%1.%2.%3.%4"/>
      <w:lvlJc w:val="left"/>
      <w:pPr>
        <w:tabs>
          <w:tab w:val="left" w:pos="6"/>
        </w:tabs>
        <w:ind w:left="870" w:hanging="864"/>
      </w:pPr>
      <w:rPr>
        <w:rFonts w:cs="Times New Roman" w:hint="eastAsia"/>
      </w:rPr>
    </w:lvl>
    <w:lvl w:ilvl="4">
      <w:start w:val="1"/>
      <w:numFmt w:val="decimal"/>
      <w:lvlText w:val="%1.%2.%3.%4.%5"/>
      <w:lvlJc w:val="left"/>
      <w:pPr>
        <w:tabs>
          <w:tab w:val="left" w:pos="6"/>
        </w:tabs>
        <w:ind w:left="1014" w:hanging="1008"/>
      </w:pPr>
      <w:rPr>
        <w:rFonts w:cs="Times New Roman" w:hint="eastAsia"/>
      </w:rPr>
    </w:lvl>
    <w:lvl w:ilvl="5">
      <w:start w:val="1"/>
      <w:numFmt w:val="decimal"/>
      <w:lvlText w:val="%1.%2.%3.%4.%5.%6"/>
      <w:lvlJc w:val="left"/>
      <w:pPr>
        <w:tabs>
          <w:tab w:val="left" w:pos="6"/>
        </w:tabs>
        <w:ind w:left="1158" w:hanging="1152"/>
      </w:pPr>
      <w:rPr>
        <w:rFonts w:cs="Times New Roman" w:hint="eastAsia"/>
      </w:rPr>
    </w:lvl>
    <w:lvl w:ilvl="6">
      <w:start w:val="1"/>
      <w:numFmt w:val="decimal"/>
      <w:lvlText w:val="%7. "/>
      <w:lvlJc w:val="left"/>
      <w:pPr>
        <w:tabs>
          <w:tab w:val="left" w:pos="829"/>
        </w:tabs>
        <w:ind w:left="829" w:hanging="397"/>
      </w:pPr>
      <w:rPr>
        <w:rFonts w:cs="Times New Roman" w:hint="eastAsia"/>
      </w:rPr>
    </w:lvl>
    <w:lvl w:ilvl="7">
      <w:start w:val="1"/>
      <w:numFmt w:val="bullet"/>
      <w:lvlText w:val=""/>
      <w:lvlJc w:val="left"/>
      <w:pPr>
        <w:tabs>
          <w:tab w:val="left" w:pos="1287"/>
        </w:tabs>
        <w:ind w:left="1287" w:hanging="402"/>
      </w:pPr>
      <w:rPr>
        <w:rFonts w:ascii="Symbol" w:hAnsi="Symbol" w:hint="default"/>
        <w:color w:val="auto"/>
      </w:rPr>
    </w:lvl>
    <w:lvl w:ilvl="8">
      <w:start w:val="1"/>
      <w:numFmt w:val="decimal"/>
      <w:lvlText w:val="%1.%2.%3.%4.%5.%6.%7.%8.%9"/>
      <w:lvlJc w:val="left"/>
      <w:pPr>
        <w:tabs>
          <w:tab w:val="left" w:pos="6"/>
        </w:tabs>
        <w:ind w:left="1590" w:hanging="1584"/>
      </w:pPr>
      <w:rPr>
        <w:rFonts w:cs="Times New Roman" w:hint="eastAsia"/>
      </w:rPr>
    </w:lvl>
  </w:abstractNum>
  <w:abstractNum w:abstractNumId="5">
    <w:nsid w:val="23AB78CD"/>
    <w:multiLevelType w:val="singleLevel"/>
    <w:tmpl w:val="23AB78CD"/>
    <w:lvl w:ilvl="0">
      <w:start w:val="1"/>
      <w:numFmt w:val="chineseCounting"/>
      <w:suff w:val="nothing"/>
      <w:lvlText w:val="（%1）"/>
      <w:lvlJc w:val="left"/>
      <w:pPr>
        <w:ind w:left="0" w:firstLine="420"/>
      </w:pPr>
      <w:rPr>
        <w:rFonts w:hint="eastAsia"/>
      </w:rPr>
    </w:lvl>
  </w:abstractNum>
  <w:abstractNum w:abstractNumId="6">
    <w:nsid w:val="45A75866"/>
    <w:multiLevelType w:val="singleLevel"/>
    <w:tmpl w:val="45A75866"/>
    <w:lvl w:ilvl="0">
      <w:start w:val="1"/>
      <w:numFmt w:val="chineseCounting"/>
      <w:suff w:val="nothing"/>
      <w:lvlText w:val="（%1）"/>
      <w:lvlJc w:val="left"/>
      <w:pPr>
        <w:ind w:left="0" w:firstLine="420"/>
      </w:pPr>
      <w:rPr>
        <w:rFonts w:hint="eastAsia"/>
      </w:rPr>
    </w:lvl>
  </w:abstractNum>
  <w:abstractNum w:abstractNumId="7">
    <w:nsid w:val="53C5034E"/>
    <w:multiLevelType w:val="multilevel"/>
    <w:tmpl w:val="53C5034E"/>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nsid w:val="601356C0"/>
    <w:multiLevelType w:val="singleLevel"/>
    <w:tmpl w:val="601356C0"/>
    <w:lvl w:ilvl="0">
      <w:start w:val="1"/>
      <w:numFmt w:val="chineseCounting"/>
      <w:suff w:val="nothing"/>
      <w:lvlText w:val="（%1）"/>
      <w:lvlJc w:val="left"/>
      <w:pPr>
        <w:ind w:left="0" w:firstLine="420"/>
      </w:pPr>
      <w:rPr>
        <w:rFonts w:hint="eastAsia"/>
      </w:rPr>
    </w:lvl>
  </w:abstractNum>
  <w:abstractNum w:abstractNumId="9">
    <w:nsid w:val="6C3603FA"/>
    <w:multiLevelType w:val="singleLevel"/>
    <w:tmpl w:val="6C3603FA"/>
    <w:lvl w:ilvl="0">
      <w:start w:val="1"/>
      <w:numFmt w:val="chineseCounting"/>
      <w:suff w:val="nothing"/>
      <w:lvlText w:val="（%1）"/>
      <w:lvlJc w:val="left"/>
      <w:pPr>
        <w:ind w:left="0" w:firstLine="420"/>
      </w:pPr>
      <w:rPr>
        <w:rFonts w:hint="eastAsia"/>
      </w:rPr>
    </w:lvl>
  </w:abstractNum>
  <w:num w:numId="1">
    <w:abstractNumId w:val="4"/>
  </w:num>
  <w:num w:numId="2">
    <w:abstractNumId w:val="6"/>
  </w:num>
  <w:num w:numId="3">
    <w:abstractNumId w:val="5"/>
  </w:num>
  <w:num w:numId="4">
    <w:abstractNumId w:val="9"/>
  </w:num>
  <w:num w:numId="5">
    <w:abstractNumId w:val="2"/>
  </w:num>
  <w:num w:numId="6">
    <w:abstractNumId w:val="1"/>
  </w:num>
  <w:num w:numId="7">
    <w:abstractNumId w:val="7"/>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1311F"/>
    <w:rsid w:val="00035E33"/>
    <w:rsid w:val="000463B9"/>
    <w:rsid w:val="00053075"/>
    <w:rsid w:val="000A50C8"/>
    <w:rsid w:val="00116FED"/>
    <w:rsid w:val="00120328"/>
    <w:rsid w:val="002F61B9"/>
    <w:rsid w:val="00334B42"/>
    <w:rsid w:val="003522EE"/>
    <w:rsid w:val="00364ED1"/>
    <w:rsid w:val="00381A4B"/>
    <w:rsid w:val="003A28FD"/>
    <w:rsid w:val="003B35C5"/>
    <w:rsid w:val="004513AE"/>
    <w:rsid w:val="004F6491"/>
    <w:rsid w:val="00534E10"/>
    <w:rsid w:val="00556DFF"/>
    <w:rsid w:val="005D694F"/>
    <w:rsid w:val="005E48F6"/>
    <w:rsid w:val="00612454"/>
    <w:rsid w:val="0062212C"/>
    <w:rsid w:val="00637CE0"/>
    <w:rsid w:val="006A7F23"/>
    <w:rsid w:val="006C4B9A"/>
    <w:rsid w:val="006C6D1E"/>
    <w:rsid w:val="00705913"/>
    <w:rsid w:val="007110C3"/>
    <w:rsid w:val="0072350D"/>
    <w:rsid w:val="0074651D"/>
    <w:rsid w:val="007A6A79"/>
    <w:rsid w:val="007B7C27"/>
    <w:rsid w:val="007D0594"/>
    <w:rsid w:val="00851CD2"/>
    <w:rsid w:val="00872C6D"/>
    <w:rsid w:val="008A1186"/>
    <w:rsid w:val="008C1D61"/>
    <w:rsid w:val="008F10E1"/>
    <w:rsid w:val="009A2B95"/>
    <w:rsid w:val="009D5030"/>
    <w:rsid w:val="00A27D32"/>
    <w:rsid w:val="00AB6D00"/>
    <w:rsid w:val="00AE32BA"/>
    <w:rsid w:val="00B07C15"/>
    <w:rsid w:val="00B734FA"/>
    <w:rsid w:val="00BB7CE9"/>
    <w:rsid w:val="00BC4DC5"/>
    <w:rsid w:val="00C3102F"/>
    <w:rsid w:val="00C825F9"/>
    <w:rsid w:val="00CB3D82"/>
    <w:rsid w:val="00CF69D0"/>
    <w:rsid w:val="00D41EF5"/>
    <w:rsid w:val="00DB62C0"/>
    <w:rsid w:val="00DC1E3E"/>
    <w:rsid w:val="00DD19D7"/>
    <w:rsid w:val="00DD6798"/>
    <w:rsid w:val="00E10F76"/>
    <w:rsid w:val="00E24A2D"/>
    <w:rsid w:val="00E401BC"/>
    <w:rsid w:val="00E63199"/>
    <w:rsid w:val="00E6489E"/>
    <w:rsid w:val="00EB693B"/>
    <w:rsid w:val="00F302DA"/>
    <w:rsid w:val="00F84715"/>
    <w:rsid w:val="00FA5F8F"/>
    <w:rsid w:val="00FC14F8"/>
    <w:rsid w:val="0160389E"/>
    <w:rsid w:val="062B08AC"/>
    <w:rsid w:val="068B5B8A"/>
    <w:rsid w:val="0C6518BD"/>
    <w:rsid w:val="0DBA1BCB"/>
    <w:rsid w:val="0EEE6D36"/>
    <w:rsid w:val="11735A79"/>
    <w:rsid w:val="14CE739B"/>
    <w:rsid w:val="175801A4"/>
    <w:rsid w:val="176D1DBE"/>
    <w:rsid w:val="18935DA8"/>
    <w:rsid w:val="1A2F098F"/>
    <w:rsid w:val="1E2E4960"/>
    <w:rsid w:val="1E4A53CF"/>
    <w:rsid w:val="269D44B7"/>
    <w:rsid w:val="27CD2B8E"/>
    <w:rsid w:val="28210647"/>
    <w:rsid w:val="29EF699F"/>
    <w:rsid w:val="2A2E052E"/>
    <w:rsid w:val="2F4A4679"/>
    <w:rsid w:val="304740F8"/>
    <w:rsid w:val="31A1311F"/>
    <w:rsid w:val="32F51F5D"/>
    <w:rsid w:val="36922F7F"/>
    <w:rsid w:val="37B66B3C"/>
    <w:rsid w:val="37B87C34"/>
    <w:rsid w:val="382C5888"/>
    <w:rsid w:val="3AD26324"/>
    <w:rsid w:val="3C171BF8"/>
    <w:rsid w:val="4168665C"/>
    <w:rsid w:val="416B1233"/>
    <w:rsid w:val="43E63753"/>
    <w:rsid w:val="488B50C0"/>
    <w:rsid w:val="4ACB0C22"/>
    <w:rsid w:val="4FE253C9"/>
    <w:rsid w:val="4FF676A7"/>
    <w:rsid w:val="5157209F"/>
    <w:rsid w:val="52F96AC4"/>
    <w:rsid w:val="5C7C5C16"/>
    <w:rsid w:val="62506597"/>
    <w:rsid w:val="65541D81"/>
    <w:rsid w:val="688724E7"/>
    <w:rsid w:val="68941197"/>
    <w:rsid w:val="69FF7C0B"/>
    <w:rsid w:val="6D10545B"/>
    <w:rsid w:val="75963A94"/>
    <w:rsid w:val="7DC844B0"/>
    <w:rsid w:val="7F176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10"/>
    <w:next w:val="a"/>
    <w:qFormat/>
    <w:pPr>
      <w:outlineLvl w:val="0"/>
    </w:pPr>
    <w:rPr>
      <w:sz w:val="24"/>
    </w:rPr>
  </w:style>
  <w:style w:type="paragraph" w:styleId="2">
    <w:name w:val="heading 2"/>
    <w:basedOn w:val="a"/>
    <w:next w:val="a"/>
    <w:semiHidden/>
    <w:unhideWhenUsed/>
    <w:qFormat/>
    <w:pPr>
      <w:widowControl/>
      <w:numPr>
        <w:ilvl w:val="1"/>
        <w:numId w:val="1"/>
      </w:numPr>
      <w:spacing w:before="200" w:after="80" w:line="300" w:lineRule="auto"/>
      <w:jc w:val="left"/>
      <w:outlineLvl w:val="1"/>
    </w:pPr>
    <w:rPr>
      <w:rFonts w:ascii="Times New Roman" w:hAnsi="Times New Roman"/>
      <w:b/>
      <w:color w:val="000000"/>
      <w:kern w:val="0"/>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uiPriority w:val="39"/>
    <w:qFormat/>
    <w:pPr>
      <w:adjustRightInd w:val="0"/>
      <w:snapToGrid w:val="0"/>
      <w:spacing w:line="460" w:lineRule="exact"/>
    </w:pPr>
    <w:rPr>
      <w:rFonts w:eastAsia="华文中宋"/>
      <w:b/>
      <w:sz w:val="28"/>
      <w:szCs w:val="22"/>
    </w:rPr>
  </w:style>
  <w:style w:type="paragraph" w:styleId="5">
    <w:name w:val="toc 5"/>
    <w:basedOn w:val="a"/>
    <w:next w:val="a"/>
    <w:qFormat/>
    <w:pPr>
      <w:ind w:leftChars="800" w:left="1680"/>
    </w:pPr>
    <w:rPr>
      <w:rFonts w:ascii="Times New Roman" w:eastAsia="宋体" w:hAnsi="Times New Roman" w:cs="Times New Roman"/>
      <w:sz w:val="24"/>
    </w:rPr>
  </w:style>
  <w:style w:type="paragraph" w:styleId="3">
    <w:name w:val="toc 3"/>
    <w:basedOn w:val="a"/>
    <w:next w:val="a"/>
    <w:uiPriority w:val="39"/>
    <w:qFormat/>
    <w:pPr>
      <w:adjustRightInd w:val="0"/>
      <w:snapToGrid w:val="0"/>
      <w:spacing w:line="460" w:lineRule="exact"/>
      <w:ind w:leftChars="400" w:left="840"/>
    </w:pPr>
    <w:rPr>
      <w:rFonts w:ascii="Calibri" w:eastAsia="宋体" w:hAnsi="Calibri"/>
      <w:sz w:val="28"/>
      <w:szCs w:val="22"/>
    </w:rPr>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4">
    <w:name w:val="toc 4"/>
    <w:basedOn w:val="a"/>
    <w:next w:val="a"/>
    <w:qFormat/>
    <w:pPr>
      <w:adjustRightInd w:val="0"/>
      <w:snapToGrid w:val="0"/>
      <w:spacing w:line="380" w:lineRule="exact"/>
      <w:ind w:leftChars="600" w:left="1260"/>
    </w:pPr>
    <w:rPr>
      <w:rFonts w:ascii="Times New Roman" w:eastAsia="宋体" w:hAnsi="Times New Roman" w:cs="Times New Roman"/>
      <w:szCs w:val="22"/>
    </w:rPr>
  </w:style>
  <w:style w:type="paragraph" w:styleId="20">
    <w:name w:val="toc 2"/>
    <w:basedOn w:val="a"/>
    <w:next w:val="a"/>
    <w:uiPriority w:val="39"/>
    <w:qFormat/>
    <w:pPr>
      <w:adjustRightInd w:val="0"/>
      <w:snapToGrid w:val="0"/>
      <w:spacing w:line="460" w:lineRule="exact"/>
      <w:ind w:leftChars="200" w:left="420"/>
    </w:pPr>
    <w:rPr>
      <w:rFonts w:ascii="Calibri" w:eastAsia="宋体" w:hAnsi="Calibri"/>
      <w:sz w:val="28"/>
      <w:szCs w:val="22"/>
    </w:rPr>
  </w:style>
  <w:style w:type="character" w:styleId="a6">
    <w:name w:val="Strong"/>
    <w:uiPriority w:val="22"/>
    <w:qFormat/>
    <w:rPr>
      <w:b/>
      <w:bCs/>
    </w:rPr>
  </w:style>
  <w:style w:type="character" w:styleId="a7">
    <w:name w:val="Hyperlink"/>
    <w:basedOn w:val="a0"/>
    <w:uiPriority w:val="99"/>
    <w:unhideWhenUsed/>
    <w:rPr>
      <w:color w:val="0563C1" w:themeColor="hyperlink"/>
      <w:u w:val="single"/>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34"/>
    <w:qFormat/>
    <w:pPr>
      <w:ind w:firstLineChars="200" w:firstLine="420"/>
    </w:pPr>
    <w:rPr>
      <w:rFonts w:ascii="Calibri" w:eastAsia="宋体" w:hAnsi="Calibri" w:cs="Times New Roman"/>
      <w:szCs w:val="22"/>
    </w:rPr>
  </w:style>
  <w:style w:type="paragraph" w:customStyle="1" w:styleId="Style2">
    <w:name w:val="_Style 2"/>
    <w:basedOn w:val="a"/>
    <w:next w:val="a"/>
    <w:qFormat/>
    <w:pPr>
      <w:widowControl/>
      <w:pBdr>
        <w:top w:val="single" w:sz="6" w:space="1" w:color="auto"/>
      </w:pBdr>
      <w:jc w:val="center"/>
    </w:pPr>
    <w:rPr>
      <w:rFonts w:ascii="Arial" w:hAnsi="Arial" w:cs="Arial"/>
      <w:vanish/>
      <w:kern w:val="0"/>
      <w:sz w:val="16"/>
      <w:szCs w:val="16"/>
      <w:lang w:val="en-GB" w:eastAsia="en-GB"/>
    </w:rPr>
  </w:style>
  <w:style w:type="paragraph" w:customStyle="1" w:styleId="Rubriktabell">
    <w:name w:val="Rubrik_tabell"/>
    <w:basedOn w:val="a"/>
    <w:qFormat/>
    <w:pPr>
      <w:widowControl/>
      <w:jc w:val="left"/>
    </w:pPr>
    <w:rPr>
      <w:rFonts w:ascii="Arial" w:hAnsi="Arial" w:cs="Arial"/>
      <w:b/>
      <w:bCs/>
      <w:kern w:val="0"/>
      <w:sz w:val="18"/>
      <w:szCs w:val="22"/>
      <w:lang w:val="sv-SE" w:eastAsia="sv-SE"/>
    </w:rPr>
  </w:style>
  <w:style w:type="paragraph" w:customStyle="1" w:styleId="svar">
    <w:name w:val="svar"/>
    <w:qFormat/>
    <w:rPr>
      <w:rFonts w:asciiTheme="minorHAnsi" w:eastAsiaTheme="minorEastAsia" w:hAnsiTheme="minorHAnsi" w:cstheme="minorBidi"/>
      <w:sz w:val="22"/>
      <w:szCs w:val="22"/>
      <w:lang w:val="en-GB" w:eastAsia="de-DE"/>
    </w:rPr>
  </w:style>
  <w:style w:type="paragraph" w:customStyle="1" w:styleId="Haupttext">
    <w:name w:val="Haupttext"/>
    <w:qFormat/>
    <w:pPr>
      <w:widowControl w:val="0"/>
      <w:spacing w:before="40" w:after="40"/>
    </w:pPr>
    <w:rPr>
      <w:rFonts w:ascii="Arial" w:eastAsiaTheme="minorEastAsia" w:hAnsi="Arial" w:cstheme="minorBidi"/>
      <w:sz w:val="18"/>
      <w:szCs w:val="22"/>
      <w:lang w:val="de-DE" w:eastAsia="de-DE"/>
    </w:rPr>
  </w:style>
  <w:style w:type="paragraph" w:customStyle="1" w:styleId="Eintrag">
    <w:name w:val="Eintrag"/>
    <w:qFormat/>
    <w:pPr>
      <w:widowControl w:val="0"/>
      <w:spacing w:before="40" w:after="40"/>
    </w:pPr>
    <w:rPr>
      <w:rFonts w:ascii="Courier" w:eastAsiaTheme="minorEastAsia" w:hAnsi="Courier" w:cstheme="minorBidi"/>
      <w:i/>
      <w:sz w:val="21"/>
      <w:szCs w:val="22"/>
      <w:lang w:val="de-DE" w:eastAsia="de-DE"/>
    </w:rPr>
  </w:style>
  <w:style w:type="character" w:customStyle="1" w:styleId="Char1">
    <w:name w:val="页眉 Char"/>
    <w:basedOn w:val="a0"/>
    <w:link w:val="a5"/>
    <w:qFormat/>
    <w:rPr>
      <w:kern w:val="2"/>
      <w:sz w:val="18"/>
      <w:szCs w:val="18"/>
    </w:rPr>
  </w:style>
  <w:style w:type="character" w:customStyle="1" w:styleId="Char0">
    <w:name w:val="页脚 Char"/>
    <w:basedOn w:val="a0"/>
    <w:link w:val="a4"/>
    <w:rPr>
      <w:kern w:val="2"/>
      <w:sz w:val="18"/>
      <w:szCs w:val="18"/>
    </w:rPr>
  </w:style>
  <w:style w:type="paragraph" w:styleId="a9">
    <w:name w:val="List Paragraph"/>
    <w:basedOn w:val="a"/>
    <w:uiPriority w:val="99"/>
    <w:unhideWhenUsed/>
    <w:qFormat/>
    <w:pPr>
      <w:ind w:firstLineChars="200" w:firstLine="420"/>
    </w:pPr>
  </w:style>
  <w:style w:type="character" w:customStyle="1" w:styleId="font71">
    <w:name w:val="font71"/>
    <w:basedOn w:val="a0"/>
    <w:qFormat/>
    <w:rPr>
      <w:rFonts w:ascii="宋体" w:eastAsia="宋体" w:hAnsi="宋体" w:cs="宋体" w:hint="eastAsia"/>
      <w:b/>
      <w:color w:val="000000"/>
      <w:sz w:val="20"/>
      <w:szCs w:val="20"/>
      <w:u w:val="none"/>
    </w:rPr>
  </w:style>
  <w:style w:type="character" w:customStyle="1" w:styleId="font91">
    <w:name w:val="font91"/>
    <w:basedOn w:val="a0"/>
    <w:qFormat/>
    <w:rPr>
      <w:rFonts w:ascii="宋体" w:eastAsia="宋体" w:hAnsi="宋体" w:cs="宋体" w:hint="eastAsia"/>
      <w:color w:val="000000"/>
      <w:sz w:val="18"/>
      <w:szCs w:val="18"/>
      <w:u w:val="none"/>
    </w:rPr>
  </w:style>
  <w:style w:type="character" w:customStyle="1" w:styleId="font81">
    <w:name w:val="font81"/>
    <w:basedOn w:val="a0"/>
    <w:qFormat/>
    <w:rPr>
      <w:rFonts w:ascii="Arial" w:hAnsi="Arial" w:cs="Arial" w:hint="default"/>
      <w:color w:val="000000"/>
      <w:sz w:val="18"/>
      <w:szCs w:val="18"/>
      <w:u w:val="none"/>
    </w:rPr>
  </w:style>
  <w:style w:type="character" w:customStyle="1" w:styleId="font51">
    <w:name w:val="font51"/>
    <w:basedOn w:val="a0"/>
    <w:qFormat/>
    <w:rPr>
      <w:rFonts w:ascii="Calibri" w:hAnsi="Calibri" w:cs="Calibri"/>
      <w:color w:val="000000"/>
      <w:sz w:val="22"/>
      <w:szCs w:val="22"/>
      <w:u w:val="none"/>
    </w:rPr>
  </w:style>
  <w:style w:type="character" w:customStyle="1" w:styleId="font21">
    <w:name w:val="font21"/>
    <w:basedOn w:val="a0"/>
    <w:qFormat/>
    <w:rPr>
      <w:rFonts w:ascii="Arial" w:hAnsi="Arial" w:cs="Arial" w:hint="default"/>
      <w:b/>
      <w:color w:val="000000"/>
      <w:sz w:val="20"/>
      <w:szCs w:val="20"/>
      <w:u w:val="none"/>
    </w:rPr>
  </w:style>
  <w:style w:type="character" w:customStyle="1" w:styleId="font11">
    <w:name w:val="font11"/>
    <w:basedOn w:val="a0"/>
    <w:qFormat/>
    <w:rPr>
      <w:rFonts w:ascii="宋体" w:eastAsia="宋体" w:hAnsi="宋体" w:cs="宋体" w:hint="eastAsia"/>
      <w:i/>
      <w:color w:val="000000"/>
      <w:sz w:val="18"/>
      <w:szCs w:val="18"/>
      <w:u w:val="none"/>
    </w:rPr>
  </w:style>
  <w:style w:type="character" w:customStyle="1" w:styleId="font41">
    <w:name w:val="font41"/>
    <w:basedOn w:val="a0"/>
    <w:qFormat/>
    <w:rPr>
      <w:rFonts w:ascii="Wingdings 2" w:eastAsia="Wingdings 2" w:hAnsi="Wingdings 2" w:cs="Wingdings 2"/>
      <w:color w:val="000000"/>
      <w:sz w:val="18"/>
      <w:szCs w:val="18"/>
      <w:u w:val="none"/>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paragraph" w:customStyle="1" w:styleId="z-1">
    <w:name w:val="z-窗体底端1"/>
    <w:basedOn w:val="a"/>
    <w:next w:val="a"/>
    <w:qFormat/>
    <w:pPr>
      <w:widowControl/>
      <w:pBdr>
        <w:top w:val="single" w:sz="6" w:space="1" w:color="auto"/>
      </w:pBdr>
      <w:jc w:val="center"/>
    </w:pPr>
    <w:rPr>
      <w:rFonts w:ascii="Arial" w:eastAsia="宋体" w:hAnsi="Arial" w:cs="Arial"/>
      <w:vanish/>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10"/>
    <w:next w:val="a"/>
    <w:qFormat/>
    <w:pPr>
      <w:outlineLvl w:val="0"/>
    </w:pPr>
    <w:rPr>
      <w:sz w:val="24"/>
    </w:rPr>
  </w:style>
  <w:style w:type="paragraph" w:styleId="2">
    <w:name w:val="heading 2"/>
    <w:basedOn w:val="a"/>
    <w:next w:val="a"/>
    <w:semiHidden/>
    <w:unhideWhenUsed/>
    <w:qFormat/>
    <w:pPr>
      <w:widowControl/>
      <w:numPr>
        <w:ilvl w:val="1"/>
        <w:numId w:val="1"/>
      </w:numPr>
      <w:spacing w:before="200" w:after="80" w:line="300" w:lineRule="auto"/>
      <w:jc w:val="left"/>
      <w:outlineLvl w:val="1"/>
    </w:pPr>
    <w:rPr>
      <w:rFonts w:ascii="Times New Roman" w:hAnsi="Times New Roman"/>
      <w:b/>
      <w:color w:val="000000"/>
      <w:kern w:val="0"/>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uiPriority w:val="39"/>
    <w:qFormat/>
    <w:pPr>
      <w:adjustRightInd w:val="0"/>
      <w:snapToGrid w:val="0"/>
      <w:spacing w:line="460" w:lineRule="exact"/>
    </w:pPr>
    <w:rPr>
      <w:rFonts w:eastAsia="华文中宋"/>
      <w:b/>
      <w:sz w:val="28"/>
      <w:szCs w:val="22"/>
    </w:rPr>
  </w:style>
  <w:style w:type="paragraph" w:styleId="5">
    <w:name w:val="toc 5"/>
    <w:basedOn w:val="a"/>
    <w:next w:val="a"/>
    <w:qFormat/>
    <w:pPr>
      <w:ind w:leftChars="800" w:left="1680"/>
    </w:pPr>
    <w:rPr>
      <w:rFonts w:ascii="Times New Roman" w:eastAsia="宋体" w:hAnsi="Times New Roman" w:cs="Times New Roman"/>
      <w:sz w:val="24"/>
    </w:rPr>
  </w:style>
  <w:style w:type="paragraph" w:styleId="3">
    <w:name w:val="toc 3"/>
    <w:basedOn w:val="a"/>
    <w:next w:val="a"/>
    <w:uiPriority w:val="39"/>
    <w:qFormat/>
    <w:pPr>
      <w:adjustRightInd w:val="0"/>
      <w:snapToGrid w:val="0"/>
      <w:spacing w:line="460" w:lineRule="exact"/>
      <w:ind w:leftChars="400" w:left="840"/>
    </w:pPr>
    <w:rPr>
      <w:rFonts w:ascii="Calibri" w:eastAsia="宋体" w:hAnsi="Calibri"/>
      <w:sz w:val="28"/>
      <w:szCs w:val="22"/>
    </w:rPr>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4">
    <w:name w:val="toc 4"/>
    <w:basedOn w:val="a"/>
    <w:next w:val="a"/>
    <w:qFormat/>
    <w:pPr>
      <w:adjustRightInd w:val="0"/>
      <w:snapToGrid w:val="0"/>
      <w:spacing w:line="380" w:lineRule="exact"/>
      <w:ind w:leftChars="600" w:left="1260"/>
    </w:pPr>
    <w:rPr>
      <w:rFonts w:ascii="Times New Roman" w:eastAsia="宋体" w:hAnsi="Times New Roman" w:cs="Times New Roman"/>
      <w:szCs w:val="22"/>
    </w:rPr>
  </w:style>
  <w:style w:type="paragraph" w:styleId="20">
    <w:name w:val="toc 2"/>
    <w:basedOn w:val="a"/>
    <w:next w:val="a"/>
    <w:uiPriority w:val="39"/>
    <w:qFormat/>
    <w:pPr>
      <w:adjustRightInd w:val="0"/>
      <w:snapToGrid w:val="0"/>
      <w:spacing w:line="460" w:lineRule="exact"/>
      <w:ind w:leftChars="200" w:left="420"/>
    </w:pPr>
    <w:rPr>
      <w:rFonts w:ascii="Calibri" w:eastAsia="宋体" w:hAnsi="Calibri"/>
      <w:sz w:val="28"/>
      <w:szCs w:val="22"/>
    </w:rPr>
  </w:style>
  <w:style w:type="character" w:styleId="a6">
    <w:name w:val="Strong"/>
    <w:uiPriority w:val="22"/>
    <w:qFormat/>
    <w:rPr>
      <w:b/>
      <w:bCs/>
    </w:rPr>
  </w:style>
  <w:style w:type="character" w:styleId="a7">
    <w:name w:val="Hyperlink"/>
    <w:basedOn w:val="a0"/>
    <w:uiPriority w:val="99"/>
    <w:unhideWhenUsed/>
    <w:rPr>
      <w:color w:val="0563C1" w:themeColor="hyperlink"/>
      <w:u w:val="single"/>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34"/>
    <w:qFormat/>
    <w:pPr>
      <w:ind w:firstLineChars="200" w:firstLine="420"/>
    </w:pPr>
    <w:rPr>
      <w:rFonts w:ascii="Calibri" w:eastAsia="宋体" w:hAnsi="Calibri" w:cs="Times New Roman"/>
      <w:szCs w:val="22"/>
    </w:rPr>
  </w:style>
  <w:style w:type="paragraph" w:customStyle="1" w:styleId="Style2">
    <w:name w:val="_Style 2"/>
    <w:basedOn w:val="a"/>
    <w:next w:val="a"/>
    <w:qFormat/>
    <w:pPr>
      <w:widowControl/>
      <w:pBdr>
        <w:top w:val="single" w:sz="6" w:space="1" w:color="auto"/>
      </w:pBdr>
      <w:jc w:val="center"/>
    </w:pPr>
    <w:rPr>
      <w:rFonts w:ascii="Arial" w:hAnsi="Arial" w:cs="Arial"/>
      <w:vanish/>
      <w:kern w:val="0"/>
      <w:sz w:val="16"/>
      <w:szCs w:val="16"/>
      <w:lang w:val="en-GB" w:eastAsia="en-GB"/>
    </w:rPr>
  </w:style>
  <w:style w:type="paragraph" w:customStyle="1" w:styleId="Rubriktabell">
    <w:name w:val="Rubrik_tabell"/>
    <w:basedOn w:val="a"/>
    <w:qFormat/>
    <w:pPr>
      <w:widowControl/>
      <w:jc w:val="left"/>
    </w:pPr>
    <w:rPr>
      <w:rFonts w:ascii="Arial" w:hAnsi="Arial" w:cs="Arial"/>
      <w:b/>
      <w:bCs/>
      <w:kern w:val="0"/>
      <w:sz w:val="18"/>
      <w:szCs w:val="22"/>
      <w:lang w:val="sv-SE" w:eastAsia="sv-SE"/>
    </w:rPr>
  </w:style>
  <w:style w:type="paragraph" w:customStyle="1" w:styleId="svar">
    <w:name w:val="svar"/>
    <w:qFormat/>
    <w:rPr>
      <w:rFonts w:asciiTheme="minorHAnsi" w:eastAsiaTheme="minorEastAsia" w:hAnsiTheme="minorHAnsi" w:cstheme="minorBidi"/>
      <w:sz w:val="22"/>
      <w:szCs w:val="22"/>
      <w:lang w:val="en-GB" w:eastAsia="de-DE"/>
    </w:rPr>
  </w:style>
  <w:style w:type="paragraph" w:customStyle="1" w:styleId="Haupttext">
    <w:name w:val="Haupttext"/>
    <w:qFormat/>
    <w:pPr>
      <w:widowControl w:val="0"/>
      <w:spacing w:before="40" w:after="40"/>
    </w:pPr>
    <w:rPr>
      <w:rFonts w:ascii="Arial" w:eastAsiaTheme="minorEastAsia" w:hAnsi="Arial" w:cstheme="minorBidi"/>
      <w:sz w:val="18"/>
      <w:szCs w:val="22"/>
      <w:lang w:val="de-DE" w:eastAsia="de-DE"/>
    </w:rPr>
  </w:style>
  <w:style w:type="paragraph" w:customStyle="1" w:styleId="Eintrag">
    <w:name w:val="Eintrag"/>
    <w:qFormat/>
    <w:pPr>
      <w:widowControl w:val="0"/>
      <w:spacing w:before="40" w:after="40"/>
    </w:pPr>
    <w:rPr>
      <w:rFonts w:ascii="Courier" w:eastAsiaTheme="minorEastAsia" w:hAnsi="Courier" w:cstheme="minorBidi"/>
      <w:i/>
      <w:sz w:val="21"/>
      <w:szCs w:val="22"/>
      <w:lang w:val="de-DE" w:eastAsia="de-DE"/>
    </w:rPr>
  </w:style>
  <w:style w:type="character" w:customStyle="1" w:styleId="Char1">
    <w:name w:val="页眉 Char"/>
    <w:basedOn w:val="a0"/>
    <w:link w:val="a5"/>
    <w:qFormat/>
    <w:rPr>
      <w:kern w:val="2"/>
      <w:sz w:val="18"/>
      <w:szCs w:val="18"/>
    </w:rPr>
  </w:style>
  <w:style w:type="character" w:customStyle="1" w:styleId="Char0">
    <w:name w:val="页脚 Char"/>
    <w:basedOn w:val="a0"/>
    <w:link w:val="a4"/>
    <w:rPr>
      <w:kern w:val="2"/>
      <w:sz w:val="18"/>
      <w:szCs w:val="18"/>
    </w:rPr>
  </w:style>
  <w:style w:type="paragraph" w:styleId="a9">
    <w:name w:val="List Paragraph"/>
    <w:basedOn w:val="a"/>
    <w:uiPriority w:val="99"/>
    <w:unhideWhenUsed/>
    <w:qFormat/>
    <w:pPr>
      <w:ind w:firstLineChars="200" w:firstLine="420"/>
    </w:pPr>
  </w:style>
  <w:style w:type="character" w:customStyle="1" w:styleId="font71">
    <w:name w:val="font71"/>
    <w:basedOn w:val="a0"/>
    <w:qFormat/>
    <w:rPr>
      <w:rFonts w:ascii="宋体" w:eastAsia="宋体" w:hAnsi="宋体" w:cs="宋体" w:hint="eastAsia"/>
      <w:b/>
      <w:color w:val="000000"/>
      <w:sz w:val="20"/>
      <w:szCs w:val="20"/>
      <w:u w:val="none"/>
    </w:rPr>
  </w:style>
  <w:style w:type="character" w:customStyle="1" w:styleId="font91">
    <w:name w:val="font91"/>
    <w:basedOn w:val="a0"/>
    <w:qFormat/>
    <w:rPr>
      <w:rFonts w:ascii="宋体" w:eastAsia="宋体" w:hAnsi="宋体" w:cs="宋体" w:hint="eastAsia"/>
      <w:color w:val="000000"/>
      <w:sz w:val="18"/>
      <w:szCs w:val="18"/>
      <w:u w:val="none"/>
    </w:rPr>
  </w:style>
  <w:style w:type="character" w:customStyle="1" w:styleId="font81">
    <w:name w:val="font81"/>
    <w:basedOn w:val="a0"/>
    <w:qFormat/>
    <w:rPr>
      <w:rFonts w:ascii="Arial" w:hAnsi="Arial" w:cs="Arial" w:hint="default"/>
      <w:color w:val="000000"/>
      <w:sz w:val="18"/>
      <w:szCs w:val="18"/>
      <w:u w:val="none"/>
    </w:rPr>
  </w:style>
  <w:style w:type="character" w:customStyle="1" w:styleId="font51">
    <w:name w:val="font51"/>
    <w:basedOn w:val="a0"/>
    <w:qFormat/>
    <w:rPr>
      <w:rFonts w:ascii="Calibri" w:hAnsi="Calibri" w:cs="Calibri"/>
      <w:color w:val="000000"/>
      <w:sz w:val="22"/>
      <w:szCs w:val="22"/>
      <w:u w:val="none"/>
    </w:rPr>
  </w:style>
  <w:style w:type="character" w:customStyle="1" w:styleId="font21">
    <w:name w:val="font21"/>
    <w:basedOn w:val="a0"/>
    <w:qFormat/>
    <w:rPr>
      <w:rFonts w:ascii="Arial" w:hAnsi="Arial" w:cs="Arial" w:hint="default"/>
      <w:b/>
      <w:color w:val="000000"/>
      <w:sz w:val="20"/>
      <w:szCs w:val="20"/>
      <w:u w:val="none"/>
    </w:rPr>
  </w:style>
  <w:style w:type="character" w:customStyle="1" w:styleId="font11">
    <w:name w:val="font11"/>
    <w:basedOn w:val="a0"/>
    <w:qFormat/>
    <w:rPr>
      <w:rFonts w:ascii="宋体" w:eastAsia="宋体" w:hAnsi="宋体" w:cs="宋体" w:hint="eastAsia"/>
      <w:i/>
      <w:color w:val="000000"/>
      <w:sz w:val="18"/>
      <w:szCs w:val="18"/>
      <w:u w:val="none"/>
    </w:rPr>
  </w:style>
  <w:style w:type="character" w:customStyle="1" w:styleId="font41">
    <w:name w:val="font41"/>
    <w:basedOn w:val="a0"/>
    <w:qFormat/>
    <w:rPr>
      <w:rFonts w:ascii="Wingdings 2" w:eastAsia="Wingdings 2" w:hAnsi="Wingdings 2" w:cs="Wingdings 2"/>
      <w:color w:val="000000"/>
      <w:sz w:val="18"/>
      <w:szCs w:val="18"/>
      <w:u w:val="none"/>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paragraph" w:customStyle="1" w:styleId="z-1">
    <w:name w:val="z-窗体底端1"/>
    <w:basedOn w:val="a"/>
    <w:next w:val="a"/>
    <w:qFormat/>
    <w:pPr>
      <w:widowControl/>
      <w:pBdr>
        <w:top w:val="single" w:sz="6" w:space="1" w:color="auto"/>
      </w:pBdr>
      <w:jc w:val="center"/>
    </w:pPr>
    <w:rPr>
      <w:rFonts w:ascii="Arial" w:eastAsia="宋体" w:hAnsi="Arial" w:cs="Arial"/>
      <w:vanish/>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1000</Words>
  <Characters>5706</Characters>
  <Application>Microsoft Office Word</Application>
  <DocSecurity>0</DocSecurity>
  <Lines>47</Lines>
  <Paragraphs>13</Paragraphs>
  <ScaleCrop>false</ScaleCrop>
  <Company/>
  <LinksUpToDate>false</LinksUpToDate>
  <CharactersWithSpaces>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V的工作Q</dc:creator>
  <cp:lastModifiedBy>于一</cp:lastModifiedBy>
  <cp:revision>5</cp:revision>
  <cp:lastPrinted>2018-09-03T02:29:00Z</cp:lastPrinted>
  <dcterms:created xsi:type="dcterms:W3CDTF">2018-09-18T07:45:00Z</dcterms:created>
  <dcterms:modified xsi:type="dcterms:W3CDTF">2018-09-18T07:48:00Z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