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04" w:rsidRDefault="003C4F04" w:rsidP="003C4F04">
      <w:pPr>
        <w:spacing w:line="360" w:lineRule="auto"/>
        <w:rPr>
          <w:rFonts w:ascii="黑体" w:eastAsia="黑体" w:hAnsi="黑体"/>
          <w:sz w:val="32"/>
          <w:szCs w:val="32"/>
        </w:rPr>
      </w:pPr>
      <w:r>
        <w:rPr>
          <w:rFonts w:ascii="黑体" w:eastAsia="黑体" w:hAnsi="黑体" w:hint="eastAsia"/>
          <w:sz w:val="32"/>
          <w:szCs w:val="32"/>
        </w:rPr>
        <w:t>附件</w:t>
      </w:r>
      <w:r w:rsidR="00283F7B">
        <w:rPr>
          <w:rFonts w:ascii="黑体" w:eastAsia="黑体" w:hAnsi="黑体" w:hint="eastAsia"/>
          <w:sz w:val="32"/>
          <w:szCs w:val="32"/>
        </w:rPr>
        <w:t>3</w:t>
      </w:r>
      <w:r>
        <w:rPr>
          <w:rFonts w:ascii="黑体" w:eastAsia="黑体" w:hAnsi="黑体" w:hint="eastAsia"/>
          <w:sz w:val="32"/>
          <w:szCs w:val="32"/>
        </w:rPr>
        <w:t>：</w:t>
      </w:r>
    </w:p>
    <w:p w:rsidR="006466CD" w:rsidRPr="003C4F04" w:rsidRDefault="0024102C">
      <w:pPr>
        <w:adjustRightInd w:val="0"/>
        <w:snapToGrid w:val="0"/>
        <w:spacing w:line="540" w:lineRule="exact"/>
        <w:jc w:val="center"/>
        <w:outlineLvl w:val="1"/>
        <w:rPr>
          <w:rFonts w:ascii="黑体" w:eastAsia="黑体" w:hAnsi="黑体"/>
          <w:b/>
          <w:bCs/>
          <w:sz w:val="32"/>
          <w:szCs w:val="32"/>
        </w:rPr>
      </w:pPr>
      <w:r w:rsidRPr="003C4F04">
        <w:rPr>
          <w:rFonts w:ascii="黑体" w:eastAsia="黑体" w:hAnsi="黑体" w:hint="eastAsia"/>
          <w:b/>
          <w:bCs/>
          <w:sz w:val="32"/>
          <w:szCs w:val="32"/>
        </w:rPr>
        <w:t>医疗器械不良事件报告范围指导原则</w:t>
      </w:r>
      <w:bookmarkStart w:id="0" w:name="_Toc514769080"/>
    </w:p>
    <w:p w:rsidR="006466CD" w:rsidRPr="003C4F04" w:rsidRDefault="0024102C">
      <w:pPr>
        <w:adjustRightInd w:val="0"/>
        <w:snapToGrid w:val="0"/>
        <w:spacing w:line="540" w:lineRule="exact"/>
        <w:jc w:val="center"/>
        <w:outlineLvl w:val="1"/>
        <w:rPr>
          <w:rFonts w:ascii="黑体" w:eastAsia="黑体" w:hAnsi="黑体"/>
          <w:b/>
          <w:bCs/>
          <w:sz w:val="32"/>
          <w:szCs w:val="32"/>
        </w:rPr>
      </w:pPr>
      <w:r w:rsidRPr="003C4F04">
        <w:rPr>
          <w:rFonts w:ascii="黑体" w:eastAsia="黑体" w:hAnsi="黑体" w:hint="eastAsia"/>
          <w:b/>
          <w:bCs/>
          <w:sz w:val="32"/>
          <w:szCs w:val="32"/>
        </w:rPr>
        <w:t>（征求意见稿）</w:t>
      </w:r>
    </w:p>
    <w:p w:rsidR="006466CD" w:rsidRDefault="006466CD">
      <w:pPr>
        <w:adjustRightInd w:val="0"/>
        <w:snapToGrid w:val="0"/>
        <w:spacing w:line="540" w:lineRule="exact"/>
        <w:outlineLvl w:val="1"/>
        <w:rPr>
          <w:rFonts w:ascii="仿宋_GB2312" w:eastAsia="仿宋_GB2312" w:hAnsi="仿宋_GB2312" w:cs="仿宋_GB2312"/>
          <w:b/>
          <w:bCs/>
          <w:sz w:val="36"/>
          <w:szCs w:val="36"/>
        </w:rPr>
      </w:pPr>
    </w:p>
    <w:p w:rsidR="006466CD" w:rsidRDefault="0024102C">
      <w:pPr>
        <w:adjustRightInd w:val="0"/>
        <w:snapToGrid w:val="0"/>
        <w:spacing w:line="540" w:lineRule="exact"/>
        <w:ind w:firstLineChars="200" w:firstLine="640"/>
        <w:outlineLvl w:val="1"/>
        <w:rPr>
          <w:rFonts w:ascii="仿宋_GB2312" w:eastAsia="仿宋_GB2312" w:hAnsi="仿宋_GB2312" w:cs="仿宋_GB2312"/>
          <w:b/>
          <w:bCs/>
          <w:sz w:val="36"/>
          <w:szCs w:val="36"/>
        </w:rPr>
      </w:pPr>
      <w:r>
        <w:rPr>
          <w:rFonts w:ascii="黑体" w:eastAsia="黑体" w:hAnsi="黑体" w:cs="仿宋_GB2312" w:hint="eastAsia"/>
          <w:sz w:val="32"/>
          <w:szCs w:val="32"/>
        </w:rPr>
        <w:t>一、</w:t>
      </w:r>
      <w:bookmarkEnd w:id="0"/>
      <w:r>
        <w:rPr>
          <w:rFonts w:ascii="黑体" w:eastAsia="黑体" w:hAnsi="黑体" w:cs="仿宋_GB2312" w:hint="eastAsia"/>
          <w:sz w:val="32"/>
          <w:szCs w:val="32"/>
        </w:rPr>
        <w:t>目的</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为规范医疗器械不良事件报告范围，</w:t>
      </w:r>
      <w:r w:rsidR="006B2827">
        <w:rPr>
          <w:rFonts w:ascii="仿宋" w:eastAsia="仿宋" w:hAnsi="仿宋" w:cs="仿宋_GB2312" w:hint="eastAsia"/>
          <w:sz w:val="30"/>
          <w:szCs w:val="30"/>
        </w:rPr>
        <w:t>提高报告质量，</w:t>
      </w:r>
      <w:r>
        <w:rPr>
          <w:rFonts w:ascii="仿宋" w:eastAsia="仿宋" w:hAnsi="仿宋" w:cs="仿宋_GB2312" w:hint="eastAsia"/>
          <w:sz w:val="30"/>
          <w:szCs w:val="30"/>
        </w:rPr>
        <w:t>依据《医疗器械不良事件监测和再评价管理办法》（国家市场监督管理总局令第1号），制定本指导原则。</w:t>
      </w:r>
      <w:bookmarkStart w:id="1" w:name="_Toc514769082"/>
    </w:p>
    <w:p w:rsidR="006466CD" w:rsidRDefault="0024102C">
      <w:pPr>
        <w:numPr>
          <w:ilvl w:val="0"/>
          <w:numId w:val="1"/>
        </w:numPr>
        <w:adjustRightInd w:val="0"/>
        <w:snapToGrid w:val="0"/>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报告</w:t>
      </w:r>
      <w:bookmarkEnd w:id="1"/>
      <w:r>
        <w:rPr>
          <w:rFonts w:ascii="黑体" w:eastAsia="黑体" w:hAnsi="黑体" w:cs="仿宋_GB2312" w:hint="eastAsia"/>
          <w:sz w:val="32"/>
          <w:szCs w:val="32"/>
        </w:rPr>
        <w:t>范围</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医疗器械不良事件，是指已上市的医疗器械，在正常使用情况下发生的，导致</w:t>
      </w:r>
      <w:r w:rsidR="006B2827">
        <w:rPr>
          <w:rFonts w:ascii="仿宋" w:eastAsia="仿宋" w:hAnsi="仿宋" w:cs="仿宋_GB2312"/>
          <w:sz w:val="30"/>
          <w:szCs w:val="30"/>
        </w:rPr>
        <w:t>或者可能导致人体伤害的各种有害事件。</w:t>
      </w:r>
      <w:r w:rsidR="00DD60AB">
        <w:rPr>
          <w:rFonts w:ascii="仿宋" w:eastAsia="仿宋" w:hAnsi="仿宋" w:cs="仿宋_GB2312" w:hint="eastAsia"/>
          <w:sz w:val="30"/>
          <w:szCs w:val="30"/>
        </w:rPr>
        <w:t>报告</w:t>
      </w:r>
      <w:r w:rsidR="000F0C81">
        <w:rPr>
          <w:rFonts w:ascii="仿宋" w:eastAsia="仿宋" w:hAnsi="仿宋" w:cs="仿宋_GB2312" w:hint="eastAsia"/>
          <w:sz w:val="30"/>
          <w:szCs w:val="30"/>
        </w:rPr>
        <w:t>医疗器械不良事件</w:t>
      </w:r>
      <w:r w:rsidR="00DD60AB">
        <w:rPr>
          <w:rFonts w:ascii="仿宋" w:eastAsia="仿宋" w:hAnsi="仿宋" w:cs="仿宋_GB2312" w:hint="eastAsia"/>
          <w:sz w:val="30"/>
          <w:szCs w:val="30"/>
        </w:rPr>
        <w:t>应当遵循“可疑即报”的原则。</w:t>
      </w:r>
      <w:r w:rsidR="006B2827">
        <w:rPr>
          <w:rFonts w:ascii="仿宋" w:eastAsia="仿宋" w:hAnsi="仿宋" w:cs="仿宋_GB2312"/>
          <w:sz w:val="30"/>
          <w:szCs w:val="30"/>
        </w:rPr>
        <w:t>导致或者可能导致严重伤害</w:t>
      </w:r>
      <w:r w:rsidR="00E12478">
        <w:rPr>
          <w:rFonts w:ascii="仿宋" w:eastAsia="仿宋" w:hAnsi="仿宋" w:cs="仿宋_GB2312" w:hint="eastAsia"/>
          <w:sz w:val="30"/>
          <w:szCs w:val="30"/>
        </w:rPr>
        <w:t>或者</w:t>
      </w:r>
      <w:r w:rsidR="002548C1">
        <w:rPr>
          <w:rFonts w:ascii="仿宋" w:eastAsia="仿宋" w:hAnsi="仿宋" w:cs="仿宋_GB2312"/>
          <w:sz w:val="30"/>
          <w:szCs w:val="30"/>
        </w:rPr>
        <w:t>死亡的</w:t>
      </w:r>
      <w:r>
        <w:rPr>
          <w:rFonts w:ascii="仿宋" w:eastAsia="仿宋" w:hAnsi="仿宋" w:cs="仿宋_GB2312"/>
          <w:sz w:val="30"/>
          <w:szCs w:val="30"/>
        </w:rPr>
        <w:t>医疗器械不良事件应当报告；创新医疗器械在首个注册周期内，应当报告该产品的所有医疗器械不良事件。</w:t>
      </w:r>
      <w:r w:rsidR="000F0C81">
        <w:rPr>
          <w:rFonts w:ascii="仿宋" w:eastAsia="仿宋" w:hAnsi="仿宋" w:cs="仿宋_GB2312" w:hint="eastAsia"/>
          <w:sz w:val="30"/>
          <w:szCs w:val="30"/>
        </w:rPr>
        <w:t>应</w:t>
      </w:r>
      <w:r w:rsidR="009500AD">
        <w:rPr>
          <w:rFonts w:ascii="仿宋" w:eastAsia="仿宋" w:hAnsi="仿宋" w:cs="仿宋_GB2312" w:hint="eastAsia"/>
          <w:sz w:val="30"/>
          <w:szCs w:val="30"/>
        </w:rPr>
        <w:t>报告</w:t>
      </w:r>
      <w:r w:rsidR="000F0C81">
        <w:rPr>
          <w:rFonts w:ascii="仿宋" w:eastAsia="仿宋" w:hAnsi="仿宋" w:cs="仿宋_GB2312" w:hint="eastAsia"/>
          <w:sz w:val="30"/>
          <w:szCs w:val="30"/>
        </w:rPr>
        <w:t>的不良事件</w:t>
      </w:r>
      <w:r w:rsidR="00F04F4A">
        <w:rPr>
          <w:rFonts w:ascii="仿宋" w:eastAsia="仿宋" w:hAnsi="仿宋" w:cs="仿宋_GB2312" w:hint="eastAsia"/>
          <w:sz w:val="30"/>
          <w:szCs w:val="30"/>
        </w:rPr>
        <w:t>范围主要是</w:t>
      </w:r>
      <w:r>
        <w:rPr>
          <w:rFonts w:ascii="仿宋" w:eastAsia="仿宋" w:hAnsi="仿宋" w:cs="仿宋_GB2312" w:hint="eastAsia"/>
          <w:sz w:val="30"/>
          <w:szCs w:val="30"/>
        </w:rPr>
        <w:t>：</w:t>
      </w:r>
    </w:p>
    <w:p w:rsidR="00B22B6A" w:rsidRDefault="00B22B6A" w:rsidP="00B22B6A">
      <w:pPr>
        <w:adjustRightInd w:val="0"/>
        <w:snapToGrid w:val="0"/>
        <w:spacing w:beforeLines="50" w:before="156" w:afterLines="50" w:after="156"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（一）导致或可能导致死亡或严重伤害的事件</w:t>
      </w:r>
    </w:p>
    <w:p w:rsidR="00B22B6A" w:rsidRPr="00725F89" w:rsidRDefault="00B22B6A" w:rsidP="00B22B6A">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由于医疗器械上市前临床例数和确认方法的限制，</w:t>
      </w:r>
      <w:r w:rsidR="00D133D3" w:rsidRPr="00725F89">
        <w:rPr>
          <w:rFonts w:ascii="仿宋" w:eastAsia="仿宋" w:hAnsi="仿宋" w:cs="仿宋_GB2312" w:hint="eastAsia"/>
          <w:sz w:val="30"/>
          <w:szCs w:val="30"/>
        </w:rPr>
        <w:t>设计、材料、不符合其注册时的技术要求、</w:t>
      </w:r>
      <w:r w:rsidRPr="00725F89">
        <w:rPr>
          <w:rFonts w:ascii="仿宋" w:eastAsia="仿宋" w:hAnsi="仿宋" w:cs="仿宋_GB2312" w:hint="eastAsia"/>
          <w:sz w:val="30"/>
          <w:szCs w:val="30"/>
        </w:rPr>
        <w:t>使用错误</w:t>
      </w:r>
      <w:r w:rsidR="00D133D3" w:rsidRPr="00725F89">
        <w:rPr>
          <w:rFonts w:ascii="仿宋" w:eastAsia="仿宋" w:hAnsi="仿宋" w:cs="仿宋_GB2312" w:hint="eastAsia"/>
          <w:sz w:val="30"/>
          <w:szCs w:val="30"/>
        </w:rPr>
        <w:t>和说明书缺陷</w:t>
      </w:r>
      <w:r w:rsidRPr="00725F89">
        <w:rPr>
          <w:rFonts w:ascii="仿宋" w:eastAsia="仿宋" w:hAnsi="仿宋" w:cs="仿宋_GB2312" w:hint="eastAsia"/>
          <w:sz w:val="30"/>
          <w:szCs w:val="30"/>
        </w:rPr>
        <w:t>等因素导致的风险，可能在上市前阶段没有被完全识别，在正常使用过程中会导致或可能导致死亡或严重伤害的事件。如：</w:t>
      </w:r>
    </w:p>
    <w:p w:rsidR="00273A05" w:rsidRPr="00725F89" w:rsidRDefault="00273A05" w:rsidP="00273A05">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1.某人工膝关节的连接点处设计不合理，导致人工膝关节过早因受力疲劳而损坏，患者进行二次手术翻修。（设计因素）</w:t>
      </w:r>
    </w:p>
    <w:p w:rsidR="00273A05" w:rsidRPr="00725F89" w:rsidRDefault="00273A05" w:rsidP="00273A05">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2.患者植入聚乙烯作为髋臼材料的人工髋关节。术后8年，聚乙烯材料磨损严重，导致骨溶解和假体松动，患者进行二次手术翻修。（材料因素）</w:t>
      </w:r>
    </w:p>
    <w:p w:rsidR="00B22B6A" w:rsidRPr="00725F89" w:rsidRDefault="00B22B6A" w:rsidP="00B22B6A">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lastRenderedPageBreak/>
        <w:t>3.某批次眼</w:t>
      </w:r>
      <w:proofErr w:type="gramStart"/>
      <w:r>
        <w:rPr>
          <w:rFonts w:ascii="仿宋" w:eastAsia="仿宋" w:hAnsi="仿宋" w:cs="仿宋_GB2312" w:hint="eastAsia"/>
          <w:sz w:val="30"/>
          <w:szCs w:val="30"/>
        </w:rPr>
        <w:t>用全氟丙烷</w:t>
      </w:r>
      <w:proofErr w:type="gramEnd"/>
      <w:r>
        <w:rPr>
          <w:rFonts w:ascii="仿宋" w:eastAsia="仿宋" w:hAnsi="仿宋" w:cs="仿宋_GB2312" w:hint="eastAsia"/>
          <w:sz w:val="30"/>
          <w:szCs w:val="30"/>
        </w:rPr>
        <w:t>气体内的材料成分，在生产过程中因含有毒性杂质，与其注册时成分指标不一致，导致患者眼部严重感染和</w:t>
      </w:r>
      <w:r w:rsidRPr="00725F89">
        <w:rPr>
          <w:rFonts w:ascii="仿宋" w:eastAsia="仿宋" w:hAnsi="仿宋" w:cs="仿宋_GB2312" w:hint="eastAsia"/>
          <w:sz w:val="30"/>
          <w:szCs w:val="30"/>
        </w:rPr>
        <w:t>失明。</w:t>
      </w:r>
      <w:r w:rsidR="00273A05" w:rsidRPr="00725F89">
        <w:rPr>
          <w:rFonts w:ascii="仿宋" w:eastAsia="仿宋" w:hAnsi="仿宋" w:cs="仿宋_GB2312" w:hint="eastAsia"/>
          <w:sz w:val="30"/>
          <w:szCs w:val="30"/>
        </w:rPr>
        <w:t>（不符合技术要求）</w:t>
      </w:r>
    </w:p>
    <w:p w:rsidR="00B22B6A" w:rsidRPr="00725F89" w:rsidRDefault="00273A05" w:rsidP="00B22B6A">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4</w:t>
      </w:r>
      <w:r w:rsidR="00B22B6A" w:rsidRPr="00725F89">
        <w:rPr>
          <w:rFonts w:ascii="仿宋" w:eastAsia="仿宋" w:hAnsi="仿宋" w:cs="仿宋_GB2312" w:hint="eastAsia"/>
          <w:sz w:val="30"/>
          <w:szCs w:val="30"/>
        </w:rPr>
        <w:t>.</w:t>
      </w:r>
      <w:r w:rsidR="00B22B6A" w:rsidRPr="00D05D57">
        <w:rPr>
          <w:rFonts w:ascii="仿宋" w:eastAsia="仿宋" w:hAnsi="仿宋" w:cs="仿宋_GB2312"/>
          <w:sz w:val="30"/>
          <w:szCs w:val="30"/>
        </w:rPr>
        <w:t>X</w:t>
      </w:r>
      <w:r w:rsidR="00D133D3" w:rsidRPr="00D05D57">
        <w:rPr>
          <w:rFonts w:ascii="仿宋" w:eastAsia="仿宋" w:hAnsi="仿宋" w:cs="仿宋_GB2312" w:hint="eastAsia"/>
          <w:sz w:val="30"/>
          <w:szCs w:val="30"/>
        </w:rPr>
        <w:t>射线诊断系统的检查</w:t>
      </w:r>
      <w:proofErr w:type="gramStart"/>
      <w:r w:rsidR="00D133D3" w:rsidRPr="00D05D57">
        <w:rPr>
          <w:rFonts w:ascii="仿宋" w:eastAsia="仿宋" w:hAnsi="仿宋" w:cs="仿宋_GB2312" w:hint="eastAsia"/>
          <w:sz w:val="30"/>
          <w:szCs w:val="30"/>
        </w:rPr>
        <w:t>床操作</w:t>
      </w:r>
      <w:proofErr w:type="gramEnd"/>
      <w:r w:rsidR="00D133D3" w:rsidRPr="00D05D57">
        <w:rPr>
          <w:rFonts w:ascii="仿宋" w:eastAsia="仿宋" w:hAnsi="仿宋" w:cs="仿宋_GB2312" w:hint="eastAsia"/>
          <w:sz w:val="30"/>
          <w:szCs w:val="30"/>
        </w:rPr>
        <w:t>界面，因两不同功能的操作按</w:t>
      </w:r>
      <w:r w:rsidR="00B22B6A" w:rsidRPr="00D05D57">
        <w:rPr>
          <w:rFonts w:ascii="仿宋" w:eastAsia="仿宋" w:hAnsi="仿宋" w:cs="仿宋_GB2312" w:hint="eastAsia"/>
          <w:sz w:val="30"/>
          <w:szCs w:val="30"/>
        </w:rPr>
        <w:t>钮距离太近，致使操作者误操作，检查床未停在预期位置，导致患者从检查床上跌落</w:t>
      </w:r>
      <w:r w:rsidR="00B22B6A" w:rsidRPr="00725F89">
        <w:rPr>
          <w:rFonts w:ascii="仿宋" w:eastAsia="仿宋" w:hAnsi="仿宋" w:cs="仿宋_GB2312" w:hint="eastAsia"/>
          <w:sz w:val="30"/>
          <w:szCs w:val="30"/>
        </w:rPr>
        <w:t>。</w:t>
      </w:r>
      <w:r w:rsidRPr="00725F89">
        <w:rPr>
          <w:rFonts w:ascii="仿宋" w:eastAsia="仿宋" w:hAnsi="仿宋" w:cs="仿宋_GB2312" w:hint="eastAsia"/>
          <w:sz w:val="30"/>
          <w:szCs w:val="30"/>
        </w:rPr>
        <w:t>（</w:t>
      </w:r>
      <w:r w:rsidR="008B25A6" w:rsidRPr="00725F89">
        <w:rPr>
          <w:rFonts w:ascii="仿宋" w:eastAsia="仿宋" w:hAnsi="仿宋" w:cs="仿宋_GB2312" w:hint="eastAsia"/>
          <w:sz w:val="30"/>
          <w:szCs w:val="30"/>
        </w:rPr>
        <w:t>设计缺陷导致使用错误</w:t>
      </w:r>
      <w:r w:rsidRPr="00725F89">
        <w:rPr>
          <w:rFonts w:ascii="仿宋" w:eastAsia="仿宋" w:hAnsi="仿宋" w:cs="仿宋_GB2312" w:hint="eastAsia"/>
          <w:sz w:val="30"/>
          <w:szCs w:val="30"/>
        </w:rPr>
        <w:t>）</w:t>
      </w:r>
    </w:p>
    <w:p w:rsidR="00273A05" w:rsidRPr="00725F89" w:rsidRDefault="008B25A6" w:rsidP="008B25A6">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5.</w:t>
      </w:r>
      <w:r w:rsidR="00273A05" w:rsidRPr="00D05D57">
        <w:rPr>
          <w:rFonts w:ascii="仿宋" w:eastAsia="仿宋" w:hAnsi="仿宋" w:cs="仿宋_GB2312" w:hint="eastAsia"/>
          <w:sz w:val="30"/>
          <w:szCs w:val="30"/>
        </w:rPr>
        <w:t>子宫填塞球囊导管的使用说明书未提示，“在充盈球囊前，应确保子宫切口已牢固缝合”。医生边缝合边充盈球囊，缝针刺破球囊，止血失败。</w:t>
      </w:r>
      <w:r w:rsidRPr="00D05D57">
        <w:rPr>
          <w:rFonts w:ascii="仿宋" w:eastAsia="仿宋" w:hAnsi="仿宋" w:cs="仿宋_GB2312" w:hint="eastAsia"/>
          <w:sz w:val="30"/>
          <w:szCs w:val="30"/>
        </w:rPr>
        <w:t>（说明书缺陷导致使用错误）</w:t>
      </w:r>
    </w:p>
    <w:p w:rsidR="00B22B6A" w:rsidRPr="00725F89" w:rsidRDefault="008B25A6" w:rsidP="00B22B6A">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w:t>
      </w:r>
      <w:r w:rsidR="00B22B6A">
        <w:rPr>
          <w:rFonts w:ascii="仿宋" w:eastAsia="仿宋" w:hAnsi="仿宋" w:cs="仿宋_GB2312" w:hint="eastAsia"/>
          <w:sz w:val="30"/>
          <w:szCs w:val="30"/>
        </w:rPr>
        <w:t>组织粉碎器的无菌吸引管的连接方向指示标签不明显，使用者把吸引管接反，导致</w:t>
      </w:r>
      <w:r w:rsidR="00B22B6A" w:rsidRPr="00725F89">
        <w:rPr>
          <w:rFonts w:ascii="仿宋" w:eastAsia="仿宋" w:hAnsi="仿宋" w:cs="仿宋_GB2312" w:hint="eastAsia"/>
          <w:sz w:val="30"/>
          <w:szCs w:val="30"/>
        </w:rPr>
        <w:t>气体被倒吸到刀头部位。</w:t>
      </w:r>
      <w:r w:rsidRPr="00725F89">
        <w:rPr>
          <w:rFonts w:ascii="仿宋" w:eastAsia="仿宋" w:hAnsi="仿宋" w:cs="仿宋_GB2312" w:hint="eastAsia"/>
          <w:sz w:val="30"/>
          <w:szCs w:val="30"/>
        </w:rPr>
        <w:t>（标签缺陷导致使用错误）</w:t>
      </w:r>
    </w:p>
    <w:p w:rsidR="00960790" w:rsidRPr="00725F89" w:rsidRDefault="00960790" w:rsidP="00960790">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7.体外诊断试剂由于在运输或储藏等过程中失效，使得对患者某一生理指标化验错误，导致医生的治疗决策失误，可能对患者造成严重伤害。（性能下降）</w:t>
      </w:r>
    </w:p>
    <w:p w:rsidR="00B22B6A" w:rsidRDefault="00B22B6A" w:rsidP="00B22B6A">
      <w:pPr>
        <w:adjustRightInd w:val="0"/>
        <w:snapToGrid w:val="0"/>
        <w:spacing w:beforeLines="50" w:before="156" w:afterLines="50" w:after="156"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（二）医疗器械故障，虽然没有导致死亡或严重伤害，但是如果故障再次发生，可能导致死亡或严重伤害</w:t>
      </w:r>
    </w:p>
    <w:p w:rsidR="00B22B6A" w:rsidRDefault="00B22B6A" w:rsidP="00B22B6A">
      <w:pPr>
        <w:adjustRightInd w:val="0"/>
        <w:snapToGrid w:val="0"/>
        <w:spacing w:line="540" w:lineRule="exact"/>
        <w:ind w:firstLineChars="200" w:firstLine="600"/>
        <w:jc w:val="left"/>
        <w:rPr>
          <w:rFonts w:ascii="仿宋" w:eastAsia="仿宋" w:hAnsi="仿宋" w:cs="仿宋_GB2312"/>
          <w:sz w:val="30"/>
          <w:szCs w:val="30"/>
        </w:rPr>
      </w:pPr>
      <w:r>
        <w:rPr>
          <w:rFonts w:ascii="仿宋" w:eastAsia="仿宋" w:hAnsi="仿宋" w:cs="仿宋_GB2312" w:hint="eastAsia"/>
          <w:sz w:val="30"/>
          <w:szCs w:val="30"/>
        </w:rPr>
        <w:t>医疗器械故障是指</w:t>
      </w:r>
      <w:r w:rsidRPr="00E43D42">
        <w:rPr>
          <w:rFonts w:ascii="仿宋" w:eastAsia="仿宋" w:hAnsi="仿宋" w:cs="仿宋_GB2312"/>
          <w:sz w:val="30"/>
          <w:szCs w:val="30"/>
        </w:rPr>
        <w:t>部分元器件功能失效而导致整个</w:t>
      </w:r>
      <w:r w:rsidRPr="00E43D42">
        <w:rPr>
          <w:rFonts w:ascii="仿宋" w:eastAsia="仿宋" w:hAnsi="仿宋" w:cs="仿宋_GB2312" w:hint="eastAsia"/>
          <w:sz w:val="30"/>
          <w:szCs w:val="30"/>
        </w:rPr>
        <w:t>医疗器械</w:t>
      </w:r>
      <w:r w:rsidRPr="00E43D42">
        <w:rPr>
          <w:rFonts w:ascii="仿宋" w:eastAsia="仿宋" w:hAnsi="仿宋" w:cs="仿宋_GB2312"/>
          <w:sz w:val="30"/>
          <w:szCs w:val="30"/>
        </w:rPr>
        <w:t>功能恶化的事件</w:t>
      </w:r>
      <w:r>
        <w:rPr>
          <w:rFonts w:ascii="仿宋" w:eastAsia="仿宋" w:hAnsi="仿宋" w:cs="仿宋_GB2312" w:hint="eastAsia"/>
          <w:sz w:val="30"/>
          <w:szCs w:val="30"/>
        </w:rPr>
        <w:t>。如：</w:t>
      </w:r>
    </w:p>
    <w:p w:rsidR="00B22B6A" w:rsidRDefault="00B22B6A" w:rsidP="00B22B6A">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1.呼吸机在ICU抢救过程中，突然一部件</w:t>
      </w:r>
      <w:r w:rsidR="00514BA2">
        <w:rPr>
          <w:rFonts w:ascii="仿宋" w:eastAsia="仿宋" w:hAnsi="仿宋" w:cs="仿宋_GB2312" w:hint="eastAsia"/>
          <w:sz w:val="30"/>
          <w:szCs w:val="30"/>
        </w:rPr>
        <w:t>发生</w:t>
      </w:r>
      <w:r>
        <w:rPr>
          <w:rFonts w:ascii="仿宋" w:eastAsia="仿宋" w:hAnsi="仿宋" w:cs="仿宋_GB2312" w:hint="eastAsia"/>
          <w:sz w:val="30"/>
          <w:szCs w:val="30"/>
        </w:rPr>
        <w:t>故障，</w:t>
      </w:r>
      <w:r w:rsidR="000958F1">
        <w:rPr>
          <w:rFonts w:ascii="仿宋" w:eastAsia="仿宋" w:hAnsi="仿宋" w:cs="仿宋_GB2312" w:hint="eastAsia"/>
          <w:sz w:val="30"/>
          <w:szCs w:val="30"/>
        </w:rPr>
        <w:t>呼吸机停止运行</w:t>
      </w:r>
      <w:r>
        <w:rPr>
          <w:rFonts w:ascii="仿宋" w:eastAsia="仿宋" w:hAnsi="仿宋" w:cs="仿宋_GB2312" w:hint="eastAsia"/>
          <w:sz w:val="30"/>
          <w:szCs w:val="30"/>
        </w:rPr>
        <w:t>，可能导致人员死亡</w:t>
      </w:r>
      <w:r w:rsidR="00514BA2">
        <w:rPr>
          <w:rFonts w:ascii="仿宋" w:eastAsia="仿宋" w:hAnsi="仿宋" w:cs="仿宋_GB2312" w:hint="eastAsia"/>
          <w:sz w:val="30"/>
          <w:szCs w:val="30"/>
        </w:rPr>
        <w:t>或严重伤害</w:t>
      </w:r>
      <w:r>
        <w:rPr>
          <w:rFonts w:ascii="仿宋" w:eastAsia="仿宋" w:hAnsi="仿宋" w:cs="仿宋_GB2312" w:hint="eastAsia"/>
          <w:sz w:val="30"/>
          <w:szCs w:val="30"/>
        </w:rPr>
        <w:t>。</w:t>
      </w:r>
    </w:p>
    <w:p w:rsidR="00B22B6A" w:rsidRDefault="00B22B6A" w:rsidP="00B22B6A">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2.在进行介入手术过程中，血管造影机突然不能曝光，医生在无影像指引状态下完成手术。</w:t>
      </w:r>
    </w:p>
    <w:p w:rsidR="006466CD" w:rsidRDefault="0024102C" w:rsidP="00B22B6A">
      <w:pPr>
        <w:adjustRightInd w:val="0"/>
        <w:snapToGrid w:val="0"/>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三、豁免报告范围</w:t>
      </w:r>
    </w:p>
    <w:p w:rsidR="006466CD" w:rsidRDefault="007929A2">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以下情况下发生的不良事件免除</w:t>
      </w:r>
      <w:r w:rsidR="0024102C">
        <w:rPr>
          <w:rFonts w:ascii="仿宋" w:eastAsia="仿宋" w:hAnsi="仿宋" w:cs="仿宋_GB2312" w:hint="eastAsia"/>
          <w:sz w:val="30"/>
          <w:szCs w:val="30"/>
        </w:rPr>
        <w:t>报告：</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（一）未按照说明书、标签、警示信息使用医疗器械</w:t>
      </w:r>
    </w:p>
    <w:p w:rsidR="00960790" w:rsidRPr="00725F89" w:rsidRDefault="00960790">
      <w:pPr>
        <w:adjustRightInd w:val="0"/>
        <w:snapToGrid w:val="0"/>
        <w:spacing w:line="540" w:lineRule="exact"/>
        <w:ind w:firstLineChars="200" w:firstLine="600"/>
        <w:rPr>
          <w:rFonts w:ascii="仿宋" w:eastAsia="仿宋" w:hAnsi="仿宋" w:cs="仿宋_GB2312"/>
          <w:sz w:val="30"/>
          <w:szCs w:val="30"/>
        </w:rPr>
      </w:pPr>
      <w:r w:rsidRPr="00725F89">
        <w:rPr>
          <w:rFonts w:ascii="仿宋" w:eastAsia="仿宋" w:hAnsi="仿宋" w:cs="仿宋_GB2312" w:hint="eastAsia"/>
          <w:sz w:val="30"/>
          <w:szCs w:val="30"/>
        </w:rPr>
        <w:t>使用者未按照使用说明书、标签、警示信息操作医疗器械，导致不良事件发生的，可以不报告，如：</w:t>
      </w:r>
    </w:p>
    <w:p w:rsidR="006466CD" w:rsidRPr="00725F89" w:rsidRDefault="0024102C" w:rsidP="004F124B">
      <w:pPr>
        <w:pStyle w:val="a9"/>
        <w:numPr>
          <w:ilvl w:val="0"/>
          <w:numId w:val="2"/>
        </w:numPr>
        <w:adjustRightInd w:val="0"/>
        <w:snapToGrid w:val="0"/>
        <w:spacing w:line="540" w:lineRule="exact"/>
        <w:ind w:firstLineChars="0"/>
        <w:rPr>
          <w:rFonts w:ascii="仿宋" w:eastAsia="仿宋" w:hAnsi="仿宋" w:cs="仿宋_GB2312"/>
          <w:sz w:val="30"/>
          <w:szCs w:val="30"/>
        </w:rPr>
      </w:pPr>
      <w:r w:rsidRPr="00725F89">
        <w:rPr>
          <w:rFonts w:ascii="仿宋" w:eastAsia="仿宋" w:hAnsi="仿宋" w:cs="仿宋_GB2312" w:hint="eastAsia"/>
          <w:sz w:val="30"/>
          <w:szCs w:val="30"/>
        </w:rPr>
        <w:t>超出使用说明书指明的适应症使用医疗器械。</w:t>
      </w:r>
    </w:p>
    <w:p w:rsidR="004F124B" w:rsidRPr="00725F89" w:rsidRDefault="004F124B" w:rsidP="004F124B">
      <w:pPr>
        <w:adjustRightInd w:val="0"/>
        <w:snapToGrid w:val="0"/>
        <w:spacing w:line="540" w:lineRule="exact"/>
        <w:ind w:left="600"/>
        <w:rPr>
          <w:rFonts w:ascii="仿宋" w:eastAsia="仿宋" w:hAnsi="仿宋" w:cs="仿宋_GB2312"/>
          <w:sz w:val="30"/>
          <w:szCs w:val="30"/>
        </w:rPr>
      </w:pPr>
      <w:r w:rsidRPr="00725F89">
        <w:rPr>
          <w:rFonts w:ascii="仿宋" w:eastAsia="仿宋" w:hAnsi="仿宋" w:cs="仿宋_GB2312" w:hint="eastAsia"/>
          <w:sz w:val="30"/>
          <w:szCs w:val="30"/>
        </w:rPr>
        <w:t>2.使用者未按说明书</w:t>
      </w:r>
      <w:proofErr w:type="gramStart"/>
      <w:r w:rsidRPr="00725F89">
        <w:rPr>
          <w:rFonts w:ascii="仿宋" w:eastAsia="仿宋" w:hAnsi="仿宋" w:cs="仿宋_GB2312" w:hint="eastAsia"/>
          <w:sz w:val="30"/>
          <w:szCs w:val="30"/>
        </w:rPr>
        <w:t>使用验孕试纸</w:t>
      </w:r>
      <w:proofErr w:type="gramEnd"/>
      <w:r w:rsidRPr="00725F89">
        <w:rPr>
          <w:rFonts w:ascii="仿宋" w:eastAsia="仿宋" w:hAnsi="仿宋" w:cs="仿宋_GB2312" w:hint="eastAsia"/>
          <w:sz w:val="30"/>
          <w:szCs w:val="30"/>
        </w:rPr>
        <w:t>，导致</w:t>
      </w:r>
      <w:proofErr w:type="gramStart"/>
      <w:r w:rsidRPr="00725F89">
        <w:rPr>
          <w:rFonts w:ascii="仿宋" w:eastAsia="仿宋" w:hAnsi="仿宋" w:cs="仿宋_GB2312" w:hint="eastAsia"/>
          <w:sz w:val="30"/>
          <w:szCs w:val="30"/>
        </w:rPr>
        <w:t>验孕结果</w:t>
      </w:r>
      <w:proofErr w:type="gramEnd"/>
      <w:r w:rsidRPr="00725F89">
        <w:rPr>
          <w:rFonts w:ascii="仿宋" w:eastAsia="仿宋" w:hAnsi="仿宋" w:cs="仿宋_GB2312" w:hint="eastAsia"/>
          <w:sz w:val="30"/>
          <w:szCs w:val="30"/>
        </w:rPr>
        <w:t>错误。</w:t>
      </w:r>
    </w:p>
    <w:p w:rsidR="006466CD" w:rsidRDefault="004F124B">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w:t>
      </w:r>
      <w:r w:rsidR="0024102C">
        <w:rPr>
          <w:rFonts w:ascii="仿宋" w:eastAsia="仿宋" w:hAnsi="仿宋" w:cs="仿宋_GB2312" w:hint="eastAsia"/>
          <w:sz w:val="30"/>
          <w:szCs w:val="30"/>
        </w:rPr>
        <w:t>.自动分析仪屏幕提示明显的应对仪器进行校准的警示信息，使用者忽略该信息继续使用。</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（二）非死亡或严重伤害事件</w:t>
      </w:r>
    </w:p>
    <w:p w:rsidR="006466CD" w:rsidRDefault="0024102C" w:rsidP="00D05D57">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未导致死亡或严重伤害，并且如果事件再次发生，也不可能导致死亡或严重伤害的不良事件，可以不报告，如：</w:t>
      </w:r>
    </w:p>
    <w:p w:rsidR="000A4262" w:rsidRDefault="000A4262" w:rsidP="000A4262">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1.患者使用</w:t>
      </w:r>
      <w:r w:rsidRPr="00372E48">
        <w:rPr>
          <w:rFonts w:ascii="仿宋" w:eastAsia="仿宋" w:hAnsi="仿宋" w:cs="仿宋_GB2312" w:hint="eastAsia"/>
          <w:sz w:val="30"/>
          <w:szCs w:val="30"/>
        </w:rPr>
        <w:t>医用输液贴</w:t>
      </w:r>
      <w:r>
        <w:rPr>
          <w:rFonts w:ascii="仿宋" w:eastAsia="仿宋" w:hAnsi="仿宋" w:cs="仿宋_GB2312" w:hint="eastAsia"/>
          <w:sz w:val="30"/>
          <w:szCs w:val="30"/>
        </w:rPr>
        <w:t>后，患处皮肤瘙痒，停用后自行恢复。</w:t>
      </w:r>
    </w:p>
    <w:p w:rsidR="000A4262" w:rsidRDefault="000A4262" w:rsidP="000A4262">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2.患者使用角膜接触镜后</w:t>
      </w:r>
      <w:r w:rsidR="003F591E">
        <w:rPr>
          <w:rFonts w:ascii="仿宋" w:eastAsia="仿宋" w:hAnsi="仿宋" w:cs="仿宋_GB2312" w:hint="eastAsia"/>
          <w:sz w:val="30"/>
          <w:szCs w:val="30"/>
        </w:rPr>
        <w:t>眼部</w:t>
      </w:r>
      <w:r>
        <w:rPr>
          <w:rFonts w:ascii="仿宋" w:eastAsia="仿宋" w:hAnsi="仿宋" w:cs="仿宋_GB2312" w:hint="eastAsia"/>
          <w:sz w:val="30"/>
          <w:szCs w:val="30"/>
        </w:rPr>
        <w:t>有异物感，几天后异物感消失。</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（三）超出使用寿命或有效期使用医疗器械</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使用者超出了说明书所标注</w:t>
      </w:r>
      <w:bookmarkStart w:id="2" w:name="_GoBack"/>
      <w:bookmarkEnd w:id="2"/>
      <w:r>
        <w:rPr>
          <w:rFonts w:ascii="仿宋" w:eastAsia="仿宋" w:hAnsi="仿宋" w:cs="仿宋_GB2312" w:hint="eastAsia"/>
          <w:sz w:val="30"/>
          <w:szCs w:val="30"/>
        </w:rPr>
        <w:t>的使用寿命或有效期限使用医疗器械，导致不良事件发生的，可以不报告，如：</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1.使用过期的外科手套，导致患者感染。</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2.超出使用寿命使用X射线机，电路老化短路，导致人员被电击。</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（四）患者自身疾病导致的不良事件</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医疗器械正常发挥了其预期功能，完全由于患者自身疾病导致的不良事件，可以不报告，如：</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1.患者经过血液透析治疗后死亡，该患者是肾病末期并且因肾衰竭死亡。</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2.由于患者的骨质疏松症导致其植入的人工关节发生了松动，通过手术修正。</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（五）使用者在使用前发现医疗器械缺陷</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使用者在使用前就发现医疗器械缺陷，没有使用医疗器械，因而未造成死亡或严重伤害的事件，可以不报告，如：</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1.对医用电子直线加速器进行晨检时发现其故障，因此未对患者实施放射治疗。</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2.使用一次性使用输液器前发现其包装破损，因而将其丢弃。</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（六）医疗器械保护措施正常发挥作用</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医疗器械的设计中采取了能防止危害发生的保护措施，并且当故障、性能下降发生时，医疗器械保护措施正常发挥了作用，因而未造成死亡或严重伤害的，可以不报告，如：</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1.磁共振设备的制冷剂突然泄漏，但由于设备安装了制冷剂安全释放管道，因此未造成人员伤害。</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2.婴儿培养箱箱内温度超出规定的温度范围，设备发出了报警。医生及时更换了培养箱，婴儿没有受到伤害。</w:t>
      </w:r>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（七）可预料的副作用</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在医疗器械的说明书和标签中明确指出的或临床上众所周知的副作用，如果医疗器械正常发挥了其预期功能，并且考虑到患者的利益，该副作用在临床上是可接受的，可以不报告，如：</w:t>
      </w:r>
    </w:p>
    <w:p w:rsidR="000A4262" w:rsidRPr="004B19CF" w:rsidRDefault="0024102C" w:rsidP="000A4262">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sidR="000A4262">
        <w:rPr>
          <w:rFonts w:ascii="仿宋" w:eastAsia="仿宋" w:hAnsi="仿宋" w:cs="仿宋_GB2312" w:hint="eastAsia"/>
          <w:sz w:val="30"/>
          <w:szCs w:val="30"/>
        </w:rPr>
        <w:t>患者接受放射性治疗后，出现头晕、恶心、食欲不振等症状。</w:t>
      </w:r>
    </w:p>
    <w:p w:rsidR="006466CD" w:rsidRDefault="000A4262" w:rsidP="000A4262">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sidR="0024102C">
        <w:rPr>
          <w:rFonts w:ascii="仿宋" w:eastAsia="仿宋" w:hAnsi="仿宋" w:cs="仿宋_GB2312" w:hint="eastAsia"/>
          <w:sz w:val="30"/>
          <w:szCs w:val="30"/>
        </w:rPr>
        <w:t>.患者在植入机械心脏瓣膜十年后出现了心内膜炎并导致死亡。</w:t>
      </w:r>
      <w:bookmarkStart w:id="3" w:name="_Toc514769093"/>
    </w:p>
    <w:p w:rsidR="006466CD" w:rsidRDefault="0024102C">
      <w:pPr>
        <w:adjustRightInd w:val="0"/>
        <w:snapToGrid w:val="0"/>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（八）</w:t>
      </w:r>
      <w:bookmarkEnd w:id="3"/>
      <w:r>
        <w:rPr>
          <w:rFonts w:ascii="仿宋" w:eastAsia="仿宋" w:hAnsi="仿宋" w:cs="仿宋" w:hint="eastAsia"/>
          <w:b/>
          <w:bCs/>
          <w:sz w:val="30"/>
          <w:szCs w:val="30"/>
        </w:rPr>
        <w:t>已发布召回通知的不良事件</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已发布召回通知的医疗器械，如果所发生不良事件涉及的产品批次已在通知内指出，并且不良事件表现和发生原因与通知中</w:t>
      </w:r>
      <w:r>
        <w:rPr>
          <w:rFonts w:ascii="仿宋" w:eastAsia="仿宋" w:hAnsi="仿宋" w:cs="仿宋_GB2312" w:hint="eastAsia"/>
          <w:sz w:val="30"/>
          <w:szCs w:val="30"/>
        </w:rPr>
        <w:lastRenderedPageBreak/>
        <w:t>相同，可以不报告，如：</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1.生产企业对某批次血糖试纸发布召回通知后，该批次血糖试纸发生的相同表现和发生原因的不良事件可以不报告。</w:t>
      </w:r>
    </w:p>
    <w:p w:rsidR="006466CD" w:rsidRDefault="0024102C">
      <w:pPr>
        <w:adjustRightInd w:val="0"/>
        <w:snapToGrid w:val="0"/>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2.总局发布某批次眼部填充气体的责令召回通知后，该批次气体发生的相同表现和发生原因的不良事件可以不报告。</w:t>
      </w:r>
    </w:p>
    <w:sectPr w:rsidR="006466CD">
      <w:pgSz w:w="11906" w:h="16838"/>
      <w:pgMar w:top="1440" w:right="1701" w:bottom="1440"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FD" w:rsidRDefault="005312FD" w:rsidP="00B563D0">
      <w:r>
        <w:separator/>
      </w:r>
    </w:p>
  </w:endnote>
  <w:endnote w:type="continuationSeparator" w:id="0">
    <w:p w:rsidR="005312FD" w:rsidRDefault="005312FD" w:rsidP="00B5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FD" w:rsidRDefault="005312FD" w:rsidP="00B563D0">
      <w:r>
        <w:separator/>
      </w:r>
    </w:p>
  </w:footnote>
  <w:footnote w:type="continuationSeparator" w:id="0">
    <w:p w:rsidR="005312FD" w:rsidRDefault="005312FD" w:rsidP="00B56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82EA1"/>
    <w:multiLevelType w:val="hybridMultilevel"/>
    <w:tmpl w:val="5F5CC296"/>
    <w:lvl w:ilvl="0" w:tplc="BD6E9F4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B8E129D"/>
    <w:multiLevelType w:val="singleLevel"/>
    <w:tmpl w:val="5B8E129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F3"/>
    <w:rsid w:val="00040210"/>
    <w:rsid w:val="00040569"/>
    <w:rsid w:val="00046835"/>
    <w:rsid w:val="00060C8F"/>
    <w:rsid w:val="000958F1"/>
    <w:rsid w:val="00096851"/>
    <w:rsid w:val="000A4262"/>
    <w:rsid w:val="000C770F"/>
    <w:rsid w:val="000D135B"/>
    <w:rsid w:val="000D5AE9"/>
    <w:rsid w:val="000F0C81"/>
    <w:rsid w:val="000F47F1"/>
    <w:rsid w:val="000F62A2"/>
    <w:rsid w:val="0011342C"/>
    <w:rsid w:val="00120F13"/>
    <w:rsid w:val="00121DB0"/>
    <w:rsid w:val="00124132"/>
    <w:rsid w:val="00183F77"/>
    <w:rsid w:val="00187236"/>
    <w:rsid w:val="00197886"/>
    <w:rsid w:val="001A4DC2"/>
    <w:rsid w:val="001B2B0D"/>
    <w:rsid w:val="001E526D"/>
    <w:rsid w:val="001F3CFF"/>
    <w:rsid w:val="001F50FB"/>
    <w:rsid w:val="002278A4"/>
    <w:rsid w:val="002376AA"/>
    <w:rsid w:val="0024102C"/>
    <w:rsid w:val="00254134"/>
    <w:rsid w:val="002548C1"/>
    <w:rsid w:val="002733D3"/>
    <w:rsid w:val="00273432"/>
    <w:rsid w:val="00273A05"/>
    <w:rsid w:val="00274EDF"/>
    <w:rsid w:val="00283F7B"/>
    <w:rsid w:val="002E20DD"/>
    <w:rsid w:val="002E59B9"/>
    <w:rsid w:val="00341821"/>
    <w:rsid w:val="00360880"/>
    <w:rsid w:val="00387B8C"/>
    <w:rsid w:val="003A445B"/>
    <w:rsid w:val="003C4F04"/>
    <w:rsid w:val="003C6E37"/>
    <w:rsid w:val="003D1316"/>
    <w:rsid w:val="003F591E"/>
    <w:rsid w:val="00405849"/>
    <w:rsid w:val="00427D28"/>
    <w:rsid w:val="004C7ADE"/>
    <w:rsid w:val="004F124B"/>
    <w:rsid w:val="00514BA2"/>
    <w:rsid w:val="005312FD"/>
    <w:rsid w:val="00542D99"/>
    <w:rsid w:val="00562E27"/>
    <w:rsid w:val="005A43D6"/>
    <w:rsid w:val="005B754B"/>
    <w:rsid w:val="005F1B19"/>
    <w:rsid w:val="00601453"/>
    <w:rsid w:val="00601D4B"/>
    <w:rsid w:val="006122A9"/>
    <w:rsid w:val="006466CD"/>
    <w:rsid w:val="00646E92"/>
    <w:rsid w:val="0064766F"/>
    <w:rsid w:val="00647BFF"/>
    <w:rsid w:val="0065526A"/>
    <w:rsid w:val="00655FDC"/>
    <w:rsid w:val="00675709"/>
    <w:rsid w:val="006758F3"/>
    <w:rsid w:val="00676D4E"/>
    <w:rsid w:val="006A3794"/>
    <w:rsid w:val="006B2827"/>
    <w:rsid w:val="006F0FE1"/>
    <w:rsid w:val="006F41F9"/>
    <w:rsid w:val="00725F89"/>
    <w:rsid w:val="007266B6"/>
    <w:rsid w:val="007270C2"/>
    <w:rsid w:val="00731B12"/>
    <w:rsid w:val="0074392B"/>
    <w:rsid w:val="00751BD1"/>
    <w:rsid w:val="007929A2"/>
    <w:rsid w:val="007A75E0"/>
    <w:rsid w:val="007D435D"/>
    <w:rsid w:val="007D4C36"/>
    <w:rsid w:val="007D771F"/>
    <w:rsid w:val="007F4894"/>
    <w:rsid w:val="007F49FE"/>
    <w:rsid w:val="008021CB"/>
    <w:rsid w:val="008039AC"/>
    <w:rsid w:val="00810ECD"/>
    <w:rsid w:val="00832644"/>
    <w:rsid w:val="00842750"/>
    <w:rsid w:val="00860FA1"/>
    <w:rsid w:val="00867C65"/>
    <w:rsid w:val="00885D74"/>
    <w:rsid w:val="008A6467"/>
    <w:rsid w:val="008B25A6"/>
    <w:rsid w:val="008D349A"/>
    <w:rsid w:val="008E0399"/>
    <w:rsid w:val="00900846"/>
    <w:rsid w:val="00906B9B"/>
    <w:rsid w:val="00911721"/>
    <w:rsid w:val="00924BCD"/>
    <w:rsid w:val="00947A9C"/>
    <w:rsid w:val="009500AD"/>
    <w:rsid w:val="00960790"/>
    <w:rsid w:val="0098384B"/>
    <w:rsid w:val="009905F0"/>
    <w:rsid w:val="00990CB7"/>
    <w:rsid w:val="009A10D7"/>
    <w:rsid w:val="009A7AE4"/>
    <w:rsid w:val="009B7D10"/>
    <w:rsid w:val="00A02EE5"/>
    <w:rsid w:val="00A05559"/>
    <w:rsid w:val="00A12541"/>
    <w:rsid w:val="00A13403"/>
    <w:rsid w:val="00A34E8A"/>
    <w:rsid w:val="00A57880"/>
    <w:rsid w:val="00A64B1A"/>
    <w:rsid w:val="00A8124A"/>
    <w:rsid w:val="00A97CF4"/>
    <w:rsid w:val="00AA6B1F"/>
    <w:rsid w:val="00AB690D"/>
    <w:rsid w:val="00AC0006"/>
    <w:rsid w:val="00AC2293"/>
    <w:rsid w:val="00AD3985"/>
    <w:rsid w:val="00B07C0E"/>
    <w:rsid w:val="00B15D1C"/>
    <w:rsid w:val="00B22B6A"/>
    <w:rsid w:val="00B310B6"/>
    <w:rsid w:val="00B46D1D"/>
    <w:rsid w:val="00B5604D"/>
    <w:rsid w:val="00B563D0"/>
    <w:rsid w:val="00B944FC"/>
    <w:rsid w:val="00B956F8"/>
    <w:rsid w:val="00B96488"/>
    <w:rsid w:val="00B9666C"/>
    <w:rsid w:val="00BA4A61"/>
    <w:rsid w:val="00BF67C7"/>
    <w:rsid w:val="00C3467C"/>
    <w:rsid w:val="00C34BA8"/>
    <w:rsid w:val="00C65049"/>
    <w:rsid w:val="00CA2731"/>
    <w:rsid w:val="00CA4108"/>
    <w:rsid w:val="00CB29DF"/>
    <w:rsid w:val="00CC05A0"/>
    <w:rsid w:val="00CD707A"/>
    <w:rsid w:val="00D05D57"/>
    <w:rsid w:val="00D133D3"/>
    <w:rsid w:val="00D1416C"/>
    <w:rsid w:val="00D223FF"/>
    <w:rsid w:val="00D408C6"/>
    <w:rsid w:val="00D41121"/>
    <w:rsid w:val="00D43D46"/>
    <w:rsid w:val="00D5510B"/>
    <w:rsid w:val="00D672DE"/>
    <w:rsid w:val="00D72DED"/>
    <w:rsid w:val="00D83EC8"/>
    <w:rsid w:val="00D85B52"/>
    <w:rsid w:val="00DA4958"/>
    <w:rsid w:val="00DC02FD"/>
    <w:rsid w:val="00DD30CC"/>
    <w:rsid w:val="00DD60AB"/>
    <w:rsid w:val="00DE40E8"/>
    <w:rsid w:val="00DE46EB"/>
    <w:rsid w:val="00DF433B"/>
    <w:rsid w:val="00E009A3"/>
    <w:rsid w:val="00E114F8"/>
    <w:rsid w:val="00E12478"/>
    <w:rsid w:val="00E174C5"/>
    <w:rsid w:val="00E20DC2"/>
    <w:rsid w:val="00E344B7"/>
    <w:rsid w:val="00E43D42"/>
    <w:rsid w:val="00E45B4F"/>
    <w:rsid w:val="00E503C4"/>
    <w:rsid w:val="00E57EC4"/>
    <w:rsid w:val="00E73153"/>
    <w:rsid w:val="00E96126"/>
    <w:rsid w:val="00EC4BE1"/>
    <w:rsid w:val="00ED7E57"/>
    <w:rsid w:val="00EE3483"/>
    <w:rsid w:val="00F02A9B"/>
    <w:rsid w:val="00F04F4A"/>
    <w:rsid w:val="00F35831"/>
    <w:rsid w:val="00F4274C"/>
    <w:rsid w:val="00F70C48"/>
    <w:rsid w:val="00FA069B"/>
    <w:rsid w:val="00FA1149"/>
    <w:rsid w:val="00FA7F78"/>
    <w:rsid w:val="00FE1578"/>
    <w:rsid w:val="00FE2A6F"/>
    <w:rsid w:val="00FF7BAD"/>
    <w:rsid w:val="039D72E7"/>
    <w:rsid w:val="09D8174E"/>
    <w:rsid w:val="0C9E347B"/>
    <w:rsid w:val="121A306D"/>
    <w:rsid w:val="161B6F56"/>
    <w:rsid w:val="18512AEC"/>
    <w:rsid w:val="1F096599"/>
    <w:rsid w:val="21A1725B"/>
    <w:rsid w:val="2686778C"/>
    <w:rsid w:val="26B92591"/>
    <w:rsid w:val="2B9B7EBD"/>
    <w:rsid w:val="2C09691C"/>
    <w:rsid w:val="3C1478C9"/>
    <w:rsid w:val="48DD41F7"/>
    <w:rsid w:val="59730ECB"/>
    <w:rsid w:val="61ED551A"/>
    <w:rsid w:val="655202BA"/>
    <w:rsid w:val="68F745D9"/>
    <w:rsid w:val="6E036C49"/>
    <w:rsid w:val="712D2424"/>
    <w:rsid w:val="72FD6B33"/>
    <w:rsid w:val="74F331A7"/>
    <w:rsid w:val="784E688F"/>
    <w:rsid w:val="7E88033E"/>
    <w:rsid w:val="7F95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文档结构图 Char"/>
    <w:basedOn w:val="a0"/>
    <w:link w:val="a3"/>
    <w:uiPriority w:val="99"/>
    <w:semiHidden/>
    <w:rPr>
      <w:rFonts w:ascii="宋体" w:eastAsia="宋体"/>
      <w:kern w:val="2"/>
      <w:sz w:val="18"/>
      <w:szCs w:val="18"/>
    </w:rPr>
  </w:style>
  <w:style w:type="character" w:styleId="aa">
    <w:name w:val="Emphasis"/>
    <w:basedOn w:val="a0"/>
    <w:uiPriority w:val="20"/>
    <w:qFormat/>
    <w:rsid w:val="00E43D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文档结构图 Char"/>
    <w:basedOn w:val="a0"/>
    <w:link w:val="a3"/>
    <w:uiPriority w:val="99"/>
    <w:semiHidden/>
    <w:rPr>
      <w:rFonts w:ascii="宋体" w:eastAsia="宋体"/>
      <w:kern w:val="2"/>
      <w:sz w:val="18"/>
      <w:szCs w:val="18"/>
    </w:rPr>
  </w:style>
  <w:style w:type="character" w:styleId="aa">
    <w:name w:val="Emphasis"/>
    <w:basedOn w:val="a0"/>
    <w:uiPriority w:val="20"/>
    <w:qFormat/>
    <w:rsid w:val="00E43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5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A5AF2-5AEB-4F7E-8DC4-20133CA3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董放</dc:creator>
  <cp:lastModifiedBy>于一</cp:lastModifiedBy>
  <cp:revision>18</cp:revision>
  <cp:lastPrinted>2018-09-19T02:15:00Z</cp:lastPrinted>
  <dcterms:created xsi:type="dcterms:W3CDTF">2018-09-19T02:39:00Z</dcterms:created>
  <dcterms:modified xsi:type="dcterms:W3CDTF">2018-09-20T05:16:00Z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