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sz w:val="32"/>
          <w:szCs w:val="32"/>
        </w:rPr>
      </w:pPr>
      <w:r>
        <w:rPr>
          <w:rFonts w:hint="eastAsia"/>
          <w:color w:val="000000"/>
          <w:sz w:val="32"/>
          <w:szCs w:val="32"/>
        </w:rPr>
        <w:t>北京市进口医疗器械代理人管理办法（征求意见稿）</w:t>
      </w:r>
    </w:p>
    <w:p>
      <w:pPr>
        <w:adjustRightInd w:val="0"/>
        <w:snapToGrid w:val="0"/>
        <w:jc w:val="center"/>
        <w:rPr>
          <w:rFonts w:hint="eastAsia" w:ascii="华文仿宋" w:hAnsi="华文仿宋" w:eastAsia="华文仿宋"/>
          <w:b/>
          <w:color w:val="000000"/>
          <w:sz w:val="28"/>
          <w:szCs w:val="28"/>
        </w:rPr>
      </w:pPr>
      <w:bookmarkStart w:id="0" w:name="OLE_LINK5"/>
      <w:r>
        <w:rPr>
          <w:rFonts w:hint="eastAsia" w:ascii="华文仿宋" w:hAnsi="华文仿宋" w:eastAsia="华文仿宋"/>
          <w:b/>
          <w:color w:val="000000"/>
          <w:sz w:val="28"/>
          <w:szCs w:val="28"/>
        </w:rPr>
        <w:t>第一章总则</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第一条</w:t>
      </w:r>
      <w:r>
        <w:rPr>
          <w:rFonts w:hint="eastAsia" w:ascii="华文仿宋" w:hAnsi="华文仿宋" w:eastAsia="华文仿宋"/>
          <w:color w:val="000000"/>
          <w:sz w:val="28"/>
          <w:szCs w:val="28"/>
        </w:rPr>
        <w:t>　为规范进口医疗器械生产企业在北京市辖区内设立的代表机构或者指定的北京市辖区内企业法人（以下简称代理人）的行为，根据《医疗器械监督管理条例》、《医疗器械注册管理办法》及《体外诊断试剂注册管理办法》，制定本办法。</w:t>
      </w:r>
      <w:bookmarkEnd w:id="0"/>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医疗器械生产企业为香港、澳门、台湾地区的，参照进口医疗器械管理。</w:t>
      </w:r>
    </w:p>
    <w:p>
      <w:pPr>
        <w:adjustRightInd w:val="0"/>
        <w:snapToGrid w:val="0"/>
        <w:rPr>
          <w:rFonts w:hint="eastAsia" w:ascii="华文仿宋" w:hAnsi="华文仿宋" w:eastAsia="华文仿宋"/>
          <w:color w:val="000000"/>
          <w:sz w:val="28"/>
          <w:szCs w:val="28"/>
        </w:rPr>
      </w:pPr>
      <w:bookmarkStart w:id="1" w:name="OLE_LINK6"/>
      <w:r>
        <w:rPr>
          <w:rFonts w:hint="eastAsia" w:ascii="华文仿宋" w:hAnsi="华文仿宋" w:eastAsia="华文仿宋"/>
          <w:b/>
          <w:color w:val="000000"/>
          <w:sz w:val="28"/>
          <w:szCs w:val="28"/>
        </w:rPr>
        <w:t>第二条</w:t>
      </w:r>
      <w:r>
        <w:rPr>
          <w:rFonts w:hint="eastAsia" w:ascii="华文仿宋" w:hAnsi="华文仿宋" w:eastAsia="华文仿宋"/>
          <w:color w:val="000000"/>
          <w:sz w:val="28"/>
          <w:szCs w:val="28"/>
        </w:rPr>
        <w:t>　</w:t>
      </w:r>
      <w:bookmarkEnd w:id="1"/>
      <w:r>
        <w:rPr>
          <w:rFonts w:hint="eastAsia" w:ascii="华文仿宋" w:hAnsi="华文仿宋" w:eastAsia="华文仿宋"/>
          <w:color w:val="000000"/>
          <w:sz w:val="28"/>
          <w:szCs w:val="28"/>
        </w:rPr>
        <w:t>本办法中代理人是指医疗器械产品注册证上“代理人住所”在北京市行政区域内，由境外申请人或备案人设立的代表机构或者指定企业法人。</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第三条</w:t>
      </w:r>
      <w:r>
        <w:rPr>
          <w:rFonts w:hint="eastAsia" w:ascii="华文仿宋" w:hAnsi="华文仿宋" w:eastAsia="华文仿宋"/>
          <w:color w:val="000000"/>
          <w:sz w:val="28"/>
          <w:szCs w:val="28"/>
        </w:rPr>
        <w:t>　代理人应当按本办法要求配合境外申请人或备案人进行相关工作，行使代理人的权利和承担代理人义务。</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 xml:space="preserve">第四条  </w:t>
      </w:r>
      <w:r>
        <w:rPr>
          <w:rFonts w:hint="eastAsia" w:ascii="华文仿宋" w:hAnsi="华文仿宋" w:eastAsia="华文仿宋"/>
          <w:color w:val="000000"/>
          <w:sz w:val="28"/>
          <w:szCs w:val="28"/>
        </w:rPr>
        <w:t>北京市食品药品监督管理局负责组织全市代理人监督管理工作，区局、直属分局负责本辖区内的代理人日常监督管理工作。</w:t>
      </w:r>
    </w:p>
    <w:p>
      <w:pPr>
        <w:adjustRightInd w:val="0"/>
        <w:snapToGrid w:val="0"/>
        <w:rPr>
          <w:rFonts w:hint="eastAsia" w:ascii="华文仿宋" w:hAnsi="华文仿宋" w:eastAsia="华文仿宋"/>
          <w:color w:val="000000"/>
          <w:sz w:val="28"/>
          <w:szCs w:val="28"/>
        </w:rPr>
      </w:pPr>
    </w:p>
    <w:p>
      <w:pPr>
        <w:adjustRightInd w:val="0"/>
        <w:snapToGrid w:val="0"/>
        <w:jc w:val="center"/>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第二章医疗器械代理人信息管理</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第五条</w:t>
      </w:r>
      <w:r>
        <w:rPr>
          <w:rFonts w:hint="eastAsia" w:ascii="华文仿宋" w:hAnsi="华文仿宋" w:eastAsia="华文仿宋"/>
          <w:color w:val="000000"/>
          <w:sz w:val="28"/>
          <w:szCs w:val="28"/>
        </w:rPr>
        <w:t xml:space="preserve">　代理人在取得医疗器械产品注册后，应及时将产品注册证载明信息等信息（具体见附件）通过市食药局企业服务平台上报。 </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第六条</w:t>
      </w:r>
      <w:r>
        <w:rPr>
          <w:rFonts w:hint="eastAsia" w:ascii="华文仿宋" w:hAnsi="华文仿宋" w:eastAsia="华文仿宋"/>
          <w:color w:val="000000"/>
          <w:sz w:val="28"/>
          <w:szCs w:val="28"/>
        </w:rPr>
        <w:t>　医疗器械注册证载明的代理人发生变更的，应按照相关法规要求进行注册/备案变更，变更后的代理人应按照本办法第五条要求上报相关信息。原代理人应书面告知所属区局或直属分局。</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第七条</w:t>
      </w:r>
      <w:r>
        <w:rPr>
          <w:rFonts w:hint="eastAsia" w:ascii="华文仿宋" w:hAnsi="华文仿宋" w:eastAsia="华文仿宋"/>
          <w:color w:val="000000"/>
          <w:sz w:val="28"/>
          <w:szCs w:val="28"/>
        </w:rPr>
        <w:t>注册证书载明的其他信息及代理人基本信息发生变更的，代理人应及时通过市食药局企业服务平台上报。</w:t>
      </w:r>
    </w:p>
    <w:p>
      <w:pPr>
        <w:adjustRightInd w:val="0"/>
        <w:snapToGrid w:val="0"/>
        <w:rPr>
          <w:rFonts w:ascii="华文仿宋" w:hAnsi="华文仿宋" w:eastAsia="华文仿宋"/>
          <w:b/>
          <w:color w:val="000000"/>
          <w:sz w:val="28"/>
          <w:szCs w:val="28"/>
        </w:rPr>
      </w:pPr>
      <w:r>
        <w:rPr>
          <w:rFonts w:hint="eastAsia" w:ascii="华文仿宋" w:hAnsi="华文仿宋" w:eastAsia="华文仿宋"/>
          <w:b/>
          <w:color w:val="000000"/>
          <w:sz w:val="28"/>
          <w:szCs w:val="28"/>
        </w:rPr>
        <w:t>第八条</w:t>
      </w:r>
      <w:r>
        <w:rPr>
          <w:rFonts w:hint="eastAsia" w:ascii="华文仿宋" w:hAnsi="华文仿宋" w:eastAsia="华文仿宋"/>
          <w:color w:val="000000"/>
          <w:sz w:val="28"/>
          <w:szCs w:val="28"/>
        </w:rPr>
        <w:t>　</w:t>
      </w:r>
      <w:r>
        <w:rPr>
          <w:rFonts w:hint="eastAsia" w:ascii="华文仿宋" w:hAnsi="华文仿宋" w:eastAsia="华文仿宋"/>
          <w:sz w:val="28"/>
          <w:szCs w:val="28"/>
        </w:rPr>
        <w:t>区局、直属分局</w:t>
      </w:r>
      <w:r>
        <w:rPr>
          <w:rFonts w:hint="eastAsia" w:ascii="华文仿宋" w:hAnsi="华文仿宋" w:eastAsia="华文仿宋"/>
          <w:color w:val="000000"/>
          <w:sz w:val="28"/>
          <w:szCs w:val="28"/>
        </w:rPr>
        <w:t>对辖区代理人上报的信息进行核对，并对信息进行管理。</w:t>
      </w:r>
    </w:p>
    <w:p>
      <w:pPr>
        <w:adjustRightInd w:val="0"/>
        <w:snapToGrid w:val="0"/>
        <w:rPr>
          <w:rFonts w:hint="eastAsia" w:ascii="华文仿宋" w:hAnsi="华文仿宋" w:eastAsia="华文仿宋"/>
          <w:b/>
          <w:color w:val="000000"/>
          <w:sz w:val="28"/>
          <w:szCs w:val="28"/>
        </w:rPr>
      </w:pPr>
    </w:p>
    <w:p>
      <w:pPr>
        <w:adjustRightInd w:val="0"/>
        <w:snapToGrid w:val="0"/>
        <w:jc w:val="center"/>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第三章医疗器械代理人职责</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第九条</w:t>
      </w:r>
      <w:r>
        <w:rPr>
          <w:rFonts w:hint="eastAsia" w:ascii="华文仿宋" w:hAnsi="华文仿宋" w:eastAsia="华文仿宋"/>
          <w:color w:val="000000"/>
          <w:sz w:val="28"/>
          <w:szCs w:val="28"/>
        </w:rPr>
        <w:t>　代理人在产品注册或备案过程中，应按照相关法规要求开展注册检验、临床试验、产品注册或备案等工作。</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代理人开展临床试验，应按照《医疗器械注册管理办法》、《体外试剂注册管理办法》和《医疗器械临床试验质量管理规范》的要求，在有资质的临床试验机构进行，并向北京市食品药品监督管理局备案。</w:t>
      </w:r>
    </w:p>
    <w:p>
      <w:pPr>
        <w:adjustRightInd w:val="0"/>
        <w:snapToGrid w:val="0"/>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第十条</w:t>
      </w:r>
      <w:r>
        <w:rPr>
          <w:rFonts w:hint="eastAsia" w:ascii="华文仿宋" w:hAnsi="华文仿宋" w:eastAsia="华文仿宋"/>
          <w:color w:val="000000"/>
          <w:sz w:val="28"/>
          <w:szCs w:val="28"/>
        </w:rPr>
        <w:t>　代理人应按照《医疗器械注册管理办法》、《体外诊断试剂注册管理办法》的要求，履行向申请人或者备案人如实、准确传达相关的法规和技术要求义务；履行与相应食品药品监督管理部门、境外申请人或者备案人联络的义务；并承担其他涉及产品质量和售后服务的连带责任。</w:t>
      </w:r>
    </w:p>
    <w:p>
      <w:pPr>
        <w:adjustRightInd w:val="0"/>
        <w:snapToGrid w:val="0"/>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第十一条</w:t>
      </w:r>
      <w:r>
        <w:rPr>
          <w:rFonts w:hint="eastAsia" w:ascii="华文仿宋" w:hAnsi="华文仿宋" w:eastAsia="华文仿宋"/>
          <w:color w:val="000000"/>
          <w:sz w:val="28"/>
          <w:szCs w:val="28"/>
        </w:rPr>
        <w:t>　医疗器械代理人应当按照医疗器械不良事件监测和再评价的相应规定，建立组织机构、监测制度，收集本企业上市医疗器械产品不良事件信息并按要求上报，配合监管部门做好医疗器械不良事件相关调查、分析和评价工作和产品再评价工作。</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第十二条</w:t>
      </w:r>
      <w:r>
        <w:rPr>
          <w:rFonts w:hint="eastAsia" w:ascii="华文仿宋" w:hAnsi="华文仿宋" w:eastAsia="华文仿宋"/>
          <w:color w:val="000000"/>
          <w:sz w:val="28"/>
          <w:szCs w:val="28"/>
        </w:rPr>
        <w:t>　代理人应按照《医疗器械注册管理办法》中相关要求，协调做好医疗器械上市后的产品召回工作。</w:t>
      </w:r>
    </w:p>
    <w:p>
      <w:pPr>
        <w:adjustRightInd w:val="0"/>
        <w:snapToGrid w:val="0"/>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第十三条</w:t>
      </w:r>
      <w:r>
        <w:rPr>
          <w:rFonts w:hint="eastAsia" w:ascii="华文仿宋" w:hAnsi="华文仿宋" w:eastAsia="华文仿宋"/>
          <w:color w:val="000000"/>
          <w:sz w:val="28"/>
          <w:szCs w:val="28"/>
        </w:rPr>
        <w:t>　对</w:t>
      </w:r>
      <w:r>
        <w:rPr>
          <w:rFonts w:ascii="华文仿宋" w:hAnsi="华文仿宋" w:eastAsia="华文仿宋"/>
          <w:color w:val="000000"/>
          <w:sz w:val="28"/>
          <w:szCs w:val="28"/>
        </w:rPr>
        <w:t>使用单位委托维修服务机构或者自行对在用医疗器械进行维护维修的，医疗器械</w:t>
      </w:r>
      <w:r>
        <w:rPr>
          <w:rFonts w:hint="eastAsia" w:ascii="华文仿宋" w:hAnsi="华文仿宋" w:eastAsia="华文仿宋"/>
          <w:color w:val="000000"/>
          <w:sz w:val="28"/>
          <w:szCs w:val="28"/>
        </w:rPr>
        <w:t>代理人应</w:t>
      </w:r>
      <w:r>
        <w:rPr>
          <w:rFonts w:ascii="华文仿宋" w:hAnsi="华文仿宋" w:eastAsia="华文仿宋"/>
          <w:color w:val="000000"/>
          <w:sz w:val="28"/>
          <w:szCs w:val="28"/>
        </w:rPr>
        <w:t>当</w:t>
      </w:r>
      <w:r>
        <w:rPr>
          <w:rFonts w:hint="eastAsia" w:ascii="华文仿宋" w:hAnsi="华文仿宋" w:eastAsia="华文仿宋"/>
          <w:color w:val="000000"/>
          <w:sz w:val="28"/>
          <w:szCs w:val="28"/>
        </w:rPr>
        <w:t>按照《医疗器械使用质量监督管理办法》的要求，</w:t>
      </w:r>
      <w:r>
        <w:rPr>
          <w:rFonts w:ascii="华文仿宋" w:hAnsi="华文仿宋" w:eastAsia="华文仿宋"/>
          <w:color w:val="000000"/>
          <w:sz w:val="28"/>
          <w:szCs w:val="28"/>
        </w:rPr>
        <w:t>按照合同的约定提供维护手册、维修手册、软件备份、故障代码表、备件清单、零部件、维修密码等维护维修必需的材料和信息</w:t>
      </w:r>
      <w:r>
        <w:rPr>
          <w:rFonts w:hint="eastAsia" w:ascii="华文仿宋" w:hAnsi="华文仿宋" w:eastAsia="华文仿宋"/>
          <w:color w:val="000000"/>
          <w:sz w:val="28"/>
          <w:szCs w:val="28"/>
        </w:rPr>
        <w:t>给相关单位</w:t>
      </w:r>
      <w:r>
        <w:rPr>
          <w:rFonts w:ascii="华文仿宋" w:hAnsi="华文仿宋" w:eastAsia="华文仿宋"/>
          <w:color w:val="000000"/>
          <w:sz w:val="28"/>
          <w:szCs w:val="28"/>
        </w:rPr>
        <w:t>。</w:t>
      </w:r>
    </w:p>
    <w:p>
      <w:pPr>
        <w:adjustRightInd w:val="0"/>
        <w:snapToGrid w:val="0"/>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第十四条</w:t>
      </w:r>
      <w:r>
        <w:rPr>
          <w:rFonts w:hint="eastAsia" w:ascii="华文仿宋" w:hAnsi="华文仿宋" w:eastAsia="华文仿宋"/>
          <w:color w:val="000000"/>
          <w:sz w:val="28"/>
          <w:szCs w:val="28"/>
        </w:rPr>
        <w:t xml:space="preserve">　代理人应按照《医疗器械质量监督抽验管理办法》的要求，配合食品药品监督管理部门开展医疗器械产品质量监督抽查检验或评价。 </w:t>
      </w:r>
    </w:p>
    <w:p>
      <w:pPr>
        <w:adjustRightInd w:val="0"/>
        <w:snapToGrid w:val="0"/>
        <w:rPr>
          <w:rFonts w:hint="eastAsia" w:ascii="华文仿宋" w:hAnsi="华文仿宋" w:eastAsia="华文仿宋"/>
          <w:b/>
          <w:color w:val="000000"/>
          <w:sz w:val="28"/>
          <w:szCs w:val="28"/>
        </w:rPr>
      </w:pPr>
    </w:p>
    <w:p>
      <w:pPr>
        <w:adjustRightInd w:val="0"/>
        <w:snapToGrid w:val="0"/>
        <w:rPr>
          <w:rFonts w:hint="eastAsia" w:ascii="华文仿宋" w:hAnsi="华文仿宋" w:eastAsia="华文仿宋"/>
          <w:b/>
          <w:color w:val="000000"/>
          <w:sz w:val="28"/>
          <w:szCs w:val="28"/>
        </w:rPr>
      </w:pPr>
    </w:p>
    <w:p>
      <w:pPr>
        <w:adjustRightInd w:val="0"/>
        <w:snapToGrid w:val="0"/>
        <w:jc w:val="center"/>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第四章监督管理</w:t>
      </w:r>
    </w:p>
    <w:p>
      <w:pPr>
        <w:adjustRightInd w:val="0"/>
        <w:snapToGrid w:val="0"/>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第十五条</w:t>
      </w:r>
      <w:r>
        <w:rPr>
          <w:rFonts w:hint="eastAsia" w:ascii="华文仿宋" w:hAnsi="华文仿宋" w:eastAsia="华文仿宋"/>
          <w:color w:val="000000"/>
          <w:sz w:val="28"/>
          <w:szCs w:val="28"/>
        </w:rPr>
        <w:t>　北京市食品药品监督管理局负责对本市代理人注册与备案相关工作实施日常监督管理，及时向国家食品药品监督管理总局通报相关信息；开展临床试验的核查；组织代理人信息管理工作；将进口医疗器械注册证或变更批件移送给相关区局、直属分局。</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第十六条</w:t>
      </w:r>
      <w:r>
        <w:rPr>
          <w:rFonts w:hint="eastAsia" w:ascii="华文仿宋" w:hAnsi="华文仿宋" w:eastAsia="华文仿宋"/>
          <w:color w:val="000000"/>
          <w:sz w:val="28"/>
          <w:szCs w:val="28"/>
        </w:rPr>
        <w:t>　区局、直属分局收到市局移送的进口医疗器械产品注册证后，负责代理人信息核对确认；并应将代理人监督管理纳入日常监督管理工作，对本辖区内代理人开展日常监督检查、产品抽验等工作，并监督代理人开展产品召回、不良事件监测等工作。</w:t>
      </w:r>
    </w:p>
    <w:p>
      <w:pPr>
        <w:adjustRightInd w:val="0"/>
        <w:snapToGrid w:val="0"/>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第十七条</w:t>
      </w:r>
      <w:r>
        <w:rPr>
          <w:rFonts w:hint="eastAsia" w:ascii="华文仿宋" w:hAnsi="华文仿宋" w:eastAsia="华文仿宋"/>
          <w:color w:val="000000"/>
          <w:sz w:val="28"/>
          <w:szCs w:val="28"/>
        </w:rPr>
        <w:t>　食品药品监督管理部门对代理人开展监督检查时，发现代理人发生变化未办理医疗器械注册证登记事项变更的，按照《医疗器械监督管理条例》第六十五条有关未备案的情形予以处罚同时通报国家总局。涉及外埠的，由市食药局将相关情况通报国家食品药品监督管理总局及相关省局。</w:t>
      </w:r>
    </w:p>
    <w:p>
      <w:pPr>
        <w:adjustRightInd w:val="0"/>
        <w:snapToGrid w:val="0"/>
        <w:jc w:val="center"/>
        <w:rPr>
          <w:rFonts w:hint="eastAsia" w:ascii="华文仿宋" w:hAnsi="华文仿宋" w:eastAsia="华文仿宋"/>
          <w:b/>
          <w:color w:val="000000"/>
          <w:sz w:val="28"/>
          <w:szCs w:val="28"/>
        </w:rPr>
      </w:pPr>
      <w:r>
        <w:rPr>
          <w:rFonts w:hint="eastAsia" w:ascii="华文仿宋" w:hAnsi="华文仿宋" w:eastAsia="华文仿宋"/>
          <w:b/>
          <w:color w:val="000000"/>
          <w:sz w:val="28"/>
          <w:szCs w:val="28"/>
        </w:rPr>
        <w:t>第五章附则</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第十八条</w:t>
      </w:r>
      <w:r>
        <w:rPr>
          <w:rFonts w:hint="eastAsia" w:ascii="华文仿宋" w:hAnsi="华文仿宋" w:eastAsia="华文仿宋"/>
          <w:color w:val="000000"/>
          <w:sz w:val="28"/>
          <w:szCs w:val="28"/>
        </w:rPr>
        <w:t>　本办法由北京市食品药品监督管理局负责解释。</w:t>
      </w:r>
    </w:p>
    <w:p>
      <w:pPr>
        <w:adjustRightInd w:val="0"/>
        <w:snapToGrid w:val="0"/>
        <w:rPr>
          <w:rFonts w:hint="eastAsia" w:ascii="华文仿宋" w:hAnsi="华文仿宋" w:eastAsia="华文仿宋"/>
          <w:color w:val="000000"/>
          <w:sz w:val="28"/>
          <w:szCs w:val="28"/>
        </w:rPr>
      </w:pPr>
      <w:r>
        <w:rPr>
          <w:rFonts w:hint="eastAsia" w:ascii="华文仿宋" w:hAnsi="华文仿宋" w:eastAsia="华文仿宋"/>
          <w:b/>
          <w:color w:val="000000"/>
          <w:sz w:val="28"/>
          <w:szCs w:val="28"/>
        </w:rPr>
        <w:t>第十九条</w:t>
      </w:r>
      <w:r>
        <w:rPr>
          <w:rFonts w:hint="eastAsia" w:ascii="华文仿宋" w:hAnsi="华文仿宋" w:eastAsia="华文仿宋"/>
          <w:color w:val="000000"/>
          <w:sz w:val="28"/>
          <w:szCs w:val="28"/>
        </w:rPr>
        <w:t>　本办法自发布之日起实施。</w:t>
      </w:r>
    </w:p>
    <w:p>
      <w:pPr>
        <w:adjustRightInd w:val="0"/>
        <w:snapToGrid w:val="0"/>
        <w:rPr>
          <w:rFonts w:hint="eastAsia" w:ascii="华文仿宋" w:hAnsi="华文仿宋" w:eastAsia="华文仿宋"/>
          <w:color w:val="000000"/>
          <w:sz w:val="24"/>
        </w:rPr>
      </w:pPr>
    </w:p>
    <w:p>
      <w:pPr>
        <w:adjustRightInd w:val="0"/>
        <w:snapToGrid w:val="0"/>
        <w:rPr>
          <w:rFonts w:hint="eastAsia" w:ascii="华文仿宋" w:hAnsi="华文仿宋" w:eastAsia="华文仿宋"/>
          <w:color w:val="000000"/>
          <w:sz w:val="24"/>
        </w:rPr>
      </w:pPr>
    </w:p>
    <w:p>
      <w:pPr>
        <w:adjustRightInd w:val="0"/>
        <w:snapToGrid w:val="0"/>
        <w:rPr>
          <w:rFonts w:hint="eastAsia" w:ascii="华文仿宋" w:hAnsi="华文仿宋" w:eastAsia="华文仿宋"/>
          <w:color w:val="000000"/>
          <w:sz w:val="24"/>
        </w:rPr>
      </w:pPr>
    </w:p>
    <w:p>
      <w:pPr>
        <w:adjustRightInd w:val="0"/>
        <w:snapToGrid w:val="0"/>
        <w:rPr>
          <w:rFonts w:hint="eastAsia" w:ascii="华文仿宋" w:hAnsi="华文仿宋" w:eastAsia="华文仿宋"/>
          <w:sz w:val="24"/>
        </w:rPr>
      </w:pPr>
      <w:r>
        <w:rPr>
          <w:rFonts w:hint="eastAsia" w:ascii="华文仿宋" w:hAnsi="华文仿宋" w:eastAsia="华文仿宋"/>
          <w:sz w:val="24"/>
        </w:rPr>
        <w:t>附件</w:t>
      </w:r>
    </w:p>
    <w:p>
      <w:pPr>
        <w:adjustRightInd w:val="0"/>
        <w:snapToGrid w:val="0"/>
        <w:rPr>
          <w:rFonts w:hint="eastAsia" w:ascii="华文仿宋" w:hAnsi="华文仿宋" w:eastAsia="华文仿宋"/>
          <w:sz w:val="24"/>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691"/>
        <w:gridCol w:w="529"/>
        <w:gridCol w:w="1603"/>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shd w:val="clear" w:color="auto" w:fill="auto"/>
            <w:vAlign w:val="top"/>
          </w:tcPr>
          <w:p>
            <w:pPr>
              <w:adjustRightInd w:val="0"/>
              <w:snapToGrid w:val="0"/>
              <w:jc w:val="center"/>
              <w:rPr>
                <w:rFonts w:hint="eastAsia" w:ascii="华文仿宋" w:hAnsi="华文仿宋" w:eastAsia="华文仿宋"/>
                <w:sz w:val="24"/>
              </w:rPr>
            </w:pPr>
            <w:r>
              <w:rPr>
                <w:rFonts w:hint="eastAsia" w:ascii="华文仿宋" w:hAnsi="华文仿宋" w:eastAsia="华文仿宋"/>
                <w:sz w:val="24"/>
              </w:rPr>
              <w:t>注册代理人基本信息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注册代理人：</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住所：</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联系人：</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电话（手机）：</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电话（座机）：</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传真：</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邮箱：</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2" w:type="dxa"/>
            <w:gridSpan w:val="4"/>
            <w:shd w:val="clear" w:color="auto" w:fill="auto"/>
            <w:vAlign w:val="top"/>
          </w:tcPr>
          <w:p>
            <w:pPr>
              <w:adjustRightInd w:val="0"/>
              <w:snapToGrid w:val="0"/>
              <w:jc w:val="left"/>
              <w:rPr>
                <w:rFonts w:hint="eastAsia" w:ascii="华文仿宋" w:hAnsi="华文仿宋" w:eastAsia="华文仿宋"/>
                <w:sz w:val="24"/>
              </w:rPr>
            </w:pPr>
            <w:r>
              <w:rPr>
                <w:rFonts w:hint="eastAsia" w:ascii="华文仿宋" w:hAnsi="华文仿宋" w:eastAsia="华文仿宋"/>
                <w:sz w:val="24"/>
              </w:rPr>
              <w:t>医疗器械经营许可证号/备案号（如有）</w:t>
            </w:r>
          </w:p>
        </w:tc>
        <w:tc>
          <w:tcPr>
            <w:tcW w:w="4260" w:type="dxa"/>
            <w:gridSpan w:val="2"/>
            <w:shd w:val="clear" w:color="auto" w:fill="auto"/>
            <w:vAlign w:val="top"/>
          </w:tcPr>
          <w:p>
            <w:pPr>
              <w:adjustRightInd w:val="0"/>
              <w:snapToGrid w:val="0"/>
              <w:jc w:val="left"/>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2" w:type="dxa"/>
            <w:gridSpan w:val="4"/>
            <w:shd w:val="clear" w:color="auto" w:fill="auto"/>
            <w:vAlign w:val="top"/>
          </w:tcPr>
          <w:p>
            <w:pPr>
              <w:adjustRightInd w:val="0"/>
              <w:snapToGrid w:val="0"/>
              <w:jc w:val="left"/>
              <w:rPr>
                <w:rFonts w:hint="eastAsia" w:ascii="华文仿宋" w:hAnsi="华文仿宋" w:eastAsia="华文仿宋"/>
                <w:sz w:val="24"/>
              </w:rPr>
            </w:pPr>
            <w:r>
              <w:rPr>
                <w:rFonts w:hint="eastAsia" w:ascii="华文仿宋" w:hAnsi="华文仿宋" w:eastAsia="华文仿宋"/>
                <w:sz w:val="24"/>
              </w:rPr>
              <w:t>是□ 否□  该产品进口代理商</w:t>
            </w:r>
          </w:p>
        </w:tc>
        <w:tc>
          <w:tcPr>
            <w:tcW w:w="4260" w:type="dxa"/>
            <w:gridSpan w:val="2"/>
            <w:shd w:val="clear" w:color="auto" w:fill="auto"/>
            <w:vAlign w:val="top"/>
          </w:tcPr>
          <w:p>
            <w:pPr>
              <w:adjustRightInd w:val="0"/>
              <w:snapToGrid w:val="0"/>
              <w:jc w:val="left"/>
              <w:rPr>
                <w:rFonts w:hint="eastAsia" w:ascii="华文仿宋" w:hAnsi="华文仿宋" w:eastAsia="华文仿宋"/>
                <w:sz w:val="24"/>
              </w:rPr>
            </w:pPr>
            <w:r>
              <w:rPr>
                <w:rFonts w:hint="eastAsia" w:ascii="华文仿宋" w:hAnsi="华文仿宋" w:eastAsia="华文仿宋"/>
                <w:sz w:val="24"/>
              </w:rPr>
              <w:t>是□ 否□  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shd w:val="clear" w:color="auto" w:fill="auto"/>
            <w:vAlign w:val="top"/>
          </w:tcPr>
          <w:p>
            <w:pPr>
              <w:adjustRightInd w:val="0"/>
              <w:snapToGrid w:val="0"/>
              <w:jc w:val="center"/>
              <w:rPr>
                <w:rFonts w:hint="eastAsia" w:ascii="华文仿宋" w:hAnsi="华文仿宋" w:eastAsia="华文仿宋"/>
                <w:sz w:val="24"/>
              </w:rPr>
            </w:pPr>
            <w:r>
              <w:rPr>
                <w:rFonts w:hint="eastAsia" w:ascii="华文仿宋" w:hAnsi="华文仿宋" w:eastAsia="华文仿宋"/>
                <w:sz w:val="24"/>
              </w:rPr>
              <w:t>境外注册人（备案人）信息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9" w:type="dxa"/>
            <w:gridSpan w:val="3"/>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境外注册（备案）人</w:t>
            </w:r>
          </w:p>
        </w:tc>
        <w:tc>
          <w:tcPr>
            <w:tcW w:w="5863" w:type="dxa"/>
            <w:gridSpan w:val="3"/>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注册证号</w:t>
            </w:r>
          </w:p>
        </w:tc>
        <w:tc>
          <w:tcPr>
            <w:tcW w:w="2823" w:type="dxa"/>
            <w:gridSpan w:val="3"/>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国籍</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产品名称</w:t>
            </w:r>
          </w:p>
        </w:tc>
        <w:tc>
          <w:tcPr>
            <w:tcW w:w="7083" w:type="dxa"/>
            <w:gridSpan w:val="5"/>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9" w:type="dxa"/>
            <w:gridSpan w:val="3"/>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临床试验备案号（如有）</w:t>
            </w:r>
          </w:p>
        </w:tc>
        <w:tc>
          <w:tcPr>
            <w:tcW w:w="5863" w:type="dxa"/>
            <w:gridSpan w:val="3"/>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9" w:type="dxa"/>
            <w:gridSpan w:val="3"/>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临床试验机构名称1</w:t>
            </w:r>
          </w:p>
        </w:tc>
        <w:tc>
          <w:tcPr>
            <w:tcW w:w="5863" w:type="dxa"/>
            <w:gridSpan w:val="3"/>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9" w:type="dxa"/>
            <w:gridSpan w:val="3"/>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临床试验机构名称2</w:t>
            </w:r>
          </w:p>
        </w:tc>
        <w:tc>
          <w:tcPr>
            <w:tcW w:w="5863" w:type="dxa"/>
            <w:gridSpan w:val="3"/>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9" w:type="dxa"/>
            <w:gridSpan w:val="3"/>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临床试验机构名称3</w:t>
            </w:r>
          </w:p>
        </w:tc>
        <w:tc>
          <w:tcPr>
            <w:tcW w:w="5863" w:type="dxa"/>
            <w:gridSpan w:val="3"/>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shd w:val="clear" w:color="auto" w:fill="auto"/>
            <w:vAlign w:val="top"/>
          </w:tcPr>
          <w:p>
            <w:pPr>
              <w:adjustRightInd w:val="0"/>
              <w:snapToGrid w:val="0"/>
              <w:jc w:val="center"/>
              <w:rPr>
                <w:rFonts w:hint="eastAsia" w:ascii="华文仿宋" w:hAnsi="华文仿宋" w:eastAsia="华文仿宋"/>
                <w:sz w:val="24"/>
              </w:rPr>
            </w:pPr>
            <w:r>
              <w:rPr>
                <w:rFonts w:hint="eastAsia" w:ascii="华文仿宋" w:hAnsi="华文仿宋" w:eastAsia="华文仿宋"/>
                <w:sz w:val="24"/>
              </w:rPr>
              <w:t>进口总代理基本信息（如有）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进口总代理：</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住所：</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医疗器械经营许可证号/备案号</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联系人：</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电话（手机）：</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电话（座机）：</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传真：</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邮箱：</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期限：</w:t>
            </w:r>
          </w:p>
        </w:tc>
        <w:tc>
          <w:tcPr>
            <w:tcW w:w="6392" w:type="dxa"/>
            <w:gridSpan w:val="4"/>
            <w:shd w:val="clear" w:color="auto" w:fill="auto"/>
            <w:vAlign w:val="top"/>
          </w:tcPr>
          <w:p>
            <w:pPr>
              <w:adjustRightInd w:val="0"/>
              <w:snapToGrid w:val="0"/>
              <w:ind w:firstLine="960" w:firstLineChars="400"/>
              <w:rPr>
                <w:rFonts w:hint="eastAsia" w:ascii="华文仿宋" w:hAnsi="华文仿宋" w:eastAsia="华文仿宋"/>
                <w:sz w:val="24"/>
              </w:rPr>
            </w:pPr>
            <w:r>
              <w:rPr>
                <w:rFonts w:hint="eastAsia" w:ascii="华文仿宋" w:hAnsi="华文仿宋" w:eastAsia="华文仿宋"/>
                <w:sz w:val="24"/>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shd w:val="clear" w:color="auto" w:fill="auto"/>
            <w:vAlign w:val="top"/>
          </w:tcPr>
          <w:p>
            <w:pPr>
              <w:adjustRightInd w:val="0"/>
              <w:snapToGrid w:val="0"/>
              <w:jc w:val="center"/>
              <w:rPr>
                <w:rFonts w:hint="eastAsia" w:ascii="华文仿宋" w:hAnsi="华文仿宋" w:eastAsia="华文仿宋"/>
                <w:sz w:val="24"/>
              </w:rPr>
            </w:pPr>
            <w:r>
              <w:rPr>
                <w:rFonts w:hint="eastAsia" w:ascii="华文仿宋" w:hAnsi="华文仿宋" w:eastAsia="华文仿宋"/>
                <w:sz w:val="24"/>
              </w:rPr>
              <w:t>售后服务提供单位基本信息（如有）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单位名称</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住所：</w:t>
            </w:r>
          </w:p>
        </w:tc>
        <w:tc>
          <w:tcPr>
            <w:tcW w:w="6392" w:type="dxa"/>
            <w:gridSpan w:val="4"/>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联系人：</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电话（手机）：</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电话（座机）：</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传真：</w:t>
            </w: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邮箱：</w:t>
            </w:r>
          </w:p>
        </w:tc>
        <w:tc>
          <w:tcPr>
            <w:tcW w:w="2132" w:type="dxa"/>
            <w:gridSpan w:val="2"/>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p>
        </w:tc>
        <w:tc>
          <w:tcPr>
            <w:tcW w:w="2130" w:type="dxa"/>
            <w:shd w:val="clear" w:color="auto" w:fill="auto"/>
            <w:vAlign w:val="top"/>
          </w:tcPr>
          <w:p>
            <w:pPr>
              <w:adjustRightInd w:val="0"/>
              <w:snapToGrid w:val="0"/>
              <w:rPr>
                <w:rFonts w:hint="eastAsia"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shd w:val="clear" w:color="auto" w:fill="auto"/>
            <w:vAlign w:val="top"/>
          </w:tcPr>
          <w:p>
            <w:pPr>
              <w:adjustRightInd w:val="0"/>
              <w:snapToGrid w:val="0"/>
              <w:rPr>
                <w:rFonts w:hint="eastAsia" w:ascii="华文仿宋" w:hAnsi="华文仿宋" w:eastAsia="华文仿宋"/>
                <w:sz w:val="24"/>
              </w:rPr>
            </w:pPr>
            <w:r>
              <w:rPr>
                <w:rFonts w:hint="eastAsia" w:ascii="华文仿宋" w:hAnsi="华文仿宋" w:eastAsia="华文仿宋"/>
                <w:sz w:val="24"/>
              </w:rPr>
              <w:t>期限：</w:t>
            </w:r>
          </w:p>
        </w:tc>
        <w:tc>
          <w:tcPr>
            <w:tcW w:w="6392" w:type="dxa"/>
            <w:gridSpan w:val="4"/>
            <w:shd w:val="clear" w:color="auto" w:fill="auto"/>
            <w:vAlign w:val="top"/>
          </w:tcPr>
          <w:p>
            <w:pPr>
              <w:adjustRightInd w:val="0"/>
              <w:snapToGrid w:val="0"/>
              <w:ind w:firstLine="960" w:firstLineChars="400"/>
              <w:rPr>
                <w:rFonts w:hint="eastAsia" w:ascii="华文仿宋" w:hAnsi="华文仿宋" w:eastAsia="华文仿宋"/>
                <w:sz w:val="24"/>
              </w:rPr>
            </w:pPr>
            <w:r>
              <w:rPr>
                <w:rFonts w:hint="eastAsia" w:ascii="华文仿宋" w:hAnsi="华文仿宋" w:eastAsia="华文仿宋"/>
                <w:sz w:val="24"/>
              </w:rPr>
              <w:t>年   月 ———        年    月</w:t>
            </w:r>
          </w:p>
        </w:tc>
      </w:tr>
    </w:tbl>
    <w:p>
      <w:bookmarkStart w:id="2" w:name="_GoBack"/>
      <w:bookmarkEnd w:id="2"/>
    </w:p>
    <w:sectPr>
      <w:pgSz w:w="11906" w:h="16838"/>
      <w:pgMar w:top="1270" w:right="1800" w:bottom="127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E3A9B"/>
    <w:rsid w:val="41143A43"/>
    <w:rsid w:val="44DE3A9B"/>
    <w:rsid w:val="4B47065B"/>
    <w:rsid w:val="68AE1024"/>
    <w:rsid w:val="68CF7F39"/>
    <w:rsid w:val="6C1E58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5">
    <w:name w:val="Strong"/>
    <w:basedOn w:val="4"/>
    <w:qFormat/>
    <w:uiPriority w:val="0"/>
    <w:rPr>
      <w:b/>
    </w:rPr>
  </w:style>
  <w:style w:type="character" w:styleId="6">
    <w:name w:val="FollowedHyperlink"/>
    <w:basedOn w:val="4"/>
    <w:qFormat/>
    <w:uiPriority w:val="0"/>
    <w:rPr>
      <w:rFonts w:ascii="微软雅黑" w:hAnsi="微软雅黑" w:eastAsia="微软雅黑" w:cs="微软雅黑"/>
      <w:color w:val="800080"/>
      <w:sz w:val="18"/>
      <w:szCs w:val="18"/>
      <w:u w:val="non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2016-12-06T03:09:00Z</dcterms:created>
  <dc:creator>WuKeping</dc:creator>
  <cp:lastModifiedBy>lenovo</cp:lastModifiedBy>
  <dcterms:modified xsi:type="dcterms:W3CDTF">2017-02-09T08:47:44Z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